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Malgun Gothic" w:cs="Malgun Gothic" w:eastAsia="Malgun Gothic" w:hAnsi="Malgun Gothic"/>
          <w:b/>
          <w:bCs/>
          <w:color w:val="6B7280"/>
          <w:sz w:val="30"/>
          <w:szCs w:val="30"/>
        </w:rPr>
        <w:t xml:space="preserve">렉시스타일 크로스보더 커머스</w:t>
      </w:r>
    </w:p>
    <w:p>
      <w:pPr>
        <w:spacing w:after="120"/>
        <w:jc w:val="center"/>
      </w:pPr>
      <w:r>
        <w:rPr>
          <w:rFonts w:ascii="Malgun Gothic" w:cs="Malgun Gothic" w:eastAsia="Malgun Gothic" w:hAnsi="Malgun Gothic"/>
          <w:b/>
          <w:bCs/>
          <w:color w:val="0F766E"/>
          <w:sz w:val="56"/>
          <w:szCs w:val="56"/>
        </w:rPr>
        <w:t xml:space="preserve">세무·법무 가이드맵</w:t>
      </w:r>
    </w:p>
    <w:p>
      <w:pPr>
        <w:spacing w:after="600"/>
        <w:jc w:val="center"/>
      </w:pPr>
      <w:r>
        <w:rPr>
          <w:rFonts w:ascii="Malgun Gothic" w:cs="Malgun Gothic" w:eastAsia="Malgun Gothic" w:hAnsi="Malgun Gothic"/>
          <w:color w:val="1F2937"/>
          <w:sz w:val="22"/>
          <w:szCs w:val="22"/>
        </w:rPr>
        <w:t xml:space="preserve">2법인 구조(테라브릿지캐피탈 US · 파트너스 사회적협동조합 KR)</w:t>
      </w:r>
    </w:p>
    <w:p>
      <w:pPr>
        <w:spacing w:after="100"/>
        <w:jc w:val="center"/>
      </w:pPr>
      <w:r>
        <w:rPr>
          <w:rFonts w:ascii="Malgun Gothic" w:cs="Malgun Gothic" w:eastAsia="Malgun Gothic" w:hAnsi="Malgun Gothic"/>
          <w:color w:val="6B7280"/>
          <w:sz w:val="20"/>
          <w:szCs w:val="20"/>
        </w:rPr>
        <w:t xml:space="preserve">국가별 법률 ↔ 한국법 비교 검토 · 실행 로드맵</w:t>
      </w:r>
    </w:p>
    <w:p>
      <w:pPr>
        <w:spacing w:after="60" w:before="1200"/>
        <w:jc w:val="center"/>
      </w:pPr>
      <w:r>
        <w:rPr>
          <w:rFonts w:ascii="Malgun Gothic" w:cs="Malgun Gothic" w:eastAsia="Malgun Gothic" w:hAnsi="Malgun Gothic"/>
          <w:color w:val="6B7280"/>
          <w:sz w:val="18"/>
          <w:szCs w:val="18"/>
        </w:rPr>
        <w:t xml:space="preserve">작성일 2026-07-22 · v1.0</w:t>
      </w:r>
    </w:p>
    <w:p>
      <w:pPr>
        <w:jc w:val="center"/>
      </w:pPr>
      <w:r>
        <w:rPr>
          <w:rFonts w:ascii="Malgun Gothic" w:cs="Malgun Gothic" w:eastAsia="Malgun Gothic" w:hAnsi="Malgun Gothic"/>
          <w:i/>
          <w:iCs/>
          <w:color w:val="B91C1C"/>
          <w:sz w:val="18"/>
          <w:szCs w:val="18"/>
        </w:rPr>
        <w:t xml:space="preserve">교육용 참고 자료 — 법률·세무 자문 아님</w:t>
      </w:r>
    </w:p>
    <w:p>
      <w:r>
        <w:br w:type="page"/>
      </w:r>
    </w:p>
    <w:p>
      <w:pPr>
        <w:spacing w:after="160"/>
      </w:pPr>
      <w:r>
        <w:rPr>
          <w:rFonts w:ascii="Malgun Gothic" w:cs="Malgun Gothic" w:eastAsia="Malgun Gothic" w:hAnsi="Malgun Gothic"/>
          <w:b/>
          <w:bCs/>
          <w:color w:val="B91C1C"/>
          <w:sz w:val="28"/>
          <w:szCs w:val="28"/>
        </w:rPr>
        <w:t xml:space="preserve">이용 시 반드시 읽어주세요 (면책 고지)</w:t>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본 문서는 법률·세무 자문이 아닙니다</w:t>
            </w:r>
          </w:p>
          <w:p>
            <w:pPr>
              <w:spacing w:after="40" w:line="264"/>
            </w:pPr>
            <w:r>
              <w:rPr>
                <w:rFonts w:ascii="Malgun Gothic" w:cs="Malgun Gothic" w:eastAsia="Malgun Gothic" w:hAnsi="Malgun Gothic"/>
                <w:color w:val="1F2937"/>
                <w:sz w:val="19"/>
                <w:szCs w:val="19"/>
              </w:rPr>
              <w:t xml:space="preserve">본 가이드맵은 공개된 일반 법제·제도 정보를 정리한 교육용 참고 자료입니다. 특정 사안에 대한 법률·세무·관세 자문이 아니며, 이를 근거로 한 의사결정의 책임은 이용자에게 있습니다.</w:t>
            </w:r>
          </w:p>
          <w:p>
            <w:pPr>
              <w:spacing w:after="40" w:line="264"/>
            </w:pPr>
            <w:r>
              <w:rPr>
                <w:rFonts w:ascii="Malgun Gothic" w:cs="Malgun Gothic" w:eastAsia="Malgun Gothic" w:hAnsi="Malgun Gothic"/>
                <w:color w:val="1F2937"/>
                <w:sz w:val="19"/>
                <w:szCs w:val="19"/>
              </w:rPr>
              <w:t xml:space="preserve">각국의 법령·세율·면세한도(de minimis)·신고기준은 수시로 개정됩니다. 본 문서의 수치는 작성 시점(2026-07) 기준의 일반값이며, 실제 집행 전 반드시 최신값을 관할 기관·전문가를 통해 확인해야 합니다.</w:t>
            </w:r>
          </w:p>
          <w:p>
            <w:pPr>
              <w:spacing w:after="40" w:line="264"/>
            </w:pPr>
            <w:r>
              <w:rPr>
                <w:rFonts w:ascii="Malgun Gothic" w:cs="Malgun Gothic" w:eastAsia="Malgun Gothic" w:hAnsi="Malgun Gothic"/>
                <w:color w:val="1F2937"/>
                <w:sz w:val="19"/>
                <w:szCs w:val="19"/>
              </w:rPr>
              <w:t xml:space="preserve">실제 구조 확정·집행 전 다음 전문가의 개별 검토가 필요합니다: 한국 세무사·공인회계사, 관세사, 변호사(국제거래), 미국 CPA·attorney, 그리고 각 판매 대상국의 현지 세무·법률 전문가.</w:t>
            </w:r>
          </w:p>
        </w:tc>
      </w:tr>
    </w:tbl>
    <w:p>
      <w:pPr>
        <w:spacing w:after="160"/>
      </w:pPr>
      <w:r>
        <w:rPr>
          <w:rFonts w:ascii="Malgun Gothic" w:cs="Malgun Gothic" w:eastAsia="Malgun Gothic" w:hAnsi="Malgun Gothic"/>
          <w:color w:val="1F2937"/>
          <w:sz w:val="20"/>
          <w:szCs w:val="20"/>
        </w:rPr>
        <w:t xml:space="preserve"/>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특히 다음 3개 쟁점은 집행 전 전문가 확인 필수</w:t>
            </w:r>
          </w:p>
          <w:p>
            <w:pPr>
              <w:spacing w:after="40" w:line="264"/>
            </w:pPr>
            <w:r>
              <w:rPr>
                <w:rFonts w:ascii="Malgun Gothic" w:cs="Malgun Gothic" w:eastAsia="Malgun Gothic" w:hAnsi="Malgun Gothic"/>
                <w:color w:val="1F2937"/>
                <w:sz w:val="19"/>
                <w:szCs w:val="19"/>
              </w:rPr>
              <w:t xml:space="preserve">① 사회적협동조합의 정관·인가 사업범위 내에서 영리 판매대행이 가능한지 (협동조합기본법상 공익요건).</w:t>
            </w:r>
          </w:p>
          <w:p>
            <w:pPr>
              <w:spacing w:after="40" w:line="264"/>
            </w:pPr>
            <w:r>
              <w:rPr>
                <w:rFonts w:ascii="Malgun Gothic" w:cs="Malgun Gothic" w:eastAsia="Malgun Gothic" w:hAnsi="Malgun Gothic"/>
                <w:color w:val="1F2937"/>
                <w:sz w:val="19"/>
                <w:szCs w:val="19"/>
              </w:rPr>
              <w:t xml:space="preserve">② 미국-한국 특수관계 법인 간 위탁 수수료의 이전가격(정상가격) 적정성.</w:t>
            </w:r>
          </w:p>
          <w:p>
            <w:pPr>
              <w:spacing w:after="40" w:line="264"/>
            </w:pPr>
            <w:r>
              <w:rPr>
                <w:rFonts w:ascii="Malgun Gothic" w:cs="Malgun Gothic" w:eastAsia="Malgun Gothic" w:hAnsi="Malgun Gothic"/>
                <w:color w:val="1F2937"/>
                <w:sz w:val="19"/>
                <w:szCs w:val="19"/>
              </w:rPr>
              <w:t xml:space="preserve">③ 대금 수취·환전·해외송금의 외국환거래법 신고 의무 및 결제·자금 취급 라이선스.</w:t>
            </w:r>
          </w:p>
        </w:tc>
      </w:tr>
    </w:tbl>
    <w:p>
      <w:pPr>
        <w:pageBreakBefore/>
        <w:spacing w:after="160"/>
      </w:pPr>
      <w:r>
        <w:rPr>
          <w:rFonts w:ascii="Malgun Gothic" w:cs="Malgun Gothic" w:eastAsia="Malgun Gothic" w:hAnsi="Malgun Gothic"/>
          <w:b/>
          <w:bCs/>
          <w:color w:val="0F766E"/>
          <w:sz w:val="30"/>
          <w:szCs w:val="30"/>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spacing w:after="160" w:before="60"/>
      </w:pPr>
      <w:r>
        <w:rPr>
          <w:rFonts w:ascii="Malgun Gothic" w:cs="Malgun Gothic" w:eastAsia="Malgun Gothic" w:hAnsi="Malgun Gothic"/>
          <w:b/>
          <w:bCs/>
          <w:color w:val="0F766E"/>
          <w:sz w:val="30"/>
          <w:szCs w:val="30"/>
        </w:rPr>
        <w:t xml:space="preserve">1. 문서 개요와 사용 방법</w:t>
      </w:r>
    </w:p>
    <w:p>
      <w:pPr>
        <w:spacing w:after="120" w:line="276"/>
      </w:pPr>
      <w:r>
        <w:rPr>
          <w:rFonts w:ascii="Malgun Gothic" w:cs="Malgun Gothic" w:eastAsia="Malgun Gothic" w:hAnsi="Malgun Gothic"/>
          <w:color w:val="1F2937"/>
          <w:sz w:val="20"/>
          <w:szCs w:val="20"/>
        </w:rPr>
        <w:t xml:space="preserve">본 가이드맵은 렉시스타일이 추진하는 크로스보더(역직구·수출) 커머스를 두 개의 법인 — 미국 테라브릿지캐피탈(TerraBridge Capital)과 한국 파트너스 사회적협동조합 — 으로 운영할 때, 각 판매 대상국의 세무·법무 요건을 한국법과 비교하여 정리한 실무 참고서입니다.</w:t>
      </w:r>
    </w:p>
    <w:p>
      <w:pPr>
        <w:pStyle w:val="Heading2"/>
        <w:spacing w:after="100" w:before="160"/>
      </w:pPr>
      <w:r>
        <w:rPr>
          <w:rFonts w:ascii="Malgun Gothic" w:cs="Malgun Gothic" w:eastAsia="Malgun Gothic" w:hAnsi="Malgun Gothic"/>
          <w:b/>
          <w:bCs/>
          <w:color w:val="1F2937"/>
          <w:sz w:val="24"/>
          <w:szCs w:val="24"/>
        </w:rPr>
        <w:t xml:space="preserve">1.1 이 문서가 답하는 질문</w:t>
      </w:r>
    </w:p>
    <w:p>
      <w:pPr>
        <w:pStyle w:val="ListParagraph"/>
        <w:numPr>
          <w:ilvl w:val="0"/>
          <w:numId w:val="2"/>
        </w:numPr>
        <w:spacing w:after="70" w:line="264"/>
      </w:pPr>
      <w:r>
        <w:rPr>
          <w:rFonts w:ascii="Malgun Gothic" w:cs="Malgun Gothic" w:eastAsia="Malgun Gothic" w:hAnsi="Malgun Gothic"/>
          <w:color w:val="1F2937"/>
          <w:sz w:val="20"/>
          <w:szCs w:val="20"/>
        </w:rPr>
        <w:t xml:space="preserve">어느 거래를 어느 법인으로 처리해야 세무·통관상 안전한가?</w:t>
      </w:r>
    </w:p>
    <w:p>
      <w:pPr>
        <w:pStyle w:val="ListParagraph"/>
        <w:numPr>
          <w:ilvl w:val="0"/>
          <w:numId w:val="2"/>
        </w:numPr>
        <w:spacing w:after="70" w:line="264"/>
      </w:pPr>
      <w:r>
        <w:rPr>
          <w:rFonts w:ascii="Malgun Gothic" w:cs="Malgun Gothic" w:eastAsia="Malgun Gothic" w:hAnsi="Malgun Gothic"/>
          <w:color w:val="1F2937"/>
          <w:sz w:val="20"/>
          <w:szCs w:val="20"/>
        </w:rPr>
        <w:t xml:space="preserve">국가별 관세·부가세·판매세·면세한도(de minimis)는 어떻게 다른가?</w:t>
      </w:r>
    </w:p>
    <w:p>
      <w:pPr>
        <w:pStyle w:val="ListParagraph"/>
        <w:numPr>
          <w:ilvl w:val="0"/>
          <w:numId w:val="2"/>
        </w:numPr>
        <w:spacing w:after="70" w:line="264"/>
      </w:pPr>
      <w:r>
        <w:rPr>
          <w:rFonts w:ascii="Malgun Gothic" w:cs="Malgun Gothic" w:eastAsia="Malgun Gothic" w:hAnsi="Malgun Gothic"/>
          <w:color w:val="1F2937"/>
          <w:sz w:val="20"/>
          <w:szCs w:val="20"/>
        </w:rPr>
        <w:t xml:space="preserve">한국 사회적협동조합으로 영리 판매대행을 하는 것이 법적으로 가능한가?</w:t>
      </w:r>
    </w:p>
    <w:p>
      <w:pPr>
        <w:pStyle w:val="ListParagraph"/>
        <w:numPr>
          <w:ilvl w:val="0"/>
          <w:numId w:val="2"/>
        </w:numPr>
        <w:spacing w:after="70" w:line="264"/>
      </w:pPr>
      <w:r>
        <w:rPr>
          <w:rFonts w:ascii="Malgun Gothic" w:cs="Malgun Gothic" w:eastAsia="Malgun Gothic" w:hAnsi="Malgun Gothic"/>
          <w:color w:val="1F2937"/>
          <w:sz w:val="20"/>
          <w:szCs w:val="20"/>
        </w:rPr>
        <w:t xml:space="preserve">미국-한국 관계사 간 위탁 수수료·자금 이동에서 무엇을 조심해야 하는가?</w:t>
      </w:r>
    </w:p>
    <w:p>
      <w:pPr>
        <w:pStyle w:val="ListParagraph"/>
        <w:numPr>
          <w:ilvl w:val="0"/>
          <w:numId w:val="2"/>
        </w:numPr>
        <w:spacing w:after="70" w:line="264"/>
      </w:pPr>
      <w:r>
        <w:rPr>
          <w:rFonts w:ascii="Malgun Gothic" w:cs="Malgun Gothic" w:eastAsia="Malgun Gothic" w:hAnsi="Malgun Gothic"/>
          <w:color w:val="1F2937"/>
          <w:sz w:val="20"/>
          <w:szCs w:val="20"/>
        </w:rPr>
        <w:t xml:space="preserve">쿠팡·Shopee·eBay·Shopify·Amazon 각 플랫폼의 셀러 요건은 무엇인가?</w:t>
      </w:r>
    </w:p>
    <w:p>
      <w:pPr>
        <w:pStyle w:val="Heading2"/>
        <w:spacing w:after="100" w:before="160"/>
      </w:pPr>
      <w:r>
        <w:rPr>
          <w:rFonts w:ascii="Malgun Gothic" w:cs="Malgun Gothic" w:eastAsia="Malgun Gothic" w:hAnsi="Malgun Gothic"/>
          <w:b/>
          <w:bCs/>
          <w:color w:val="1F2937"/>
          <w:sz w:val="24"/>
          <w:szCs w:val="24"/>
        </w:rPr>
        <w:t xml:space="preserve">1.2 문서 구조</w:t>
      </w:r>
    </w:p>
    <w:p>
      <w:pPr>
        <w:spacing w:after="120" w:line="276"/>
      </w:pPr>
      <w:r>
        <w:rPr>
          <w:rFonts w:ascii="Malgun Gothic" w:cs="Malgun Gothic" w:eastAsia="Malgun Gothic" w:hAnsi="Malgun Gothic"/>
          <w:color w:val="1F2937"/>
          <w:sz w:val="20"/>
          <w:szCs w:val="20"/>
        </w:rPr>
        <w:t xml:space="preserve">2~4장은 법인·계약 구조, 5~6장은 관세·부가세, 7~9장은 이전가격·외환·결제 규제, 10~11장은 개인정보·플랫폼 요건, 12~17장은 종합 매트릭스·체크리스트·실행 로드맵·용어집으로 구성됩니다.</w:t>
      </w:r>
    </w:p>
    <w:tbl>
      <w:tblPr>
        <w:tblW w:type="pct" w:w="100%"/>
        <w:tblBorders>
          <w:top w:val="single" w:color="0F766E" w:sz="2"/>
          <w:left w:val="single" w:color="0F766E" w:sz="14"/>
          <w:bottom w:val="single" w:color="0F766E" w:sz="2"/>
          <w:right w:val="single" w:color="0F766E" w:sz="2"/>
          <w:insideH w:val="none"/>
          <w:insideV w:val="none"/>
        </w:tblBorders>
      </w:tblPr>
      <w:tblGrid>
        <w:gridCol w:w="9360"/>
      </w:tblGrid>
      <w:tr>
        <w:tc>
          <w:tcPr>
            <w:tcW w:type="dxa" w:w="9360"/>
            <w:shd w:fill="F3F4F6" w:val="clear"/>
            <w:tcMar>
              <w:top w:type="dxa" w:w="120"/>
              <w:left w:type="dxa" w:w="160"/>
              <w:bottom w:type="dxa" w:w="120"/>
              <w:right w:type="dxa" w:w="160"/>
            </w:tcMar>
          </w:tcPr>
          <w:p>
            <w:pPr>
              <w:spacing w:after="60"/>
            </w:pPr>
            <w:r>
              <w:rPr>
                <w:rFonts w:ascii="Malgun Gothic" w:cs="Malgun Gothic" w:eastAsia="Malgun Gothic" w:hAnsi="Malgun Gothic"/>
                <w:b/>
                <w:bCs/>
                <w:color w:val="0F766E"/>
                <w:sz w:val="20"/>
                <w:szCs w:val="20"/>
              </w:rPr>
              <w:t xml:space="preserve">표기 규칙</w:t>
            </w:r>
          </w:p>
          <w:p>
            <w:pPr>
              <w:spacing w:after="40" w:line="264"/>
            </w:pPr>
            <w:r>
              <w:rPr>
                <w:rFonts w:ascii="Malgun Gothic" w:cs="Malgun Gothic" w:eastAsia="Malgun Gothic" w:hAnsi="Malgun Gothic"/>
                <w:color w:val="1F2937"/>
                <w:sz w:val="19"/>
                <w:szCs w:val="19"/>
              </w:rPr>
              <w:t xml:space="preserve">‘확인필요’ 표기는 수치·기준이 자주 바뀌어 집행 전 최신값 확인이 필요한 항목입니다. ‘★’는 구조 성패를 좌우하는 핵심 쟁점입니다.</w:t>
            </w:r>
          </w:p>
        </w:tc>
      </w:tr>
    </w:tbl>
    <w:p>
      <w:pPr>
        <w:pStyle w:val="Heading1"/>
        <w:pageBreakBefore/>
        <w:spacing w:after="160" w:before="60"/>
      </w:pPr>
      <w:r>
        <w:rPr>
          <w:rFonts w:ascii="Malgun Gothic" w:cs="Malgun Gothic" w:eastAsia="Malgun Gothic" w:hAnsi="Malgun Gothic"/>
          <w:b/>
          <w:bCs/>
          <w:color w:val="0F766E"/>
          <w:sz w:val="30"/>
          <w:szCs w:val="30"/>
        </w:rPr>
        <w:t xml:space="preserve">2. 사업 구조 요약 — 2법인 · 3트랙</w:t>
      </w:r>
    </w:p>
    <w:p>
      <w:pPr>
        <w:spacing w:after="120" w:line="276"/>
      </w:pPr>
      <w:r>
        <w:rPr>
          <w:rFonts w:ascii="Malgun Gothic" w:cs="Malgun Gothic" w:eastAsia="Malgun Gothic" w:hAnsi="Malgun Gothic"/>
          <w:color w:val="1F2937"/>
          <w:sz w:val="20"/>
          <w:szCs w:val="20"/>
        </w:rPr>
        <w:t xml:space="preserve">전체 거래를 판매 시장과 규모에 따라 3개 트랙으로 분리하고, 각 트랙을 담당 법인·결제수단·정산계좌에 매핑합니다.</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1300"/>
        <w:gridCol w:w="2400"/>
        <w:gridCol w:w="2100"/>
        <w:gridCol w:w="1900"/>
        <w:gridCol w:w="1660"/>
      </w:tblGrid>
      <w:tr>
        <w:trPr>
          <w:tblHeader/>
        </w:trPr>
        <w:tc>
          <w:tcPr>
            <w:tcW w:type="dxa" w:w="13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트랙</w:t>
            </w:r>
          </w:p>
        </w:tc>
        <w:tc>
          <w:tcPr>
            <w:tcW w:type="dxa" w:w="24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조건</w:t>
            </w:r>
          </w:p>
        </w:tc>
        <w:tc>
          <w:tcPr>
            <w:tcW w:type="dxa" w:w="21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담당 법인</w:t>
            </w:r>
          </w:p>
        </w:tc>
        <w:tc>
          <w:tcPr>
            <w:tcW w:type="dxa" w:w="19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결제(PG)</w:t>
            </w:r>
          </w:p>
        </w:tc>
        <w:tc>
          <w:tcPr>
            <w:tcW w:type="dxa" w:w="166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정산 귀속</w:t>
            </w:r>
          </w:p>
        </w:tc>
      </w:tr>
      <w:tr>
        <w:tc>
          <w:tcPr>
            <w:tcW w:type="dxa" w:w="13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A 해외 대형</w:t>
            </w:r>
          </w:p>
        </w:tc>
        <w:tc>
          <w:tcPr>
            <w:tcW w:type="dxa" w:w="2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해외 구매자 &amp; 주문 ≥ US$100</w:t>
            </w:r>
          </w:p>
        </w:tc>
        <w:tc>
          <w:tcPr>
            <w:tcW w:type="dxa" w:w="21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테라브릿지캐피탈(US)</w:t>
            </w:r>
          </w:p>
        </w:tc>
        <w:tc>
          <w:tcPr>
            <w:tcW w:type="dxa" w:w="19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Stripe (USD)</w:t>
            </w:r>
          </w:p>
        </w:tc>
        <w:tc>
          <w:tcPr>
            <w:tcW w:type="dxa" w:w="1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테라브릿지</w:t>
            </w:r>
          </w:p>
        </w:tc>
      </w:tr>
      <w:tr>
        <w:tc>
          <w:tcPr>
            <w:tcW w:type="dxa" w:w="13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B 국내 판매</w:t>
            </w:r>
          </w:p>
        </w:tc>
        <w:tc>
          <w:tcPr>
            <w:tcW w:type="dxa" w:w="2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한국(KR) 구매자</w:t>
            </w:r>
          </w:p>
        </w:tc>
        <w:tc>
          <w:tcPr>
            <w:tcW w:type="dxa" w:w="21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파트너스 협동조합(KR)</w:t>
            </w:r>
          </w:p>
        </w:tc>
        <w:tc>
          <w:tcPr>
            <w:tcW w:type="dxa" w:w="19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토스페이먼츠 (KRW)</w:t>
            </w:r>
          </w:p>
        </w:tc>
        <w:tc>
          <w:tcPr>
            <w:tcW w:type="dxa" w:w="16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파트너스 → (수수료 후) 테라브릿지</w:t>
            </w:r>
          </w:p>
        </w:tc>
      </w:tr>
      <w:tr>
        <w:tc>
          <w:tcPr>
            <w:tcW w:type="dxa" w:w="13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C 해외 소규모</w:t>
            </w:r>
          </w:p>
        </w:tc>
        <w:tc>
          <w:tcPr>
            <w:tcW w:type="dxa" w:w="2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해외 구매자 &amp; 주문 &lt; US$100</w:t>
            </w:r>
          </w:p>
        </w:tc>
        <w:tc>
          <w:tcPr>
            <w:tcW w:type="dxa" w:w="21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파트너스(역직구 테스트)</w:t>
            </w:r>
          </w:p>
        </w:tc>
        <w:tc>
          <w:tcPr>
            <w:tcW w:type="dxa" w:w="19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Stripe/해외PG</w:t>
            </w:r>
          </w:p>
        </w:tc>
        <w:tc>
          <w:tcPr>
            <w:tcW w:type="dxa" w:w="1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파트너스</w:t>
            </w:r>
          </w:p>
        </w:tc>
      </w:tr>
    </w:tbl>
    <w:p>
      <w:pPr>
        <w:spacing w:after="80"/>
      </w:pPr>
      <w:r>
        <w:rPr>
          <w:rFonts w:ascii="Malgun Gothic" w:cs="Malgun Gothic" w:eastAsia="Malgun Gothic" w:hAnsi="Malgun Gothic"/>
          <w:color w:val="1F2937"/>
          <w:sz w:val="20"/>
          <w:szCs w:val="20"/>
        </w:rPr>
        <w:t xml:space="preserve"/>
      </w:r>
    </w:p>
    <w:p>
      <w:pPr>
        <w:spacing w:after="120" w:line="276"/>
      </w:pPr>
      <w:r>
        <w:rPr>
          <w:rFonts w:ascii="Malgun Gothic" w:cs="Malgun Gothic" w:eastAsia="Malgun Gothic" w:hAnsi="Malgun Gothic"/>
          <w:color w:val="1F2937"/>
          <w:sz w:val="20"/>
          <w:szCs w:val="20"/>
        </w:rPr>
        <w:t xml:space="preserve">트랙 C는 파트너스 사회적협동조합의 월 매출 상한(예: 3,000만원)에 근접하면 신규 물량을 테라브릿지로 자동 우회하도록 설계합니다. 트랙 B(국내)는 한국 셀러 오브 레코드가 필요해 우회가 불가하므로, 상한 초과가 예상되면 운영 경고를 발생시킵니다.</w:t>
      </w:r>
    </w:p>
    <w:p>
      <w:pPr>
        <w:pStyle w:val="Heading2"/>
        <w:spacing w:after="100" w:before="160"/>
      </w:pPr>
      <w:r>
        <w:rPr>
          <w:rFonts w:ascii="Malgun Gothic" w:cs="Malgun Gothic" w:eastAsia="Malgun Gothic" w:hAnsi="Malgun Gothic"/>
          <w:b/>
          <w:bCs/>
          <w:color w:val="1F2937"/>
          <w:sz w:val="24"/>
          <w:szCs w:val="24"/>
        </w:rPr>
        <w:t xml:space="preserve">2.1 구조 설계의 세무·법무 논리</w:t>
      </w:r>
    </w:p>
    <w:p>
      <w:pPr>
        <w:pStyle w:val="ListParagraph"/>
        <w:numPr>
          <w:ilvl w:val="0"/>
          <w:numId w:val="2"/>
        </w:numPr>
        <w:spacing w:after="70" w:line="264"/>
      </w:pPr>
      <w:r>
        <w:rPr>
          <w:rFonts w:ascii="Malgun Gothic" w:cs="Malgun Gothic" w:eastAsia="Malgun Gothic" w:hAnsi="Malgun Gothic"/>
          <w:color w:val="1F2937"/>
          <w:sz w:val="20"/>
          <w:szCs w:val="20"/>
        </w:rPr>
        <w:t xml:space="preserve">국내 판매를 한국 법인(파트너스)이 셀러 오브 레코드로 담당 → 통신판매업 신고·부가세·개인통관·한국어 CS가 국내법 체계 안에서 자연스럽게 처리됨.</w:t>
      </w:r>
    </w:p>
    <w:p>
      <w:pPr>
        <w:pStyle w:val="ListParagraph"/>
        <w:numPr>
          <w:ilvl w:val="0"/>
          <w:numId w:val="2"/>
        </w:numPr>
        <w:spacing w:after="70" w:line="264"/>
      </w:pPr>
      <w:r>
        <w:rPr>
          <w:rFonts w:ascii="Malgun Gothic" w:cs="Malgun Gothic" w:eastAsia="Malgun Gothic" w:hAnsi="Malgun Gothic"/>
          <w:color w:val="1F2937"/>
          <w:sz w:val="20"/>
          <w:szCs w:val="20"/>
        </w:rPr>
        <w:t xml:space="preserve">대형 해외 매출을 미국 법인(테라브릿지)에 귀속 → 반복 환전·외국환 신고 부담 축소, 글로벌 결제(Stripe) 활용.</w:t>
      </w:r>
    </w:p>
    <w:p>
      <w:pPr>
        <w:pStyle w:val="ListParagraph"/>
        <w:numPr>
          <w:ilvl w:val="0"/>
          <w:numId w:val="2"/>
        </w:numPr>
        <w:spacing w:after="70" w:line="264"/>
      </w:pPr>
      <w:r>
        <w:rPr>
          <w:rFonts w:ascii="Malgun Gothic" w:cs="Malgun Gothic" w:eastAsia="Malgun Gothic" w:hAnsi="Malgun Gothic"/>
          <w:color w:val="1F2937"/>
          <w:sz w:val="20"/>
          <w:szCs w:val="20"/>
        </w:rPr>
        <w:t xml:space="preserve">검증 안 된 소규모 신상품은 파트너스로 저위험 시장 테스트 → 실패 비용 격리.</w:t>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주의 ★</w:t>
            </w:r>
          </w:p>
          <w:p>
            <w:pPr>
              <w:spacing w:after="40" w:line="264"/>
            </w:pPr>
            <w:r>
              <w:rPr>
                <w:rFonts w:ascii="Malgun Gothic" w:cs="Malgun Gothic" w:eastAsia="Malgun Gothic" w:hAnsi="Malgun Gothic"/>
                <w:color w:val="1F2937"/>
                <w:sz w:val="19"/>
                <w:szCs w:val="19"/>
              </w:rPr>
              <w:t xml:space="preserve">이 구조의 세무 효율은 ‘각 법인이 실제로 그 기능·위험·자산을 부담(substance)’ 할 때만 인정됩니다. 서류상 분리만으로 매출을 옮기면 실질과세·이전가격 부인 위험이 있습니다.</w:t>
            </w:r>
          </w:p>
        </w:tc>
      </w:tr>
    </w:tbl>
    <w:p>
      <w:pPr>
        <w:pStyle w:val="Heading1"/>
        <w:pageBreakBefore/>
        <w:spacing w:after="160" w:before="60"/>
      </w:pPr>
      <w:r>
        <w:rPr>
          <w:rFonts w:ascii="Malgun Gothic" w:cs="Malgun Gothic" w:eastAsia="Malgun Gothic" w:hAnsi="Malgun Gothic"/>
          <w:b/>
          <w:bCs/>
          <w:color w:val="0F766E"/>
          <w:sz w:val="30"/>
          <w:szCs w:val="30"/>
        </w:rPr>
        <w:t xml:space="preserve">3. 법인격 비교 — 미국 법인 vs 한국 사회적협동조합</w:t>
      </w:r>
    </w:p>
    <w:p>
      <w:pPr>
        <w:pStyle w:val="Heading2"/>
        <w:spacing w:after="100" w:before="160"/>
      </w:pPr>
      <w:r>
        <w:rPr>
          <w:rFonts w:ascii="Malgun Gothic" w:cs="Malgun Gothic" w:eastAsia="Malgun Gothic" w:hAnsi="Malgun Gothic"/>
          <w:b/>
          <w:bCs/>
          <w:color w:val="1F2937"/>
          <w:sz w:val="24"/>
          <w:szCs w:val="24"/>
        </w:rPr>
        <w:t xml:space="preserve">3.1 미국 법인 유형 (테라브릿지캐피탈)</w:t>
      </w:r>
    </w:p>
    <w:p>
      <w:pPr>
        <w:spacing w:after="120" w:line="276"/>
      </w:pPr>
      <w:r>
        <w:rPr>
          <w:rFonts w:ascii="Malgun Gothic" w:cs="Malgun Gothic" w:eastAsia="Malgun Gothic" w:hAnsi="Malgun Gothic"/>
          <w:color w:val="1F2937"/>
          <w:sz w:val="20"/>
          <w:szCs w:val="20"/>
        </w:rPr>
        <w:t xml:space="preserve">미국에서 이커머스 본체로 흔히 쓰이는 형태는 LLC와 C-Corporation입니다.</w:t>
      </w:r>
    </w:p>
    <w:p>
      LLC(유한책임회사): 
      <w:r>
        <w:rPr>
          <w:rFonts w:ascii="Malgun Gothic" w:cs="Malgun Gothic" w:eastAsia="Malgun Gothic" w:hAnsi="Malgun Gothic"/>
          <w:sz w:val="20"/>
          <w:szCs w:val="20"/>
        </w:rPr>
        <w:t xml:space="preserve">설립·운영이 유연하고 기본적으로 pass-through 과세(구성원 과세). 외국인 단독 소유 가능(주별 상이).</w:t>
      </w:r>
    </w:p>
    <w:p>
      C-Corp: 
      <w:r>
        <w:rPr>
          <w:rFonts w:ascii="Malgun Gothic" w:cs="Malgun Gothic" w:eastAsia="Malgun Gothic" w:hAnsi="Malgun Gothic"/>
          <w:sz w:val="20"/>
          <w:szCs w:val="20"/>
        </w:rPr>
        <w:t xml:space="preserve">법인세(연방 21% + 주세) 후 배당 시 이중과세. 대신 투자유치·지분구조에 유리.</w:t>
      </w:r>
    </w:p>
    <w:p>
      <w:pPr>
        <w:spacing w:after="120" w:line="276"/>
      </w:pPr>
      <w:r>
        <w:rPr>
          <w:rFonts w:ascii="Malgun Gothic" w:cs="Malgun Gothic" w:eastAsia="Malgun Gothic" w:hAnsi="Malgun Gothic"/>
          <w:color w:val="1F2937"/>
          <w:sz w:val="20"/>
          <w:szCs w:val="20"/>
        </w:rPr>
        <w:t xml:space="preserve">‘Capital’이라는 상호가 금융·자본 취급을 시사하더라도, 실제 사업이 상품 매매(무역)라면 금융 라이선스 대상이 아닐 수 있습니다. 다만 제3자 자금 수취·대여·환전이 포함되면 money transmitter(자금이체업) 등록 이슈가 생기므로 상호와 실제 업무를 일치시켜야 합니다. (확인필요)</w:t>
      </w:r>
    </w:p>
    <w:p>
      <w:pPr>
        <w:pStyle w:val="Heading2"/>
        <w:spacing w:after="100" w:before="160"/>
      </w:pPr>
      <w:r>
        <w:rPr>
          <w:rFonts w:ascii="Malgun Gothic" w:cs="Malgun Gothic" w:eastAsia="Malgun Gothic" w:hAnsi="Malgun Gothic"/>
          <w:b/>
          <w:bCs/>
          <w:color w:val="1F2937"/>
          <w:sz w:val="24"/>
          <w:szCs w:val="24"/>
        </w:rPr>
        <w:t xml:space="preserve">3.2 한국 사회적협동조합 (파트너스) ★</w:t>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가장 중요한 제약 — 반드시 정관·인가 확인</w:t>
            </w:r>
          </w:p>
          <w:p>
            <w:pPr>
              <w:spacing w:after="40" w:line="264"/>
            </w:pPr>
            <w:r>
              <w:rPr>
                <w:rFonts w:ascii="Malgun Gothic" w:cs="Malgun Gothic" w:eastAsia="Malgun Gothic" w:hAnsi="Malgun Gothic"/>
                <w:color w:val="1F2937"/>
                <w:sz w:val="19"/>
                <w:szCs w:val="19"/>
              </w:rPr>
              <w:t xml:space="preserve">사회적협동조합은 협동조합기본법에 따른 ‘비영리법인’입니다. 일반 (영리)협동조합과 달리 ① 배당이 원칙적으로 금지되고, ② 주 사업이 지역사회 공헌·취약계층 지원 등 공익 목적이어야 하며(공익사업 비중 요건), ③ 설립에 시·도 또는 관계 중앙행정기관의 ‘인가’가 필요합니다.</w:t>
            </w:r>
          </w:p>
          <w:p>
            <w:pPr>
              <w:spacing w:after="40" w:line="264"/>
            </w:pPr>
            <w:r>
              <w:rPr>
                <w:rFonts w:ascii="Malgun Gothic" w:cs="Malgun Gothic" w:eastAsia="Malgun Gothic" w:hAnsi="Malgun Gothic"/>
                <w:color w:val="1F2937"/>
                <w:sz w:val="19"/>
                <w:szCs w:val="19"/>
              </w:rPr>
              <w:t xml:space="preserve">따라서 미국 영리법인의 상품을 국내에서 단순 판매대행하여 수수료 수익을 올리는 행위가, 해당 협동조합의 ‘인가받은 정관상 사업 범위’와 ‘공익 목적’에 부합하는지 먼저 확인해야 합니다. 부합하지 않으면 정관 변경·사업 추가 인가 또는 별도 영리법인 활용이 필요할 수 있습니다.</w:t>
            </w:r>
          </w:p>
        </w:tc>
      </w:tr>
    </w:tbl>
    <w:p>
      <w:pPr>
        <w:spacing w:after="120" w:line="276"/>
      </w:pPr>
      <w:r>
        <w:rPr>
          <w:rFonts w:ascii="Malgun Gothic" w:cs="Malgun Gothic" w:eastAsia="Malgun Gothic" w:hAnsi="Malgun Gothic"/>
          <w:color w:val="1F2937"/>
          <w:sz w:val="20"/>
          <w:szCs w:val="20"/>
        </w:rPr>
        <w:t xml:space="preserve">사회적협동조합을 쓰는 이점(사회적 가치·조달 우대·특정 지원사업 참여 등)과 제약(배당 제한·목적사업 제한)을 함께 저울질해야 합니다. 순수 영리 판매대행 비중이 크다면, 별도의 영리 자회사(주식회사 등)를 두고 협동조합은 공익 연계 부분만 담당하는 하이브리드도 대안입니다.</w:t>
      </w:r>
    </w:p>
    <w:p>
      <w:pPr>
        <w:pStyle w:val="Heading2"/>
        <w:spacing w:after="100" w:before="160"/>
      </w:pPr>
      <w:r>
        <w:rPr>
          <w:rFonts w:ascii="Malgun Gothic" w:cs="Malgun Gothic" w:eastAsia="Malgun Gothic" w:hAnsi="Malgun Gothic"/>
          <w:b/>
          <w:bCs/>
          <w:color w:val="1F2937"/>
          <w:sz w:val="24"/>
          <w:szCs w:val="24"/>
        </w:rPr>
        <w:t xml:space="preserve">3.3 법인격 비교 표</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1500"/>
        <w:gridCol w:w="3900"/>
        <w:gridCol w:w="3960"/>
      </w:tblGrid>
      <w:tr>
        <w:trPr>
          <w:tblHeader/>
        </w:trPr>
        <w:tc>
          <w:tcPr>
            <w:tcW w:type="dxa" w:w="15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항목</w:t>
            </w:r>
          </w:p>
        </w:tc>
        <w:tc>
          <w:tcPr>
            <w:tcW w:type="dxa" w:w="39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US LLC/C-Corp (테라브릿지)</w:t>
            </w:r>
          </w:p>
        </w:tc>
        <w:tc>
          <w:tcPr>
            <w:tcW w:type="dxa" w:w="396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한국 사회적협동조합 (파트너스)</w:t>
            </w:r>
          </w:p>
        </w:tc>
      </w:tr>
      <w:tr>
        <w:tc>
          <w:tcPr>
            <w:tcW w:type="dxa" w:w="1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성격</w:t>
            </w:r>
          </w:p>
        </w:tc>
        <w:tc>
          <w:tcPr>
            <w:tcW w:type="dxa" w:w="39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영리</w:t>
            </w:r>
          </w:p>
        </w:tc>
        <w:tc>
          <w:tcPr>
            <w:tcW w:type="dxa" w:w="39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비영리(공익)</w:t>
            </w:r>
          </w:p>
        </w:tc>
      </w:tr>
      <w:tr>
        <w:tc>
          <w:tcPr>
            <w:tcW w:type="dxa" w:w="1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과세</w:t>
            </w:r>
          </w:p>
        </w:tc>
        <w:tc>
          <w:tcPr>
            <w:tcW w:type="dxa" w:w="39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LLC pass-through / C-Corp 법인세</w:t>
            </w:r>
          </w:p>
        </w:tc>
        <w:tc>
          <w:tcPr>
            <w:tcW w:type="dxa" w:w="39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법인세 과세(수익사업), 고유목적 부분 비과세 가능</w:t>
            </w:r>
          </w:p>
        </w:tc>
      </w:tr>
      <w:tr>
        <w:tc>
          <w:tcPr>
            <w:tcW w:type="dxa" w:w="1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이익 배당</w:t>
            </w:r>
          </w:p>
        </w:tc>
        <w:tc>
          <w:tcPr>
            <w:tcW w:type="dxa" w:w="39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가능</w:t>
            </w:r>
          </w:p>
        </w:tc>
        <w:tc>
          <w:tcPr>
            <w:tcW w:type="dxa" w:w="39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원칙 금지</w:t>
            </w:r>
          </w:p>
        </w:tc>
      </w:tr>
      <w:tr>
        <w:tc>
          <w:tcPr>
            <w:tcW w:type="dxa" w:w="1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설립</w:t>
            </w:r>
          </w:p>
        </w:tc>
        <w:tc>
          <w:tcPr>
            <w:tcW w:type="dxa" w:w="39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주 등록(신속)</w:t>
            </w:r>
          </w:p>
        </w:tc>
        <w:tc>
          <w:tcPr>
            <w:tcW w:type="dxa" w:w="39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발기+인가(관계기관 승인 필요)</w:t>
            </w:r>
          </w:p>
        </w:tc>
      </w:tr>
      <w:tr>
        <w:tc>
          <w:tcPr>
            <w:tcW w:type="dxa" w:w="1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국내 셀러 자격</w:t>
            </w:r>
          </w:p>
        </w:tc>
        <w:tc>
          <w:tcPr>
            <w:tcW w:type="dxa" w:w="39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한국 통신판매업 직접 어려움</w:t>
            </w:r>
          </w:p>
        </w:tc>
        <w:tc>
          <w:tcPr>
            <w:tcW w:type="dxa" w:w="39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국내 셀러 오브 레코드 가능</w:t>
            </w:r>
          </w:p>
        </w:tc>
      </w:tr>
      <w:tr>
        <w:tc>
          <w:tcPr>
            <w:tcW w:type="dxa" w:w="1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적합 역할</w:t>
            </w:r>
          </w:p>
        </w:tc>
        <w:tc>
          <w:tcPr>
            <w:tcW w:type="dxa" w:w="39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글로벌 본체·대형 거래</w:t>
            </w:r>
          </w:p>
        </w:tc>
        <w:tc>
          <w:tcPr>
            <w:tcW w:type="dxa" w:w="39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국내 위탁판매·공익 연계</w:t>
            </w:r>
          </w:p>
        </w:tc>
      </w:tr>
    </w:tbl>
    <w:p>
      <w:pPr>
        <w:pStyle w:val="Heading1"/>
        <w:pageBreakBefore/>
        <w:spacing w:after="160" w:before="60"/>
      </w:pPr>
      <w:r>
        <w:rPr>
          <w:rFonts w:ascii="Malgun Gothic" w:cs="Malgun Gothic" w:eastAsia="Malgun Gothic" w:hAnsi="Malgun Gothic"/>
          <w:b/>
          <w:bCs/>
          <w:color w:val="0F766E"/>
          <w:sz w:val="30"/>
          <w:szCs w:val="30"/>
        </w:rPr>
        <w:t xml:space="preserve">4. 위탁판매(Consignment) 법적·세무 구조</w:t>
      </w:r>
    </w:p>
    <w:p>
      <w:pPr>
        <w:spacing w:after="120" w:line="276"/>
      </w:pPr>
      <w:r>
        <w:rPr>
          <w:rFonts w:ascii="Malgun Gothic" w:cs="Malgun Gothic" w:eastAsia="Malgun Gothic" w:hAnsi="Malgun Gothic"/>
          <w:color w:val="1F2937"/>
          <w:sz w:val="20"/>
          <w:szCs w:val="20"/>
        </w:rPr>
        <w:t xml:space="preserve">트랙 B(국내)는 테라브릿지가 위탁자(consignor·본인), 파트너스가 수탁자(consignee·대행)가 되는 위탁판매 구조입니다.</w:t>
      </w:r>
    </w:p>
    <w:p>
      <w:pPr>
        <w:pStyle w:val="Heading2"/>
        <w:spacing w:after="100" w:before="160"/>
      </w:pPr>
      <w:r>
        <w:rPr>
          <w:rFonts w:ascii="Malgun Gothic" w:cs="Malgun Gothic" w:eastAsia="Malgun Gothic" w:hAnsi="Malgun Gothic"/>
          <w:b/>
          <w:bCs/>
          <w:color w:val="1F2937"/>
          <w:sz w:val="24"/>
          <w:szCs w:val="24"/>
        </w:rPr>
        <w:t xml:space="preserve">4.1 한국법상 위탁판매</w:t>
      </w:r>
    </w:p>
    <w:p>
      <w:pPr>
        <w:pStyle w:val="ListParagraph"/>
        <w:numPr>
          <w:ilvl w:val="0"/>
          <w:numId w:val="2"/>
        </w:numPr>
        <w:spacing w:after="70" w:line="264"/>
      </w:pPr>
      <w:r>
        <w:rPr>
          <w:rFonts w:ascii="Malgun Gothic" w:cs="Malgun Gothic" w:eastAsia="Malgun Gothic" w:hAnsi="Malgun Gothic"/>
          <w:color w:val="1F2937"/>
          <w:sz w:val="20"/>
          <w:szCs w:val="20"/>
        </w:rPr>
        <w:t xml:space="preserve">소유권: 위탁판매에서 재화의 소유권은 판매 시점까지 위탁자에게 있고, 수탁자는 대행 용역을 제공합니다.</w:t>
      </w:r>
    </w:p>
    <w:p>
      <w:pPr>
        <w:pStyle w:val="ListParagraph"/>
        <w:numPr>
          <w:ilvl w:val="0"/>
          <w:numId w:val="2"/>
        </w:numPr>
        <w:spacing w:after="70" w:line="264"/>
      </w:pPr>
      <w:r>
        <w:rPr>
          <w:rFonts w:ascii="Malgun Gothic" w:cs="Malgun Gothic" w:eastAsia="Malgun Gothic" w:hAnsi="Malgun Gothic"/>
          <w:color w:val="1F2937"/>
          <w:sz w:val="20"/>
          <w:szCs w:val="20"/>
        </w:rPr>
        <w:t xml:space="preserve">부가가치세: 수탁자가 소비자에게 세금계산서·현금영수증을 발행하되, 위탁자-수탁자 간에는 수수료(용역)에 대한 세금계산서가 별도로 오갑니다. 재화 공급 주체가 누구인지(위탁자↔소비자 vs 수탁자↔소비자)에 따라 처리가 달라지므로 세무사 확인이 필요합니다. (확인필요)</w:t>
      </w:r>
    </w:p>
    <w:p>
      <w:pPr>
        <w:pStyle w:val="ListParagraph"/>
        <w:numPr>
          <w:ilvl w:val="0"/>
          <w:numId w:val="2"/>
        </w:numPr>
        <w:spacing w:after="70" w:line="264"/>
      </w:pPr>
      <w:r>
        <w:rPr>
          <w:rFonts w:ascii="Malgun Gothic" w:cs="Malgun Gothic" w:eastAsia="Malgun Gothic" w:hAnsi="Malgun Gothic"/>
          <w:color w:val="1F2937"/>
          <w:sz w:val="20"/>
          <w:szCs w:val="20"/>
        </w:rPr>
        <w:t xml:space="preserve">매출 인식: 수탁자(파트너스)의 ‘매출’을 전체 판매액으로 볼지, 수탁 수수료만 볼지는 회계정책·계약구조에 따릅니다. 수수료만 매출로 잡으면 협동조합 매출 상한(3,000만원) 관리에 여유가 생깁니다. → 세무사 확인 후 정책 확정.</w:t>
      </w:r>
    </w:p>
    <w:p>
      <w:pPr>
        <w:pStyle w:val="Heading2"/>
        <w:spacing w:after="100" w:before="160"/>
      </w:pPr>
      <w:r>
        <w:rPr>
          <w:rFonts w:ascii="Malgun Gothic" w:cs="Malgun Gothic" w:eastAsia="Malgun Gothic" w:hAnsi="Malgun Gothic"/>
          <w:b/>
          <w:bCs/>
          <w:color w:val="1F2937"/>
          <w:sz w:val="24"/>
          <w:szCs w:val="24"/>
        </w:rPr>
        <w:t xml:space="preserve">4.2 미국법상 consignment</w:t>
      </w:r>
    </w:p>
    <w:p>
      <w:pPr>
        <w:spacing w:after="120" w:line="276"/>
      </w:pPr>
      <w:r>
        <w:rPr>
          <w:rFonts w:ascii="Malgun Gothic" w:cs="Malgun Gothic" w:eastAsia="Malgun Gothic" w:hAnsi="Malgun Gothic"/>
          <w:color w:val="1F2937"/>
          <w:sz w:val="20"/>
          <w:szCs w:val="20"/>
        </w:rPr>
        <w:t xml:space="preserve">미국에서도 consignment는 소유권이 consignor에 유지되는 대리판매입니다. 주(state)에 따라 UCC Article 9(담보권) 통지 요건이 있을 수 있고, sales tax 징수 주체(플랫폼/판매자)가 marketplace facilitator 법으로 정해집니다.</w:t>
      </w:r>
    </w:p>
    <w:p>
      <w:pPr>
        <w:pStyle w:val="Heading2"/>
        <w:spacing w:after="100" w:before="160"/>
      </w:pPr>
      <w:r>
        <w:rPr>
          <w:rFonts w:ascii="Malgun Gothic" w:cs="Malgun Gothic" w:eastAsia="Malgun Gothic" w:hAnsi="Malgun Gothic"/>
          <w:b/>
          <w:bCs/>
          <w:color w:val="1F2937"/>
          <w:sz w:val="24"/>
          <w:szCs w:val="24"/>
        </w:rPr>
        <w:t xml:space="preserve">4.3 관계사 위탁 시 유의 ★</w:t>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이전가격·실질 위험</w:t>
            </w:r>
          </w:p>
          <w:p>
            <w:pPr>
              <w:spacing w:after="40" w:line="264"/>
            </w:pPr>
            <w:r>
              <w:rPr>
                <w:rFonts w:ascii="Malgun Gothic" w:cs="Malgun Gothic" w:eastAsia="Malgun Gothic" w:hAnsi="Malgun Gothic"/>
                <w:color w:val="1F2937"/>
                <w:sz w:val="19"/>
                <w:szCs w:val="19"/>
              </w:rPr>
              <w:t xml:space="preserve">테라브릿지와 파트너스는 특수관계일 가능성이 큽니다. 위탁 수수료율이 ‘정상가격(arm's length)’과 크게 다르면 세무당국이 소득을 재계산(이전가격 조정)할 수 있습니다.</w:t>
            </w:r>
          </w:p>
          <w:p>
            <w:pPr>
              <w:spacing w:after="40" w:line="264"/>
            </w:pPr>
            <w:r>
              <w:rPr>
                <w:rFonts w:ascii="Malgun Gothic" w:cs="Malgun Gothic" w:eastAsia="Malgun Gothic" w:hAnsi="Malgun Gothic"/>
                <w:color w:val="1F2937"/>
                <w:sz w:val="19"/>
                <w:szCs w:val="19"/>
              </w:rPr>
              <w:t xml:space="preserve">위탁판매 계약서에 수수료율·정산주기·재고 소유권·반품/CS 책임·상표 사용·손실 부담 주체를 명확히 규정하고, 실제 자금·업무 흐름이 계약과 일치해야 합니다.</w:t>
            </w:r>
          </w:p>
        </w:tc>
      </w:tr>
    </w:tbl>
    <w:p>
      <w:pPr>
        <w:pStyle w:val="Heading1"/>
        <w:pageBreakBefore/>
        <w:spacing w:after="160" w:before="60"/>
      </w:pPr>
      <w:r>
        <w:rPr>
          <w:rFonts w:ascii="Malgun Gothic" w:cs="Malgun Gothic" w:eastAsia="Malgun Gothic" w:hAnsi="Malgun Gothic"/>
          <w:b/>
          <w:bCs/>
          <w:color w:val="0F766E"/>
          <w:sz w:val="30"/>
          <w:szCs w:val="30"/>
        </w:rPr>
        <w:t xml:space="preserve">5. 관세·통관 비교 (국가별)</w:t>
      </w:r>
    </w:p>
    <w:p>
      <w:pPr>
        <w:pStyle w:val="Heading2"/>
        <w:spacing w:after="100" w:before="160"/>
      </w:pPr>
      <w:r>
        <w:rPr>
          <w:rFonts w:ascii="Malgun Gothic" w:cs="Malgun Gothic" w:eastAsia="Malgun Gothic" w:hAnsi="Malgun Gothic"/>
          <w:b/>
          <w:bCs/>
          <w:color w:val="1F2937"/>
          <w:sz w:val="24"/>
          <w:szCs w:val="24"/>
        </w:rPr>
        <w:t xml:space="preserve">5.1 한국 — 수입통관과 개인통관고유부호</w:t>
      </w:r>
    </w:p>
    <w:p>
      <w:pPr>
        <w:pStyle w:val="ListParagraph"/>
        <w:numPr>
          <w:ilvl w:val="0"/>
          <w:numId w:val="2"/>
        </w:numPr>
        <w:spacing w:after="70" w:line="264"/>
      </w:pPr>
      <w:r>
        <w:rPr>
          <w:rFonts w:ascii="Malgun Gothic" w:cs="Malgun Gothic" w:eastAsia="Malgun Gothic" w:hAnsi="Malgun Gothic"/>
          <w:color w:val="1F2937"/>
          <w:sz w:val="20"/>
          <w:szCs w:val="20"/>
        </w:rPr>
        <w:t xml:space="preserve">한국으로 배송되는 해외직구 물품은 개인통관고유부호(P+숫자 12자리)가 필요합니다. 이는 수취인 본인 확인·통관용이며, 판매자는 결제 단계에서 수취해 배송·통관에 전달합니다.</w:t>
      </w:r>
    </w:p>
    <w:p>
      <w:pPr>
        <w:pStyle w:val="ListParagraph"/>
        <w:numPr>
          <w:ilvl w:val="0"/>
          <w:numId w:val="2"/>
        </w:numPr>
        <w:spacing w:after="70" w:line="264"/>
      </w:pPr>
      <w:r>
        <w:rPr>
          <w:rFonts w:ascii="Malgun Gothic" w:cs="Malgun Gothic" w:eastAsia="Malgun Gothic" w:hAnsi="Malgun Gothic"/>
          <w:color w:val="1F2937"/>
          <w:sz w:val="20"/>
          <w:szCs w:val="20"/>
        </w:rPr>
        <w:t xml:space="preserve">목록통관 면세한도: 자가사용 물품 기준 미화 150달러 이하(미국발은 한미FTA로 200달러 이하)는 관세·부가세가 면제되는 것이 일반적입니다. 초과 시 관세·부가세·개별소비세가 부과됩니다. (확인필요)</w:t>
      </w:r>
    </w:p>
    <w:p>
      <w:pPr>
        <w:pStyle w:val="ListParagraph"/>
        <w:numPr>
          <w:ilvl w:val="0"/>
          <w:numId w:val="2"/>
        </w:numPr>
        <w:spacing w:after="70" w:line="264"/>
      </w:pPr>
      <w:r>
        <w:rPr>
          <w:rFonts w:ascii="Malgun Gothic" w:cs="Malgun Gothic" w:eastAsia="Malgun Gothic" w:hAnsi="Malgun Gothic"/>
          <w:color w:val="1F2937"/>
          <w:sz w:val="20"/>
          <w:szCs w:val="20"/>
        </w:rPr>
        <w:t xml:space="preserve">주의: 판매(재판매) 목적, 합산과세(같은 날 같은 해외공급자 분할), 금지·제한 품목(식품·화장품·의약외품 등 요건확인 대상)은 면세와 별개로 규제됩니다.</w:t>
      </w:r>
    </w:p>
    <w:p>
      <w:pPr>
        <w:pStyle w:val="Heading2"/>
        <w:spacing w:after="100" w:before="160"/>
      </w:pPr>
      <w:r>
        <w:rPr>
          <w:rFonts w:ascii="Malgun Gothic" w:cs="Malgun Gothic" w:eastAsia="Malgun Gothic" w:hAnsi="Malgun Gothic"/>
          <w:b/>
          <w:bCs/>
          <w:color w:val="1F2937"/>
          <w:sz w:val="24"/>
          <w:szCs w:val="24"/>
        </w:rPr>
        <w:t xml:space="preserve">5.2 미국 — Section 321 de minimis</w:t>
      </w:r>
    </w:p>
    <w:p>
      <w:pPr>
        <w:pStyle w:val="ListParagraph"/>
        <w:numPr>
          <w:ilvl w:val="0"/>
          <w:numId w:val="2"/>
        </w:numPr>
        <w:spacing w:after="70" w:line="264"/>
      </w:pPr>
      <w:r>
        <w:rPr>
          <w:rFonts w:ascii="Malgun Gothic" w:cs="Malgun Gothic" w:eastAsia="Malgun Gothic" w:hAnsi="Malgun Gothic"/>
          <w:color w:val="1F2937"/>
          <w:sz w:val="20"/>
          <w:szCs w:val="20"/>
        </w:rPr>
        <w:t xml:space="preserve">미국은 1인 1일 수입가액 미화 800달러 이하를 관세·세금 없이 반입할 수 있는 de minimis(Section 321) 제도를 운영해 왔습니다. 소액 직배송에 유리한 조건입니다.</w:t>
      </w:r>
    </w:p>
    <w:p>
      <w:pPr>
        <w:pStyle w:val="ListParagraph"/>
        <w:numPr>
          <w:ilvl w:val="0"/>
          <w:numId w:val="2"/>
        </w:numPr>
        <w:spacing w:after="70" w:line="264"/>
      </w:pPr>
      <w:r>
        <w:rPr>
          <w:rFonts w:ascii="Malgun Gothic" w:cs="Malgun Gothic" w:eastAsia="Malgun Gothic" w:hAnsi="Malgun Gothic"/>
          <w:color w:val="1F2937"/>
          <w:sz w:val="20"/>
          <w:szCs w:val="20"/>
        </w:rPr>
        <w:t xml:space="preserve">단, 이 한도·적용 방식은 정책 변경 논의가 이어지는 영역이므로 집행 시점의 CBP 최신 규정 확인이 필수입니다. (확인필요 ★)</w:t>
      </w:r>
    </w:p>
    <w:p>
      <w:pPr>
        <w:pStyle w:val="Heading2"/>
        <w:spacing w:after="100" w:before="160"/>
      </w:pPr>
      <w:r>
        <w:rPr>
          <w:rFonts w:ascii="Malgun Gothic" w:cs="Malgun Gothic" w:eastAsia="Malgun Gothic" w:hAnsi="Malgun Gothic"/>
          <w:b/>
          <w:bCs/>
          <w:color w:val="1F2937"/>
          <w:sz w:val="24"/>
          <w:szCs w:val="24"/>
        </w:rPr>
        <w:t xml:space="preserve">5.3 EU — IOSS와 150유로</w:t>
      </w:r>
    </w:p>
    <w:p>
      <w:pPr>
        <w:pStyle w:val="ListParagraph"/>
        <w:numPr>
          <w:ilvl w:val="0"/>
          <w:numId w:val="2"/>
        </w:numPr>
        <w:spacing w:after="70" w:line="264"/>
      </w:pPr>
      <w:r>
        <w:rPr>
          <w:rFonts w:ascii="Malgun Gothic" w:cs="Malgun Gothic" w:eastAsia="Malgun Gothic" w:hAnsi="Malgun Gothic"/>
          <w:color w:val="1F2937"/>
          <w:sz w:val="20"/>
          <w:szCs w:val="20"/>
        </w:rPr>
        <w:t xml:space="preserve">EU는 150유로 이하 수입품에 대해 IOSS(Import One-Stop Shop)로 판매 시점에 VAT를 징수·신고하도록 합니다. 150유로 초과는 일반 수입 절차.</w:t>
      </w:r>
    </w:p>
    <w:p>
      <w:pPr>
        <w:pStyle w:val="Heading2"/>
        <w:spacing w:after="100" w:before="160"/>
      </w:pPr>
      <w:r>
        <w:rPr>
          <w:rFonts w:ascii="Malgun Gothic" w:cs="Malgun Gothic" w:eastAsia="Malgun Gothic" w:hAnsi="Malgun Gothic"/>
          <w:b/>
          <w:bCs/>
          <w:color w:val="1F2937"/>
          <w:sz w:val="24"/>
          <w:szCs w:val="24"/>
        </w:rPr>
        <w:t xml:space="preserve">5.4 동남아 주요국 면세한도(de minimis)</w:t>
      </w:r>
    </w:p>
    <w:tbl>
      <w:tblPr>
        <w:tblW w:type="dxa" w:w="8760"/>
        <w:tblBorders>
          <w:top w:val="single" w:color="D1D5DB" w:sz="1"/>
          <w:left w:val="single" w:color="D1D5DB" w:sz="1"/>
          <w:bottom w:val="single" w:color="D1D5DB" w:sz="1"/>
          <w:right w:val="single" w:color="D1D5DB" w:sz="1"/>
          <w:insideH w:val="single" w:color="D1D5DB" w:sz="1"/>
          <w:insideV w:val="single" w:color="D1D5DB" w:sz="1"/>
        </w:tblBorders>
      </w:tblPr>
      <w:tblGrid>
        <w:gridCol w:w="1500"/>
        <w:gridCol w:w="900"/>
        <w:gridCol w:w="4200"/>
        <w:gridCol w:w="2160"/>
      </w:tblGrid>
      <w:tr>
        <w:trPr>
          <w:tblHeader/>
        </w:trPr>
        <w:tc>
          <w:tcPr>
            <w:tcW w:type="dxa" w:w="15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국가</w:t>
            </w:r>
          </w:p>
        </w:tc>
        <w:tc>
          <w:tcPr>
            <w:tcW w:type="dxa" w:w="9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통화</w:t>
            </w:r>
          </w:p>
        </w:tc>
        <w:tc>
          <w:tcPr>
            <w:tcW w:type="dxa" w:w="42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저가 수입 면세/과세 개요</w:t>
            </w:r>
          </w:p>
        </w:tc>
        <w:tc>
          <w:tcPr>
            <w:tcW w:type="dxa" w:w="216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비고</w:t>
            </w:r>
          </w:p>
        </w:tc>
      </w:tr>
      <w:tr>
        <w:tc>
          <w:tcPr>
            <w:tcW w:type="dxa" w:w="1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싱가포르 SG</w:t>
            </w:r>
          </w:p>
        </w:tc>
        <w:tc>
          <w:tcPr>
            <w:tcW w:type="dxa" w:w="9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SGD</w:t>
            </w:r>
          </w:p>
        </w:tc>
        <w:tc>
          <w:tcPr>
            <w:tcW w:type="dxa" w:w="4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저가 수입품에도 GST 부과(2023~), GST 9%(2024)</w:t>
            </w:r>
          </w:p>
        </w:tc>
        <w:tc>
          <w:tcPr>
            <w:tcW w:type="dxa" w:w="21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LVG 제도, 확인필요</w:t>
            </w:r>
          </w:p>
        </w:tc>
      </w:tr>
      <w:tr>
        <w:tc>
          <w:tcPr>
            <w:tcW w:type="dxa" w:w="1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말레이시아 MY</w:t>
            </w:r>
          </w:p>
        </w:tc>
        <w:tc>
          <w:tcPr>
            <w:tcW w:type="dxa" w:w="9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MYR</w:t>
            </w:r>
          </w:p>
        </w:tc>
        <w:tc>
          <w:tcPr>
            <w:tcW w:type="dxa" w:w="42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저가 수입품(LVG) 판매세 10%(2024~)</w:t>
            </w:r>
          </w:p>
        </w:tc>
        <w:tc>
          <w:tcPr>
            <w:tcW w:type="dxa" w:w="21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RM500 이하 대상, 확인필요</w:t>
            </w:r>
          </w:p>
        </w:tc>
      </w:tr>
      <w:tr>
        <w:tc>
          <w:tcPr>
            <w:tcW w:type="dxa" w:w="1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태국 TH</w:t>
            </w:r>
          </w:p>
        </w:tc>
        <w:tc>
          <w:tcPr>
            <w:tcW w:type="dxa" w:w="9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THB</w:t>
            </w:r>
          </w:p>
        </w:tc>
        <w:tc>
          <w:tcPr>
            <w:tcW w:type="dxa" w:w="4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면세한도 축소 추세, VAT 7%</w:t>
            </w:r>
          </w:p>
        </w:tc>
        <w:tc>
          <w:tcPr>
            <w:tcW w:type="dxa" w:w="21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확인필요</w:t>
            </w:r>
          </w:p>
        </w:tc>
      </w:tr>
      <w:tr>
        <w:tc>
          <w:tcPr>
            <w:tcW w:type="dxa" w:w="1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베트남 VN</w:t>
            </w:r>
          </w:p>
        </w:tc>
        <w:tc>
          <w:tcPr>
            <w:tcW w:type="dxa" w:w="9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VND</w:t>
            </w:r>
          </w:p>
        </w:tc>
        <w:tc>
          <w:tcPr>
            <w:tcW w:type="dxa" w:w="42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소액 면세 제도 축소·폐지 논의</w:t>
            </w:r>
          </w:p>
        </w:tc>
        <w:tc>
          <w:tcPr>
            <w:tcW w:type="dxa" w:w="21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확인필요</w:t>
            </w:r>
          </w:p>
        </w:tc>
      </w:tr>
      <w:tr>
        <w:tc>
          <w:tcPr>
            <w:tcW w:type="dxa" w:w="1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인도네시아 ID</w:t>
            </w:r>
          </w:p>
        </w:tc>
        <w:tc>
          <w:tcPr>
            <w:tcW w:type="dxa" w:w="9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IDR</w:t>
            </w:r>
          </w:p>
        </w:tc>
        <w:tc>
          <w:tcPr>
            <w:tcW w:type="dxa" w:w="4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US$3 초과 시 관세·VAT 부과(엄격)</w:t>
            </w:r>
          </w:p>
        </w:tc>
        <w:tc>
          <w:tcPr>
            <w:tcW w:type="dxa" w:w="21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확인필요</w:t>
            </w:r>
          </w:p>
        </w:tc>
      </w:tr>
      <w:tr>
        <w:tc>
          <w:tcPr>
            <w:tcW w:type="dxa" w:w="1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필리핀 PH</w:t>
            </w:r>
          </w:p>
        </w:tc>
        <w:tc>
          <w:tcPr>
            <w:tcW w:type="dxa" w:w="9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PHP</w:t>
            </w:r>
          </w:p>
        </w:tc>
        <w:tc>
          <w:tcPr>
            <w:tcW w:type="dxa" w:w="42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₱10,000 이하 면세 경향, VAT 12%</w:t>
            </w:r>
          </w:p>
        </w:tc>
        <w:tc>
          <w:tcPr>
            <w:tcW w:type="dxa" w:w="21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확인필요</w:t>
            </w:r>
          </w:p>
        </w:tc>
      </w:tr>
    </w:tbl>
    <w:p>
      <w:pPr>
        <w:spacing w:after="80"/>
      </w:pPr>
      <w:r>
        <w:rPr>
          <w:rFonts w:ascii="Malgun Gothic" w:cs="Malgun Gothic" w:eastAsia="Malgun Gothic" w:hAnsi="Malgun Gothic"/>
          <w:color w:val="1F2937"/>
          <w:sz w:val="20"/>
          <w:szCs w:val="20"/>
        </w:rPr>
        <w:t xml:space="preserve"/>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동남아 공통 주의</w:t>
            </w:r>
          </w:p>
          <w:p>
            <w:pPr>
              <w:spacing w:after="40" w:line="264"/>
            </w:pPr>
            <w:r>
              <w:rPr>
                <w:rFonts w:ascii="Malgun Gothic" w:cs="Malgun Gothic" w:eastAsia="Malgun Gothic" w:hAnsi="Malgun Gothic"/>
                <w:color w:val="1F2937"/>
                <w:sz w:val="19"/>
                <w:szCs w:val="19"/>
              </w:rPr>
              <w:t xml:space="preserve">동남아 각국은 자국 산업 보호·세수 확보를 위해 저가 수입 면세를 빠르게 축소·과세로 전환하는 추세입니다. Shopee 등 플랫폼은 한국 집화창고(김포/인천)를 거쳐 현지로 보내는 구조를 요구하기도 하므로, ‘중국 CJ → 한국 집화 → 현지’ 물류를 별도로 설계해야 합니다. 각국 수치는 반드시 최신 확인.</w:t>
            </w:r>
          </w:p>
        </w:tc>
      </w:tr>
    </w:tbl>
    <w:p>
      <w:pPr>
        <w:pStyle w:val="Heading2"/>
        <w:spacing w:after="100" w:before="160"/>
      </w:pPr>
      <w:r>
        <w:rPr>
          <w:rFonts w:ascii="Malgun Gothic" w:cs="Malgun Gothic" w:eastAsia="Malgun Gothic" w:hAnsi="Malgun Gothic"/>
          <w:b/>
          <w:bCs/>
          <w:color w:val="1F2937"/>
          <w:sz w:val="24"/>
          <w:szCs w:val="24"/>
        </w:rPr>
        <w:t xml:space="preserve">5.5 일본 — 소액 수입</w:t>
      </w:r>
    </w:p>
    <w:p>
      <w:pPr>
        <w:pStyle w:val="ListParagraph"/>
        <w:numPr>
          <w:ilvl w:val="0"/>
          <w:numId w:val="2"/>
        </w:numPr>
        <w:spacing w:after="70" w:line="264"/>
      </w:pPr>
      <w:r>
        <w:rPr>
          <w:rFonts w:ascii="Malgun Gothic" w:cs="Malgun Gothic" w:eastAsia="Malgun Gothic" w:hAnsi="Malgun Gothic"/>
          <w:color w:val="1F2937"/>
          <w:sz w:val="20"/>
          <w:szCs w:val="20"/>
        </w:rPr>
        <w:t xml:space="preserve">일본은 과세가격 1만엔 이하 소액 수입에 대해 관세·소비세 면제가 적용되는 경우가 있으나 품목별 예외(가죽·편물 등)가 있습니다. 소비세 10%. (확인필요)</w:t>
      </w:r>
    </w:p>
    <w:p>
      <w:pPr>
        <w:pStyle w:val="Heading1"/>
        <w:pageBreakBefore/>
        <w:spacing w:after="160" w:before="60"/>
      </w:pPr>
      <w:r>
        <w:rPr>
          <w:rFonts w:ascii="Malgun Gothic" w:cs="Malgun Gothic" w:eastAsia="Malgun Gothic" w:hAnsi="Malgun Gothic"/>
          <w:b/>
          <w:bCs/>
          <w:color w:val="0F766E"/>
          <w:sz w:val="30"/>
          <w:szCs w:val="30"/>
        </w:rPr>
        <w:t xml:space="preserve">6. 부가가치세 · 판매세 비교 (VAT/GST/Sales Tax)</w:t>
      </w:r>
    </w:p>
    <w:p>
      <w:pPr>
        <w:pStyle w:val="Heading2"/>
        <w:spacing w:after="100" w:before="160"/>
      </w:pPr>
      <w:r>
        <w:rPr>
          <w:rFonts w:ascii="Malgun Gothic" w:cs="Malgun Gothic" w:eastAsia="Malgun Gothic" w:hAnsi="Malgun Gothic"/>
          <w:b/>
          <w:bCs/>
          <w:color w:val="1F2937"/>
          <w:sz w:val="24"/>
          <w:szCs w:val="24"/>
        </w:rPr>
        <w:t xml:space="preserve">6.1 한국 — 부가가치세</w:t>
      </w:r>
    </w:p>
    <w:p>
      <w:pPr>
        <w:pStyle w:val="ListParagraph"/>
        <w:numPr>
          <w:ilvl w:val="0"/>
          <w:numId w:val="2"/>
        </w:numPr>
        <w:spacing w:after="70" w:line="264"/>
      </w:pPr>
      <w:r>
        <w:rPr>
          <w:rFonts w:ascii="Malgun Gothic" w:cs="Malgun Gothic" w:eastAsia="Malgun Gothic" w:hAnsi="Malgun Gothic"/>
          <w:color w:val="1F2937"/>
          <w:sz w:val="20"/>
          <w:szCs w:val="20"/>
        </w:rPr>
        <w:t xml:space="preserve">국내 재화·용역 공급에 10% 부가가치세. 사업자는 세금계산서 발행·매입세액 공제·부가세 신고(분기/반기) 의무.</w:t>
      </w:r>
    </w:p>
    <w:p>
      <w:pPr>
        <w:pStyle w:val="ListParagraph"/>
        <w:numPr>
          <w:ilvl w:val="0"/>
          <w:numId w:val="2"/>
        </w:numPr>
        <w:spacing w:after="70" w:line="264"/>
      </w:pPr>
      <w:r>
        <w:rPr>
          <w:rFonts w:ascii="Malgun Gothic" w:cs="Malgun Gothic" w:eastAsia="Malgun Gothic" w:hAnsi="Malgun Gothic"/>
          <w:color w:val="1F2937"/>
          <w:sz w:val="20"/>
          <w:szCs w:val="20"/>
        </w:rPr>
        <w:t xml:space="preserve">수출(영세율): 국외로 수출하는 재화는 영세율(0%)이 적용되어 매입세액은 환급받고 매출세액은 0. 역직구 수출은 영세율 대상이 될 수 있으나 증빙(수출신고·외화입금)이 요구됩니다. (확인필요)</w:t>
      </w:r>
    </w:p>
    <w:p>
      <w:pPr>
        <w:pStyle w:val="Heading2"/>
        <w:spacing w:after="100" w:before="160"/>
      </w:pPr>
      <w:r>
        <w:rPr>
          <w:rFonts w:ascii="Malgun Gothic" w:cs="Malgun Gothic" w:eastAsia="Malgun Gothic" w:hAnsi="Malgun Gothic"/>
          <w:b/>
          <w:bCs/>
          <w:color w:val="1F2937"/>
          <w:sz w:val="24"/>
          <w:szCs w:val="24"/>
        </w:rPr>
        <w:t xml:space="preserve">6.2 미국 — Sales Tax와 경제적 넥서스</w:t>
      </w:r>
    </w:p>
    <w:p>
      <w:pPr>
        <w:pStyle w:val="ListParagraph"/>
        <w:numPr>
          <w:ilvl w:val="0"/>
          <w:numId w:val="2"/>
        </w:numPr>
        <w:spacing w:after="70" w:line="264"/>
      </w:pPr>
      <w:r>
        <w:rPr>
          <w:rFonts w:ascii="Malgun Gothic" w:cs="Malgun Gothic" w:eastAsia="Malgun Gothic" w:hAnsi="Malgun Gothic"/>
          <w:color w:val="1F2937"/>
          <w:sz w:val="20"/>
          <w:szCs w:val="20"/>
        </w:rPr>
        <w:t xml:space="preserve">미국은 연방 부가세가 없고 주(state)·지방별 sales tax(0~약 10%)가 있습니다.</w:t>
      </w:r>
    </w:p>
    <w:p>경제적 넥서스(Wayfair 판결, 2018): 물리적 사업장이 없어도 특정 주에서 매출·거래건수 기준(예: $100,000 또는 200건)을 넘으면 그 주에 sales tax 징수·신고 의무가 생깁니다.</w:p>
    <w:p>
      <w:pPr>
        <w:pStyle w:val="ListParagraph"/>
        <w:numPr>
          <w:ilvl w:val="0"/>
          <w:numId w:val="2"/>
        </w:numPr>
        <w:spacing w:after="70" w:line="264"/>
      </w:pPr>
      <w:r>
        <w:rPr>
          <w:rFonts w:ascii="Malgun Gothic" w:cs="Malgun Gothic" w:eastAsia="Malgun Gothic" w:hAnsi="Malgun Gothic"/>
          <w:color w:val="1F2937"/>
          <w:sz w:val="20"/>
          <w:szCs w:val="20"/>
        </w:rPr>
        <w:t xml:space="preserve">Marketplace facilitator 법: Amazon·eBay 등 플랫폼이 판매자를 대신해 sales tax를 징수·납부하는 주가 많습니다. 자사몰(Shopify)은 판매자가 직접 관리.</w:t>
      </w:r>
    </w:p>
    <w:p>
      <w:pPr>
        <w:pStyle w:val="Heading2"/>
        <w:spacing w:after="100" w:before="160"/>
      </w:pPr>
      <w:r>
        <w:rPr>
          <w:rFonts w:ascii="Malgun Gothic" w:cs="Malgun Gothic" w:eastAsia="Malgun Gothic" w:hAnsi="Malgun Gothic"/>
          <w:b/>
          <w:bCs/>
          <w:color w:val="1F2937"/>
          <w:sz w:val="24"/>
          <w:szCs w:val="24"/>
        </w:rPr>
        <w:t xml:space="preserve">6.3 EU — VAT / OSS·IOSS</w:t>
      </w:r>
    </w:p>
    <w:p>
      <w:pPr>
        <w:pStyle w:val="ListParagraph"/>
        <w:numPr>
          <w:ilvl w:val="0"/>
          <w:numId w:val="2"/>
        </w:numPr>
        <w:spacing w:after="70" w:line="264"/>
      </w:pPr>
      <w:r>
        <w:rPr>
          <w:rFonts w:ascii="Malgun Gothic" w:cs="Malgun Gothic" w:eastAsia="Malgun Gothic" w:hAnsi="Malgun Gothic"/>
          <w:color w:val="1F2937"/>
          <w:sz w:val="20"/>
          <w:szCs w:val="20"/>
        </w:rPr>
        <w:t xml:space="preserve">EU 회원국별 VAT(약 17~27%). 역내 원거리판매·수입에 대해 OSS(One-Stop Shop)/IOSS로 통합 신고 가능. 150유로 이하 수입은 IOSS로 판매 시점 징수.</w:t>
      </w:r>
    </w:p>
    <w:p>
      <w:pPr>
        <w:pStyle w:val="Heading2"/>
        <w:spacing w:after="100" w:before="160"/>
      </w:pPr>
      <w:r>
        <w:rPr>
          <w:rFonts w:ascii="Malgun Gothic" w:cs="Malgun Gothic" w:eastAsia="Malgun Gothic" w:hAnsi="Malgun Gothic"/>
          <w:b/>
          <w:bCs/>
          <w:color w:val="1F2937"/>
          <w:sz w:val="24"/>
          <w:szCs w:val="24"/>
        </w:rPr>
        <w:t xml:space="preserve">6.4 동남아 — GST/VAT</w:t>
      </w:r>
    </w:p>
    <w:tbl>
      <w:tblPr>
        <w:tblW w:type="dxa" w:w="8760"/>
        <w:tblBorders>
          <w:top w:val="single" w:color="D1D5DB" w:sz="1"/>
          <w:left w:val="single" w:color="D1D5DB" w:sz="1"/>
          <w:bottom w:val="single" w:color="D1D5DB" w:sz="1"/>
          <w:right w:val="single" w:color="D1D5DB" w:sz="1"/>
          <w:insideH w:val="single" w:color="D1D5DB" w:sz="1"/>
          <w:insideV w:val="single" w:color="D1D5DB" w:sz="1"/>
        </w:tblBorders>
      </w:tblPr>
      <w:tblGrid>
        <w:gridCol w:w="1800"/>
        <w:gridCol w:w="1500"/>
        <w:gridCol w:w="3300"/>
        <w:gridCol w:w="2160"/>
      </w:tblGrid>
      <w:tr>
        <w:trPr>
          <w:tblHeader/>
        </w:trPr>
        <w:tc>
          <w:tcPr>
            <w:tcW w:type="dxa" w:w="18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국가</w:t>
            </w:r>
          </w:p>
        </w:tc>
        <w:tc>
          <w:tcPr>
            <w:tcW w:type="dxa" w:w="15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간접세</w:t>
            </w:r>
          </w:p>
        </w:tc>
        <w:tc>
          <w:tcPr>
            <w:tcW w:type="dxa" w:w="33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표준세율(개략)</w:t>
            </w:r>
          </w:p>
        </w:tc>
        <w:tc>
          <w:tcPr>
            <w:tcW w:type="dxa" w:w="216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비고</w:t>
            </w:r>
          </w:p>
        </w:tc>
      </w:tr>
      <w:tr>
        <w:tc>
          <w:tcPr>
            <w:tcW w:type="dxa" w:w="18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싱가포르</w:t>
            </w:r>
          </w:p>
        </w:tc>
        <w:tc>
          <w:tcPr>
            <w:tcW w:type="dxa" w:w="1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GST</w:t>
            </w:r>
          </w:p>
        </w:tc>
        <w:tc>
          <w:tcPr>
            <w:tcW w:type="dxa" w:w="33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9%</w:t>
            </w:r>
          </w:p>
        </w:tc>
        <w:tc>
          <w:tcPr>
            <w:tcW w:type="dxa" w:w="21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저가수입 과세(LVG)</w:t>
            </w:r>
          </w:p>
        </w:tc>
      </w:tr>
      <w:tr>
        <w:tc>
          <w:tcPr>
            <w:tcW w:type="dxa" w:w="18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말레이시아</w:t>
            </w:r>
          </w:p>
        </w:tc>
        <w:tc>
          <w:tcPr>
            <w:tcW w:type="dxa" w:w="1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SST</w:t>
            </w:r>
          </w:p>
        </w:tc>
        <w:tc>
          <w:tcPr>
            <w:tcW w:type="dxa" w:w="33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판매세 10% / 서비스세 6~8%</w:t>
            </w:r>
          </w:p>
        </w:tc>
        <w:tc>
          <w:tcPr>
            <w:tcW w:type="dxa" w:w="21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LVG 10%</w:t>
            </w:r>
          </w:p>
        </w:tc>
      </w:tr>
      <w:tr>
        <w:tc>
          <w:tcPr>
            <w:tcW w:type="dxa" w:w="18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태국</w:t>
            </w:r>
          </w:p>
        </w:tc>
        <w:tc>
          <w:tcPr>
            <w:tcW w:type="dxa" w:w="1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VAT</w:t>
            </w:r>
          </w:p>
        </w:tc>
        <w:tc>
          <w:tcPr>
            <w:tcW w:type="dxa" w:w="33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7%</w:t>
            </w:r>
          </w:p>
        </w:tc>
        <w:tc>
          <w:tcPr>
            <w:tcW w:type="dxa" w:w="21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
            </w:r>
          </w:p>
        </w:tc>
      </w:tr>
      <w:tr>
        <w:tc>
          <w:tcPr>
            <w:tcW w:type="dxa" w:w="18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베트남</w:t>
            </w:r>
          </w:p>
        </w:tc>
        <w:tc>
          <w:tcPr>
            <w:tcW w:type="dxa" w:w="1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VAT</w:t>
            </w:r>
          </w:p>
        </w:tc>
        <w:tc>
          <w:tcPr>
            <w:tcW w:type="dxa" w:w="33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8~10%</w:t>
            </w:r>
          </w:p>
        </w:tc>
        <w:tc>
          <w:tcPr>
            <w:tcW w:type="dxa" w:w="21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
            </w:r>
          </w:p>
        </w:tc>
      </w:tr>
      <w:tr>
        <w:tc>
          <w:tcPr>
            <w:tcW w:type="dxa" w:w="18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인도네시아</w:t>
            </w:r>
          </w:p>
        </w:tc>
        <w:tc>
          <w:tcPr>
            <w:tcW w:type="dxa" w:w="1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VAT(PPN)</w:t>
            </w:r>
          </w:p>
        </w:tc>
        <w:tc>
          <w:tcPr>
            <w:tcW w:type="dxa" w:w="33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11~12%</w:t>
            </w:r>
          </w:p>
        </w:tc>
        <w:tc>
          <w:tcPr>
            <w:tcW w:type="dxa" w:w="21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
            </w:r>
          </w:p>
        </w:tc>
      </w:tr>
      <w:tr>
        <w:tc>
          <w:tcPr>
            <w:tcW w:type="dxa" w:w="18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필리핀</w:t>
            </w:r>
          </w:p>
        </w:tc>
        <w:tc>
          <w:tcPr>
            <w:tcW w:type="dxa" w:w="1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VAT</w:t>
            </w:r>
          </w:p>
        </w:tc>
        <w:tc>
          <w:tcPr>
            <w:tcW w:type="dxa" w:w="33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12%</w:t>
            </w:r>
          </w:p>
        </w:tc>
        <w:tc>
          <w:tcPr>
            <w:tcW w:type="dxa" w:w="21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
            </w:r>
          </w:p>
        </w:tc>
      </w:tr>
    </w:tbl>
    <w:p>
      <w:pPr>
        <w:spacing w:after="80"/>
      </w:pPr>
      <w:r>
        <w:rPr>
          <w:rFonts w:ascii="Malgun Gothic" w:cs="Malgun Gothic" w:eastAsia="Malgun Gothic" w:hAnsi="Malgun Gothic"/>
          <w:color w:val="1F2937"/>
          <w:sz w:val="20"/>
          <w:szCs w:val="20"/>
        </w:rPr>
        <w:t xml:space="preserve"/>
      </w:r>
    </w:p>
    <w:tbl>
      <w:tblPr>
        <w:tblW w:type="pct" w:w="100%"/>
        <w:tblBorders>
          <w:top w:val="single" w:color="0F766E" w:sz="2"/>
          <w:left w:val="single" w:color="0F766E" w:sz="14"/>
          <w:bottom w:val="single" w:color="0F766E" w:sz="2"/>
          <w:right w:val="single" w:color="0F766E" w:sz="2"/>
          <w:insideH w:val="none"/>
          <w:insideV w:val="none"/>
        </w:tblBorders>
      </w:tblPr>
      <w:tblGrid>
        <w:gridCol w:w="9360"/>
      </w:tblGrid>
      <w:tr>
        <w:tc>
          <w:tcPr>
            <w:tcW w:type="dxa" w:w="9360"/>
            <w:shd w:fill="F3F4F6" w:val="clear"/>
            <w:tcMar>
              <w:top w:type="dxa" w:w="120"/>
              <w:left w:type="dxa" w:w="160"/>
              <w:bottom w:type="dxa" w:w="120"/>
              <w:right w:type="dxa" w:w="160"/>
            </w:tcMar>
          </w:tcPr>
          <w:p>
            <w:pPr>
              <w:spacing w:after="60"/>
            </w:pPr>
            <w:r>
              <w:rPr>
                <w:rFonts w:ascii="Malgun Gothic" w:cs="Malgun Gothic" w:eastAsia="Malgun Gothic" w:hAnsi="Malgun Gothic"/>
                <w:b/>
                <w:bCs/>
                <w:color w:val="0F766E"/>
                <w:sz w:val="20"/>
                <w:szCs w:val="20"/>
              </w:rPr>
              <w:t xml:space="preserve">실무 포인트</w:t>
            </w:r>
          </w:p>
          <w:p>
            <w:pPr>
              <w:spacing w:after="40" w:line="264"/>
            </w:pPr>
            <w:r>
              <w:rPr>
                <w:rFonts w:ascii="Malgun Gothic" w:cs="Malgun Gothic" w:eastAsia="Malgun Gothic" w:hAnsi="Malgun Gothic"/>
                <w:color w:val="1F2937"/>
                <w:sz w:val="19"/>
                <w:szCs w:val="19"/>
              </w:rPr>
              <w:t xml:space="preserve">미국 대상 판매(트랙 A)는 sales tax 넥서스 관리가 핵심이고, EU·동남아는 VAT/GST 등록·IOSS/OSS 활용이 핵심입니다. 매출이 특정 주·국가 임계값에 도달하면 등록 의무가 자동 발생하므로, 매출을 주/국가별로 모니터링하는 체계가 필요합니다.</w:t>
            </w:r>
          </w:p>
        </w:tc>
      </w:tr>
    </w:tbl>
    <w:p>
      <w:pPr>
        <w:pStyle w:val="Heading1"/>
        <w:pageBreakBefore/>
        <w:spacing w:after="160" w:before="60"/>
      </w:pPr>
      <w:r>
        <w:rPr>
          <w:rFonts w:ascii="Malgun Gothic" w:cs="Malgun Gothic" w:eastAsia="Malgun Gothic" w:hAnsi="Malgun Gothic"/>
          <w:b/>
          <w:bCs/>
          <w:color w:val="0F766E"/>
          <w:sz w:val="30"/>
          <w:szCs w:val="30"/>
        </w:rPr>
        <w:t xml:space="preserve">7. 이전가격세제 (Transfer Pricing) — 미국·한국 특수관계</w:t>
      </w:r>
    </w:p>
    <w:p>
      <w:pPr>
        <w:spacing w:after="120" w:line="276"/>
      </w:pPr>
      <w:r>
        <w:rPr>
          <w:rFonts w:ascii="Malgun Gothic" w:cs="Malgun Gothic" w:eastAsia="Malgun Gothic" w:hAnsi="Malgun Gothic"/>
          <w:color w:val="1F2937"/>
          <w:sz w:val="20"/>
          <w:szCs w:val="20"/>
        </w:rPr>
        <w:t xml:space="preserve">테라브릿지(US)와 파트너스(KR)가 특수관계라면, 두 법인 간 거래(위탁 수수료, 상품 공급가, 로열티 등)는 ‘정상가격(arm's length price)’으로 책정되어야 합니다. 그렇지 않으면 양국 과세당국이 소득을 재배분할 수 있습니다.</w:t>
      </w:r>
    </w:p>
    <w:p>
      <w:pPr>
        <w:pStyle w:val="Heading2"/>
        <w:spacing w:after="100" w:before="160"/>
      </w:pPr>
      <w:r>
        <w:rPr>
          <w:rFonts w:ascii="Malgun Gothic" w:cs="Malgun Gothic" w:eastAsia="Malgun Gothic" w:hAnsi="Malgun Gothic"/>
          <w:b/>
          <w:bCs/>
          <w:color w:val="1F2937"/>
          <w:sz w:val="24"/>
          <w:szCs w:val="24"/>
        </w:rPr>
        <w:t xml:space="preserve">7.1 핵심 원칙</w:t>
      </w:r>
    </w:p>
    <w:p>
      <w:pPr>
        <w:pStyle w:val="ListParagraph"/>
        <w:numPr>
          <w:ilvl w:val="0"/>
          <w:numId w:val="2"/>
        </w:numPr>
        <w:spacing w:after="70" w:line="264"/>
      </w:pPr>
      <w:r>
        <w:rPr>
          <w:rFonts w:ascii="Malgun Gothic" w:cs="Malgun Gothic" w:eastAsia="Malgun Gothic" w:hAnsi="Malgun Gothic"/>
          <w:color w:val="1F2937"/>
          <w:sz w:val="20"/>
          <w:szCs w:val="20"/>
        </w:rPr>
        <w:t xml:space="preserve">정상가격: 독립된 제3자 간 같은 거래에서 형성될 가격. 비교가능 제3자 거래(CUP), 재판매가격법, 원가가산법, 이익분할법 등으로 산정.</w:t>
      </w:r>
    </w:p>
    <w:p>
      <w:pPr>
        <w:pStyle w:val="ListParagraph"/>
        <w:numPr>
          <w:ilvl w:val="0"/>
          <w:numId w:val="2"/>
        </w:numPr>
        <w:spacing w:after="70" w:line="264"/>
      </w:pPr>
      <w:r>
        <w:rPr>
          <w:rFonts w:ascii="Malgun Gothic" w:cs="Malgun Gothic" w:eastAsia="Malgun Gothic" w:hAnsi="Malgun Gothic"/>
          <w:color w:val="1F2937"/>
          <w:sz w:val="20"/>
          <w:szCs w:val="20"/>
        </w:rPr>
        <w:t xml:space="preserve">문서화: 한국은 국제거래명세서·이전가격 문서(Master File/Local File) 제출 의무가 규모 기준으로 발생. 미국도 §482·Form 5472(외국인 관련자 거래) 신고.</w:t>
      </w:r>
    </w:p>
    <w:p>
      <w:pPr>
        <w:pStyle w:val="ListParagraph"/>
        <w:numPr>
          <w:ilvl w:val="0"/>
          <w:numId w:val="2"/>
        </w:numPr>
        <w:spacing w:after="70" w:line="264"/>
      </w:pPr>
      <w:r>
        <w:rPr>
          <w:rFonts w:ascii="Malgun Gothic" w:cs="Malgun Gothic" w:eastAsia="Malgun Gothic" w:hAnsi="Malgun Gothic"/>
          <w:color w:val="1F2937"/>
          <w:sz w:val="20"/>
          <w:szCs w:val="20"/>
        </w:rPr>
        <w:t xml:space="preserve">이중과세 방지: 한미 조세조약·상호합의(MAP)·사전승인(APA)로 이전가격 리스크를 사전 관리 가능.</w:t>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실무 권고 ★</w:t>
            </w:r>
          </w:p>
          <w:p>
            <w:pPr>
              <w:spacing w:after="40" w:line="264"/>
            </w:pPr>
            <w:r>
              <w:rPr>
                <w:rFonts w:ascii="Malgun Gothic" w:cs="Malgun Gothic" w:eastAsia="Malgun Gothic" w:hAnsi="Malgun Gothic"/>
                <w:color w:val="1F2937"/>
                <w:sz w:val="19"/>
                <w:szCs w:val="19"/>
              </w:rPr>
              <w:t xml:space="preserve">위탁 수수료율(예: 10%)이 국내 동종 판매대행 시장 요율과 크게 벗어나지 않는지 벤치마킹 자료를 확보하세요.</w:t>
            </w:r>
          </w:p>
          <w:p>
            <w:pPr>
              <w:spacing w:after="40" w:line="264"/>
            </w:pPr>
            <w:r>
              <w:rPr>
                <w:rFonts w:ascii="Malgun Gothic" w:cs="Malgun Gothic" w:eastAsia="Malgun Gothic" w:hAnsi="Malgun Gothic"/>
                <w:color w:val="1F2937"/>
                <w:sz w:val="19"/>
                <w:szCs w:val="19"/>
              </w:rPr>
              <w:t xml:space="preserve">관계사 간 상품 공급가·수수료·비용 배분 근거를 계약서와 회계로 남기고, 매년 정상가격 검토를 문서화하세요.</w:t>
            </w:r>
          </w:p>
        </w:tc>
      </w:tr>
    </w:tbl>
    <w:p>
      <w:pPr>
        <w:pStyle w:val="Heading2"/>
        <w:spacing w:after="100" w:before="160"/>
      </w:pPr>
      <w:r>
        <w:rPr>
          <w:rFonts w:ascii="Malgun Gothic" w:cs="Malgun Gothic" w:eastAsia="Malgun Gothic" w:hAnsi="Malgun Gothic"/>
          <w:b/>
          <w:bCs/>
          <w:color w:val="1F2937"/>
          <w:sz w:val="24"/>
          <w:szCs w:val="24"/>
        </w:rPr>
        <w:t xml:space="preserve">7.2 Form 5472 / 국내 신고</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2400"/>
        <w:gridCol w:w="3480"/>
        <w:gridCol w:w="3480"/>
      </w:tblGrid>
      <w:tr>
        <w:trPr>
          <w:tblHeader/>
        </w:trPr>
        <w:tc>
          <w:tcPr>
            <w:tcW w:type="dxa" w:w="24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구분</w:t>
            </w:r>
          </w:p>
        </w:tc>
        <w:tc>
          <w:tcPr>
            <w:tcW w:type="dxa" w:w="348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미국(테라브릿지)</w:t>
            </w:r>
          </w:p>
        </w:tc>
        <w:tc>
          <w:tcPr>
            <w:tcW w:type="dxa" w:w="348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한국(파트너스)</w:t>
            </w:r>
          </w:p>
        </w:tc>
      </w:tr>
      <w:tr>
        <w:tc>
          <w:tcPr>
            <w:tcW w:type="dxa" w:w="2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관련자 거래 신고</w:t>
            </w:r>
          </w:p>
        </w:tc>
        <w:tc>
          <w:tcPr>
            <w:tcW w:type="dxa" w:w="34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Form 5472(외국관련자 25%+)</w:t>
            </w:r>
          </w:p>
        </w:tc>
        <w:tc>
          <w:tcPr>
            <w:tcW w:type="dxa" w:w="34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국제거래명세서</w:t>
            </w:r>
          </w:p>
        </w:tc>
      </w:tr>
      <w:tr>
        <w:tc>
          <w:tcPr>
            <w:tcW w:type="dxa" w:w="2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이전가격 문서</w:t>
            </w:r>
          </w:p>
        </w:tc>
        <w:tc>
          <w:tcPr>
            <w:tcW w:type="dxa" w:w="348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§6662 문서화</w:t>
            </w:r>
          </w:p>
        </w:tc>
        <w:tc>
          <w:tcPr>
            <w:tcW w:type="dxa" w:w="348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Master/Local File(규모 기준)</w:t>
            </w:r>
          </w:p>
        </w:tc>
      </w:tr>
      <w:tr>
        <w:tc>
          <w:tcPr>
            <w:tcW w:type="dxa" w:w="2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리스크 관리</w:t>
            </w:r>
          </w:p>
        </w:tc>
        <w:tc>
          <w:tcPr>
            <w:tcW w:type="dxa" w:w="34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APA·MAP</w:t>
            </w:r>
          </w:p>
        </w:tc>
        <w:tc>
          <w:tcPr>
            <w:tcW w:type="dxa" w:w="34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APA·MAP(한미 조세조약)</w:t>
            </w:r>
          </w:p>
        </w:tc>
      </w:tr>
    </w:tbl>
    <w:p>
      <w:pPr>
        <w:pStyle w:val="Heading1"/>
        <w:pageBreakBefore/>
        <w:spacing w:after="160" w:before="60"/>
      </w:pPr>
      <w:r>
        <w:rPr>
          <w:rFonts w:ascii="Malgun Gothic" w:cs="Malgun Gothic" w:eastAsia="Malgun Gothic" w:hAnsi="Malgun Gothic"/>
          <w:b/>
          <w:bCs/>
          <w:color w:val="0F766E"/>
          <w:sz w:val="30"/>
          <w:szCs w:val="30"/>
        </w:rPr>
        <w:t xml:space="preserve">8. 외국환거래법 — 대금 수취 · 해외 송금</w:t>
      </w:r>
    </w:p>
    <w:p>
      <w:pPr>
        <w:spacing w:after="120" w:line="276"/>
      </w:pPr>
      <w:r>
        <w:rPr>
          <w:rFonts w:ascii="Malgun Gothic" w:cs="Malgun Gothic" w:eastAsia="Malgun Gothic" w:hAnsi="Malgun Gothic"/>
          <w:color w:val="1F2937"/>
          <w:sz w:val="20"/>
          <w:szCs w:val="20"/>
        </w:rPr>
        <w:t xml:space="preserve">트랙 B에서 파트너스가 국내에서 받은 대금을 테라브릿지(미국)로 정산 송금하거나, 해외 대금을 국내로 들여올 때 외국환거래법상 신고·보고 의무가 발생할 수 있습니다.</w:t>
      </w:r>
    </w:p>
    <w:p>
      <w:pPr>
        <w:pStyle w:val="ListParagraph"/>
        <w:numPr>
          <w:ilvl w:val="0"/>
          <w:numId w:val="2"/>
        </w:numPr>
        <w:spacing w:after="70" w:line="264"/>
      </w:pPr>
      <w:r>
        <w:rPr>
          <w:rFonts w:ascii="Malgun Gothic" w:cs="Malgun Gothic" w:eastAsia="Malgun Gothic" w:hAnsi="Malgun Gothic"/>
          <w:color w:val="1F2937"/>
          <w:sz w:val="20"/>
          <w:szCs w:val="20"/>
        </w:rPr>
        <w:t xml:space="preserve">경상거래(무역대금): 물품 수출입 대가는 대개 신고 없이 은행을 통해 지급·수령 가능하나, 상계·제3자 지급·기간 초과 등은 신고 대상일 수 있습니다. (확인필요)</w:t>
      </w:r>
    </w:p>
    <w:p>
      <w:pPr>
        <w:pStyle w:val="ListParagraph"/>
        <w:numPr>
          <w:ilvl w:val="0"/>
          <w:numId w:val="2"/>
        </w:numPr>
        <w:spacing w:after="70" w:line="264"/>
      </w:pPr>
      <w:r>
        <w:rPr>
          <w:rFonts w:ascii="Malgun Gothic" w:cs="Malgun Gothic" w:eastAsia="Malgun Gothic" w:hAnsi="Malgun Gothic"/>
          <w:color w:val="1F2937"/>
          <w:sz w:val="20"/>
          <w:szCs w:val="20"/>
        </w:rPr>
        <w:t xml:space="preserve">자본거래: 지분 취득·대여·해외직접투자(테라브릿지 지분 취득 등)는 사전 신고 대상.</w:t>
      </w:r>
    </w:p>
    <w:p>
      <w:pPr>
        <w:pStyle w:val="ListParagraph"/>
        <w:numPr>
          <w:ilvl w:val="0"/>
          <w:numId w:val="2"/>
        </w:numPr>
        <w:spacing w:after="70" w:line="264"/>
      </w:pPr>
      <w:r>
        <w:rPr>
          <w:rFonts w:ascii="Malgun Gothic" w:cs="Malgun Gothic" w:eastAsia="Malgun Gothic" w:hAnsi="Malgun Gothic"/>
          <w:color w:val="1F2937"/>
          <w:sz w:val="20"/>
          <w:szCs w:val="20"/>
        </w:rPr>
        <w:t xml:space="preserve">증빙: 수출신고필증·계약서·인보이스 등으로 자금의 원인(무역대금 vs 자본거래)을 은행에 소명해야 합니다.</w:t>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자금 취급 라이선스 ★</w:t>
            </w:r>
          </w:p>
          <w:p>
            <w:pPr>
              <w:spacing w:after="40" w:line="264"/>
            </w:pPr>
            <w:r>
              <w:rPr>
                <w:rFonts w:ascii="Malgun Gothic" w:cs="Malgun Gothic" w:eastAsia="Malgun Gothic" w:hAnsi="Malgun Gothic"/>
                <w:color w:val="1F2937"/>
                <w:sz w:val="19"/>
                <w:szCs w:val="19"/>
              </w:rPr>
              <w:t xml:space="preserve">테라브릿지가 소비자 대금을 직접 수취·환전·재송금하는 구조라면, 국내 전자금융거래법(전자지급결제대행 등)·외국환업무 등록, 미국 money transmitter(MSB) 등록 이슈가 생길 수 있습니다.</w:t>
            </w:r>
          </w:p>
          <w:p>
            <w:pPr>
              <w:spacing w:after="40" w:line="264"/>
            </w:pPr>
            <w:r>
              <w:rPr>
                <w:rFonts w:ascii="Malgun Gothic" w:cs="Malgun Gothic" w:eastAsia="Malgun Gothic" w:hAnsi="Malgun Gothic"/>
                <w:color w:val="1F2937"/>
                <w:sz w:val="19"/>
                <w:szCs w:val="19"/>
              </w:rPr>
              <w:t xml:space="preserve">가급적 대금 수취는 인가된 PG(토스·Stripe)를 통해 이뤄지게 하고, 법인 간 정산은 은행 무역대금·배당·수수료 등 명확한 명목으로 처리하세요.</w:t>
            </w:r>
          </w:p>
        </w:tc>
      </w:tr>
    </w:tbl>
    <w:p>
      <w:pPr>
        <w:pStyle w:val="Heading1"/>
        <w:pageBreakBefore/>
        <w:spacing w:after="160" w:before="60"/>
      </w:pPr>
      <w:r>
        <w:rPr>
          <w:rFonts w:ascii="Malgun Gothic" w:cs="Malgun Gothic" w:eastAsia="Malgun Gothic" w:hAnsi="Malgun Gothic"/>
          <w:b/>
          <w:bCs/>
          <w:color w:val="0F766E"/>
          <w:sz w:val="30"/>
          <w:szCs w:val="30"/>
        </w:rPr>
        <w:t xml:space="preserve">9. 결제 · PG 규제 (전자금융거래법 · US · EU)</w:t>
      </w:r>
    </w:p>
    <w:p>
      <w:pPr>
        <w:pStyle w:val="Heading2"/>
        <w:spacing w:after="100" w:before="160"/>
      </w:pPr>
      <w:r>
        <w:rPr>
          <w:rFonts w:ascii="Malgun Gothic" w:cs="Malgun Gothic" w:eastAsia="Malgun Gothic" w:hAnsi="Malgun Gothic"/>
          <w:b/>
          <w:bCs/>
          <w:color w:val="1F2937"/>
          <w:sz w:val="24"/>
          <w:szCs w:val="24"/>
        </w:rPr>
        <w:t xml:space="preserve">9.1 한국 — 전자금융거래법</w:t>
      </w:r>
    </w:p>
    <w:p>
      <w:pPr>
        <w:pStyle w:val="ListParagraph"/>
        <w:numPr>
          <w:ilvl w:val="0"/>
          <w:numId w:val="2"/>
        </w:numPr>
        <w:spacing w:after="70" w:line="264"/>
      </w:pPr>
      <w:r>
        <w:rPr>
          <w:rFonts w:ascii="Malgun Gothic" w:cs="Malgun Gothic" w:eastAsia="Malgun Gothic" w:hAnsi="Malgun Gothic"/>
          <w:color w:val="1F2937"/>
          <w:sz w:val="20"/>
          <w:szCs w:val="20"/>
        </w:rPr>
        <w:t xml:space="preserve">PG(전자지급결제대행)·선불전자지급수단 등은 금융위 등록·인가 대상. 판매자는 등록 PG(토스페이먼츠·이니시스 등)를 이용하면 별도 라이선스 불필요.</w:t>
      </w:r>
    </w:p>
    <w:p>
      <w:pPr>
        <w:pStyle w:val="ListParagraph"/>
        <w:numPr>
          <w:ilvl w:val="0"/>
          <w:numId w:val="2"/>
        </w:numPr>
        <w:spacing w:after="70" w:line="264"/>
      </w:pPr>
      <w:r>
        <w:rPr>
          <w:rFonts w:ascii="Malgun Gothic" w:cs="Malgun Gothic" w:eastAsia="Malgun Gothic" w:hAnsi="Malgun Gothic"/>
          <w:color w:val="1F2937"/>
          <w:sz w:val="20"/>
          <w:szCs w:val="20"/>
        </w:rPr>
        <w:t xml:space="preserve">정산: 국내 PG는 ‘하나의 가맹점=하나의 정산계좌’ 원칙. 국내 원화 정산은 파트너스 명의 토스 가맹점으로.</w:t>
      </w:r>
    </w:p>
    <w:p>
      <w:pPr>
        <w:pStyle w:val="Heading2"/>
        <w:spacing w:after="100" w:before="160"/>
      </w:pPr>
      <w:r>
        <w:rPr>
          <w:rFonts w:ascii="Malgun Gothic" w:cs="Malgun Gothic" w:eastAsia="Malgun Gothic" w:hAnsi="Malgun Gothic"/>
          <w:b/>
          <w:bCs/>
          <w:color w:val="1F2937"/>
          <w:sz w:val="24"/>
          <w:szCs w:val="24"/>
        </w:rPr>
        <w:t xml:space="preserve">9.2 미국 — Stripe / MSB</w:t>
      </w:r>
    </w:p>
    <w:p>
      <w:pPr>
        <w:pStyle w:val="ListParagraph"/>
        <w:numPr>
          <w:ilvl w:val="0"/>
          <w:numId w:val="2"/>
        </w:numPr>
        <w:spacing w:after="70" w:line="264"/>
      </w:pPr>
      <w:r>
        <w:rPr>
          <w:rFonts w:ascii="Malgun Gothic" w:cs="Malgun Gothic" w:eastAsia="Malgun Gothic" w:hAnsi="Malgun Gothic"/>
          <w:color w:val="1F2937"/>
          <w:sz w:val="20"/>
          <w:szCs w:val="20"/>
        </w:rPr>
        <w:t xml:space="preserve">Stripe 등 결제 프로세서를 쓰면 판매자는 별도 자금이체업 라이선스가 대개 불필요. 다만 제3자 자금을 보관·이체하면 州 money transmitter 라이선스 이슈.</w:t>
      </w:r>
    </w:p>
    <w:p>
      <w:pPr>
        <w:pStyle w:val="Heading2"/>
        <w:spacing w:after="100" w:before="160"/>
      </w:pPr>
      <w:r>
        <w:rPr>
          <w:rFonts w:ascii="Malgun Gothic" w:cs="Malgun Gothic" w:eastAsia="Malgun Gothic" w:hAnsi="Malgun Gothic"/>
          <w:b/>
          <w:bCs/>
          <w:color w:val="1F2937"/>
          <w:sz w:val="24"/>
          <w:szCs w:val="24"/>
        </w:rPr>
        <w:t xml:space="preserve">9.3 EU — PSD2 / SCA</w:t>
      </w:r>
    </w:p>
    <w:p>
      <w:pPr>
        <w:pStyle w:val="ListParagraph"/>
        <w:numPr>
          <w:ilvl w:val="0"/>
          <w:numId w:val="2"/>
        </w:numPr>
        <w:spacing w:after="70" w:line="264"/>
      </w:pPr>
      <w:r>
        <w:rPr>
          <w:rFonts w:ascii="Malgun Gothic" w:cs="Malgun Gothic" w:eastAsia="Malgun Gothic" w:hAnsi="Malgun Gothic"/>
          <w:color w:val="1F2937"/>
          <w:sz w:val="20"/>
          <w:szCs w:val="20"/>
        </w:rPr>
        <w:t xml:space="preserve">EU 판매 시 PSD2(강력한 고객인증 SCA) 준수 결제창 필요. Stripe 등은 SCA를 지원.</w:t>
      </w:r>
    </w:p>
    <w:p>
      <w:pPr>
        <w:pStyle w:val="Heading2"/>
        <w:spacing w:after="100" w:before="160"/>
      </w:pPr>
      <w:r>
        <w:rPr>
          <w:rFonts w:ascii="Malgun Gothic" w:cs="Malgun Gothic" w:eastAsia="Malgun Gothic" w:hAnsi="Malgun Gothic"/>
          <w:b/>
          <w:bCs/>
          <w:color w:val="1F2937"/>
          <w:sz w:val="24"/>
          <w:szCs w:val="24"/>
        </w:rPr>
        <w:t xml:space="preserve">9.4 결제 라우팅 요약</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1600"/>
        <w:gridCol w:w="2200"/>
        <w:gridCol w:w="1300"/>
        <w:gridCol w:w="1600"/>
        <w:gridCol w:w="2660"/>
      </w:tblGrid>
      <w:tr>
        <w:trPr>
          <w:tblHeader/>
        </w:trPr>
        <w:tc>
          <w:tcPr>
            <w:tcW w:type="dxa" w:w="16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시장</w:t>
            </w:r>
          </w:p>
        </w:tc>
        <w:tc>
          <w:tcPr>
            <w:tcW w:type="dxa" w:w="22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권장 PG</w:t>
            </w:r>
          </w:p>
        </w:tc>
        <w:tc>
          <w:tcPr>
            <w:tcW w:type="dxa" w:w="13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통화</w:t>
            </w:r>
          </w:p>
        </w:tc>
        <w:tc>
          <w:tcPr>
            <w:tcW w:type="dxa" w:w="16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정산 귀속</w:t>
            </w:r>
          </w:p>
        </w:tc>
        <w:tc>
          <w:tcPr>
            <w:tcW w:type="dxa" w:w="266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수수료 개요</w:t>
            </w:r>
          </w:p>
        </w:tc>
      </w:tr>
      <w:tr>
        <w:tc>
          <w:tcPr>
            <w:tcW w:type="dxa" w:w="16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국내(KR)</w:t>
            </w:r>
          </w:p>
        </w:tc>
        <w:tc>
          <w:tcPr>
            <w:tcW w:type="dxa" w:w="2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토스페이먼츠</w:t>
            </w:r>
          </w:p>
        </w:tc>
        <w:tc>
          <w:tcPr>
            <w:tcW w:type="dxa" w:w="13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KRW</w:t>
            </w:r>
          </w:p>
        </w:tc>
        <w:tc>
          <w:tcPr>
            <w:tcW w:type="dxa" w:w="16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파트너스</w:t>
            </w:r>
          </w:p>
        </w:tc>
        <w:tc>
          <w:tcPr>
            <w:tcW w:type="dxa" w:w="2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영세·중소 우대 1.6~3.4%</w:t>
            </w:r>
          </w:p>
        </w:tc>
      </w:tr>
      <w:tr>
        <w:tc>
          <w:tcPr>
            <w:tcW w:type="dxa" w:w="16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해외(US/EU 등)</w:t>
            </w:r>
          </w:p>
        </w:tc>
        <w:tc>
          <w:tcPr>
            <w:tcW w:type="dxa" w:w="22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Stripe</w:t>
            </w:r>
          </w:p>
        </w:tc>
        <w:tc>
          <w:tcPr>
            <w:tcW w:type="dxa" w:w="13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USD</w:t>
            </w:r>
          </w:p>
        </w:tc>
        <w:tc>
          <w:tcPr>
            <w:tcW w:type="dxa" w:w="16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테라브릿지</w:t>
            </w:r>
          </w:p>
        </w:tc>
        <w:tc>
          <w:tcPr>
            <w:tcW w:type="dxa" w:w="26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카드 2.5~2.9%+건당고정</w:t>
            </w:r>
          </w:p>
        </w:tc>
      </w:tr>
      <w:tr>
        <w:tc>
          <w:tcPr>
            <w:tcW w:type="dxa" w:w="16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동남아</w:t>
            </w:r>
          </w:p>
        </w:tc>
        <w:tc>
          <w:tcPr>
            <w:tcW w:type="dxa" w:w="2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Shopee 결제/현지PG</w:t>
            </w:r>
          </w:p>
        </w:tc>
        <w:tc>
          <w:tcPr>
            <w:tcW w:type="dxa" w:w="13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현지통화</w:t>
            </w:r>
          </w:p>
        </w:tc>
        <w:tc>
          <w:tcPr>
            <w:tcW w:type="dxa" w:w="16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파트너스/현지</w:t>
            </w:r>
          </w:p>
        </w:tc>
        <w:tc>
          <w:tcPr>
            <w:tcW w:type="dxa" w:w="2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플랫폼 규정</w:t>
            </w:r>
          </w:p>
        </w:tc>
      </w:tr>
    </w:tbl>
    <w:p>
      <w:pPr>
        <w:spacing w:after="80"/>
      </w:pPr>
      <w:r>
        <w:rPr>
          <w:rFonts w:ascii="Malgun Gothic" w:cs="Malgun Gothic" w:eastAsia="Malgun Gothic" w:hAnsi="Malgun Gothic"/>
          <w:color w:val="1F2937"/>
          <w:sz w:val="20"/>
          <w:szCs w:val="20"/>
        </w:rPr>
        <w:t xml:space="preserve"/>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Shopify Payments 주의</w:t>
            </w:r>
          </w:p>
          <w:p>
            <w:pPr>
              <w:spacing w:after="40" w:line="264"/>
            </w:pPr>
            <w:r>
              <w:rPr>
                <w:rFonts w:ascii="Malgun Gothic" w:cs="Malgun Gothic" w:eastAsia="Malgun Gothic" w:hAnsi="Malgun Gothic"/>
                <w:color w:val="1F2937"/>
                <w:sz w:val="19"/>
                <w:szCs w:val="19"/>
              </w:rPr>
              <w:t xml:space="preserve">Shopify Payments는 Shopify 몰 내부에서만 작동하며 한국 정식 지원이 없습니다. 자체몰(lexistyle)에는 붙일 수 없고, 해외 카드 PG는 Stripe가 그 상당물입니다. Shopify 몰을 별도로 운영할 경우 그 몰에서만 Shopify Payments를 씁니다.</w:t>
            </w:r>
          </w:p>
        </w:tc>
      </w:tr>
    </w:tbl>
    <w:p>
      <w:pPr>
        <w:pStyle w:val="Heading1"/>
        <w:pageBreakBefore/>
        <w:spacing w:after="160" w:before="60"/>
      </w:pPr>
      <w:r>
        <w:rPr>
          <w:rFonts w:ascii="Malgun Gothic" w:cs="Malgun Gothic" w:eastAsia="Malgun Gothic" w:hAnsi="Malgun Gothic"/>
          <w:b/>
          <w:bCs/>
          <w:color w:val="0F766E"/>
          <w:sz w:val="30"/>
          <w:szCs w:val="30"/>
        </w:rPr>
        <w:t xml:space="preserve">10. 개인정보보호 비교 (PIPA · GDPR · 각국)</w:t>
      </w:r>
    </w:p>
    <w:p>
      <w:pPr>
        <w:pStyle w:val="Heading2"/>
        <w:spacing w:after="100" w:before="160"/>
      </w:pPr>
      <w:r>
        <w:rPr>
          <w:rFonts w:ascii="Malgun Gothic" w:cs="Malgun Gothic" w:eastAsia="Malgun Gothic" w:hAnsi="Malgun Gothic"/>
          <w:b/>
          <w:bCs/>
          <w:color w:val="1F2937"/>
          <w:sz w:val="24"/>
          <w:szCs w:val="24"/>
        </w:rPr>
        <w:t xml:space="preserve">10.1 한국 — 개인정보보호법(PIPA)</w:t>
      </w:r>
    </w:p>
    <w:p>
      <w:pPr>
        <w:pStyle w:val="ListParagraph"/>
        <w:numPr>
          <w:ilvl w:val="0"/>
          <w:numId w:val="2"/>
        </w:numPr>
        <w:spacing w:after="70" w:line="264"/>
      </w:pPr>
      <w:r>
        <w:rPr>
          <w:rFonts w:ascii="Malgun Gothic" w:cs="Malgun Gothic" w:eastAsia="Malgun Gothic" w:hAnsi="Malgun Gothic"/>
          <w:color w:val="1F2937"/>
          <w:sz w:val="20"/>
          <w:szCs w:val="20"/>
        </w:rPr>
        <w:t xml:space="preserve">수집·이용 동의, 목적 제한, 보관기간, 제3자 제공·위탁 고지, 국외이전 동의/고지, 파기 의무. 개인정보처리방침 게시 필수(본 프로젝트에서 /legal/privacy로 구현).</w:t>
      </w:r>
    </w:p>
    <w:p>
      <w:pPr>
        <w:pStyle w:val="ListParagraph"/>
        <w:numPr>
          <w:ilvl w:val="0"/>
          <w:numId w:val="2"/>
        </w:numPr>
        <w:spacing w:after="70" w:line="264"/>
      </w:pPr>
      <w:r>
        <w:rPr>
          <w:rFonts w:ascii="Malgun Gothic" w:cs="Malgun Gothic" w:eastAsia="Malgun Gothic" w:hAnsi="Malgun Gothic"/>
          <w:color w:val="1F2937"/>
          <w:sz w:val="20"/>
          <w:szCs w:val="20"/>
        </w:rPr>
        <w:t xml:space="preserve">국외이전: 해외 배송사·테라브릿지·해외 PG로 개인정보가 이전되면 이용자 고지/동의와 이전국 보호수준 확인이 필요.</w:t>
      </w:r>
    </w:p>
    <w:p>
      <w:pPr>
        <w:pStyle w:val="Heading2"/>
        <w:spacing w:after="100" w:before="160"/>
      </w:pPr>
      <w:r>
        <w:rPr>
          <w:rFonts w:ascii="Malgun Gothic" w:cs="Malgun Gothic" w:eastAsia="Malgun Gothic" w:hAnsi="Malgun Gothic"/>
          <w:b/>
          <w:bCs/>
          <w:color w:val="1F2937"/>
          <w:sz w:val="24"/>
          <w:szCs w:val="24"/>
        </w:rPr>
        <w:t xml:space="preserve">10.2 EU — GDPR</w:t>
      </w:r>
    </w:p>
    <w:p>
      <w:pPr>
        <w:pStyle w:val="ListParagraph"/>
        <w:numPr>
          <w:ilvl w:val="0"/>
          <w:numId w:val="2"/>
        </w:numPr>
        <w:spacing w:after="70" w:line="264"/>
      </w:pPr>
      <w:r>
        <w:rPr>
          <w:rFonts w:ascii="Malgun Gothic" w:cs="Malgun Gothic" w:eastAsia="Malgun Gothic" w:hAnsi="Malgun Gothic"/>
          <w:color w:val="1F2937"/>
          <w:sz w:val="20"/>
          <w:szCs w:val="20"/>
        </w:rPr>
        <w:t xml:space="preserve">EU 거주자 데이터 처리 시 GDPR 적용(역외적용). 적법근거·정보주체 권리·DPO·역외이전(SCC)·72시간 침해통지.</w:t>
      </w:r>
    </w:p>
    <w:p>
      <w:pPr>
        <w:pStyle w:val="Heading2"/>
        <w:spacing w:after="100" w:before="160"/>
      </w:pPr>
      <w:r>
        <w:rPr>
          <w:rFonts w:ascii="Malgun Gothic" w:cs="Malgun Gothic" w:eastAsia="Malgun Gothic" w:hAnsi="Malgun Gothic"/>
          <w:b/>
          <w:bCs/>
          <w:color w:val="1F2937"/>
          <w:sz w:val="24"/>
          <w:szCs w:val="24"/>
        </w:rPr>
        <w:t xml:space="preserve">10.3 미국 — CCPA 등 주법</w:t>
      </w:r>
    </w:p>
    <w:p>
      <w:pPr>
        <w:pStyle w:val="ListParagraph"/>
        <w:numPr>
          <w:ilvl w:val="0"/>
          <w:numId w:val="2"/>
        </w:numPr>
        <w:spacing w:after="70" w:line="264"/>
      </w:pPr>
      <w:r>
        <w:rPr>
          <w:rFonts w:ascii="Malgun Gothic" w:cs="Malgun Gothic" w:eastAsia="Malgun Gothic" w:hAnsi="Malgun Gothic"/>
          <w:color w:val="1F2937"/>
          <w:sz w:val="20"/>
          <w:szCs w:val="20"/>
        </w:rPr>
        <w:t xml:space="preserve">연방 통합법 부재, 캘리포니아 CCPA/CPRA 등 주별 프라이버시법. 옵트아웃·판매 고지 요건.</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1600"/>
        <w:gridCol w:w="2500"/>
        <w:gridCol w:w="2600"/>
        <w:gridCol w:w="2660"/>
      </w:tblGrid>
      <w:tr>
        <w:trPr>
          <w:tblHeader/>
        </w:trPr>
        <w:tc>
          <w:tcPr>
            <w:tcW w:type="dxa" w:w="16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항목</w:t>
            </w:r>
          </w:p>
        </w:tc>
        <w:tc>
          <w:tcPr>
            <w:tcW w:type="dxa" w:w="25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한국 PIPA</w:t>
            </w:r>
          </w:p>
        </w:tc>
        <w:tc>
          <w:tcPr>
            <w:tcW w:type="dxa" w:w="26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EU GDPR</w:t>
            </w:r>
          </w:p>
        </w:tc>
        <w:tc>
          <w:tcPr>
            <w:tcW w:type="dxa" w:w="266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미국(CCPA 등)</w:t>
            </w:r>
          </w:p>
        </w:tc>
      </w:tr>
      <w:tr>
        <w:tc>
          <w:tcPr>
            <w:tcW w:type="dxa" w:w="16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적용</w:t>
            </w:r>
          </w:p>
        </w:tc>
        <w:tc>
          <w:tcPr>
            <w:tcW w:type="dxa" w:w="2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국내 처리·국내 이용자</w:t>
            </w:r>
          </w:p>
        </w:tc>
        <w:tc>
          <w:tcPr>
            <w:tcW w:type="dxa" w:w="26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EU 거주자(역외)</w:t>
            </w:r>
          </w:p>
        </w:tc>
        <w:tc>
          <w:tcPr>
            <w:tcW w:type="dxa" w:w="2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주 거주자(주별)</w:t>
            </w:r>
          </w:p>
        </w:tc>
      </w:tr>
      <w:tr>
        <w:tc>
          <w:tcPr>
            <w:tcW w:type="dxa" w:w="16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동의</w:t>
            </w:r>
          </w:p>
        </w:tc>
        <w:tc>
          <w:tcPr>
            <w:tcW w:type="dxa" w:w="2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원칙 사전동의</w:t>
            </w:r>
          </w:p>
        </w:tc>
        <w:tc>
          <w:tcPr>
            <w:tcW w:type="dxa" w:w="26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적법근거 6종</w:t>
            </w:r>
          </w:p>
        </w:tc>
        <w:tc>
          <w:tcPr>
            <w:tcW w:type="dxa" w:w="26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옵트아웃 중심</w:t>
            </w:r>
          </w:p>
        </w:tc>
      </w:tr>
      <w:tr>
        <w:tc>
          <w:tcPr>
            <w:tcW w:type="dxa" w:w="16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국외이전</w:t>
            </w:r>
          </w:p>
        </w:tc>
        <w:tc>
          <w:tcPr>
            <w:tcW w:type="dxa" w:w="25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고지/동의</w:t>
            </w:r>
          </w:p>
        </w:tc>
        <w:tc>
          <w:tcPr>
            <w:tcW w:type="dxa" w:w="26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SCC·적정성</w:t>
            </w:r>
          </w:p>
        </w:tc>
        <w:tc>
          <w:tcPr>
            <w:tcW w:type="dxa" w:w="2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고지</w:t>
            </w:r>
          </w:p>
        </w:tc>
      </w:tr>
      <w:tr>
        <w:tc>
          <w:tcPr>
            <w:tcW w:type="dxa" w:w="16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침해통지</w:t>
            </w:r>
          </w:p>
        </w:tc>
        <w:tc>
          <w:tcPr>
            <w:tcW w:type="dxa" w:w="25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지체없이·72시간(중대)</w:t>
            </w:r>
          </w:p>
        </w:tc>
        <w:tc>
          <w:tcPr>
            <w:tcW w:type="dxa" w:w="26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72시간</w:t>
            </w:r>
          </w:p>
        </w:tc>
        <w:tc>
          <w:tcPr>
            <w:tcW w:type="dxa" w:w="26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주별</w:t>
            </w:r>
          </w:p>
        </w:tc>
      </w:tr>
    </w:tbl>
    <w:p>
      <w:pPr>
        <w:pStyle w:val="Heading1"/>
        <w:pageBreakBefore/>
        <w:spacing w:after="160" w:before="60"/>
      </w:pPr>
      <w:r>
        <w:rPr>
          <w:rFonts w:ascii="Malgun Gothic" w:cs="Malgun Gothic" w:eastAsia="Malgun Gothic" w:hAnsi="Malgun Gothic"/>
          <w:b/>
          <w:bCs/>
          <w:color w:val="0F766E"/>
          <w:sz w:val="30"/>
          <w:szCs w:val="30"/>
        </w:rPr>
        <w:t xml:space="preserve">11. 플랫폼별 셀러 요건 (쿠팡 · Shopee · eBay · Shopify · Amazon)</w:t>
      </w:r>
    </w:p>
    <w:p>
      <w:pPr>
        <w:pStyle w:val="Heading2"/>
        <w:spacing w:after="100" w:before="160"/>
      </w:pPr>
      <w:r>
        <w:rPr>
          <w:rFonts w:ascii="Malgun Gothic" w:cs="Malgun Gothic" w:eastAsia="Malgun Gothic" w:hAnsi="Malgun Gothic"/>
          <w:b/>
          <w:bCs/>
          <w:color w:val="1F2937"/>
          <w:sz w:val="24"/>
          <w:szCs w:val="24"/>
        </w:rPr>
        <w:t xml:space="preserve">11.1 쿠팡 (국내, 구매대행)</w:t>
      </w:r>
    </w:p>
    <w:p>
      <w:pPr>
        <w:pStyle w:val="ListParagraph"/>
        <w:numPr>
          <w:ilvl w:val="0"/>
          <w:numId w:val="2"/>
        </w:numPr>
        <w:spacing w:after="70" w:line="264"/>
      </w:pPr>
      <w:r>
        <w:rPr>
          <w:rFonts w:ascii="Malgun Gothic" w:cs="Malgun Gothic" w:eastAsia="Malgun Gothic" w:hAnsi="Malgun Gothic"/>
          <w:color w:val="1F2937"/>
          <w:sz w:val="20"/>
          <w:szCs w:val="20"/>
        </w:rPr>
        <w:t xml:space="preserve">쿠팡 윙(Wing) 판매자 가입 — 사업자등록·통신판매업 신고 필요. ‘해외 구매대행 사업자’ 세팅 시 결제 단계에서 개인통관고유부호 수취창 자동 노출.</w:t>
      </w:r>
    </w:p>
    <w:p>
      <w:pPr>
        <w:pStyle w:val="ListParagraph"/>
        <w:numPr>
          <w:ilvl w:val="0"/>
          <w:numId w:val="2"/>
        </w:numPr>
        <w:spacing w:after="70" w:line="264"/>
      </w:pPr>
      <w:r>
        <w:rPr>
          <w:rFonts w:ascii="Malgun Gothic" w:cs="Malgun Gothic" w:eastAsia="Malgun Gothic" w:hAnsi="Malgun Gothic"/>
          <w:color w:val="1F2937"/>
          <w:sz w:val="20"/>
          <w:szCs w:val="20"/>
        </w:rPr>
        <w:t xml:space="preserve">오픈API(Wing) 키: Vendor ID·Access Key·Secret Key(HMAC). 상품등록·주문수집·발주확인 자동화 가능(본 프로젝트 coupang 어댑터 구현).</w:t>
      </w:r>
    </w:p>
    <w:p>
      <w:pPr>
        <w:pStyle w:val="Heading2"/>
        <w:spacing w:after="100" w:before="160"/>
      </w:pPr>
      <w:r>
        <w:rPr>
          <w:rFonts w:ascii="Malgun Gothic" w:cs="Malgun Gothic" w:eastAsia="Malgun Gothic" w:hAnsi="Malgun Gothic"/>
          <w:b/>
          <w:bCs/>
          <w:color w:val="1F2937"/>
          <w:sz w:val="24"/>
          <w:szCs w:val="24"/>
        </w:rPr>
        <w:t xml:space="preserve">11.2 Shopee (동남아)</w:t>
      </w:r>
    </w:p>
    <w:p>
      <w:pPr>
        <w:pStyle w:val="ListParagraph"/>
        <w:numPr>
          <w:ilvl w:val="0"/>
          <w:numId w:val="2"/>
        </w:numPr>
        <w:spacing w:after="70" w:line="264"/>
      </w:pPr>
      <w:r>
        <w:rPr>
          <w:rFonts w:ascii="Malgun Gothic" w:cs="Malgun Gothic" w:eastAsia="Malgun Gothic" w:hAnsi="Malgun Gothic"/>
          <w:color w:val="1F2937"/>
          <w:sz w:val="20"/>
          <w:szCs w:val="20"/>
        </w:rPr>
        <w:t xml:space="preserve">Shopee Korea 셀러센터(한국어 지원). 한국 집화창고(김포/인천)로 며칠 내 입고하는 물류 요건. Open Platform API v2(파트너 서명)로 상품등록·주문수집 자동화(본 프로젝트 shopee 어댑터 구현).</w:t>
      </w:r>
    </w:p>
    <w:p>
      <w:pPr>
        <w:pStyle w:val="Heading2"/>
        <w:spacing w:after="100" w:before="160"/>
      </w:pPr>
      <w:r>
        <w:rPr>
          <w:rFonts w:ascii="Malgun Gothic" w:cs="Malgun Gothic" w:eastAsia="Malgun Gothic" w:hAnsi="Malgun Gothic"/>
          <w:b/>
          <w:bCs/>
          <w:color w:val="1F2937"/>
          <w:sz w:val="24"/>
          <w:szCs w:val="24"/>
        </w:rPr>
        <w:t xml:space="preserve">11.3 eBay (미국·유럽·호주)</w:t>
      </w:r>
    </w:p>
    <w:p>
      <w:pPr>
        <w:pStyle w:val="ListParagraph"/>
        <w:numPr>
          <w:ilvl w:val="0"/>
          <w:numId w:val="2"/>
        </w:numPr>
        <w:spacing w:after="70" w:line="264"/>
      </w:pPr>
      <w:r>
        <w:rPr>
          <w:rFonts w:ascii="Malgun Gothic" w:cs="Malgun Gothic" w:eastAsia="Malgun Gothic" w:hAnsi="Malgun Gothic"/>
          <w:color w:val="1F2937"/>
          <w:sz w:val="20"/>
          <w:szCs w:val="20"/>
        </w:rPr>
        <w:t xml:space="preserve">초보 진입장벽이 낮고 드랍쉬핑 상품 등록이 보편적. Managed Payments(Payoneer/은행) 정산. 아직 자체 어댑터 미구현(향후 쿠팡 패턴으로 추가 가능).</w:t>
      </w:r>
    </w:p>
    <w:p>
      <w:pPr>
        <w:pStyle w:val="Heading2"/>
        <w:spacing w:after="100" w:before="160"/>
      </w:pPr>
      <w:r>
        <w:rPr>
          <w:rFonts w:ascii="Malgun Gothic" w:cs="Malgun Gothic" w:eastAsia="Malgun Gothic" w:hAnsi="Malgun Gothic"/>
          <w:b/>
          <w:bCs/>
          <w:color w:val="1F2937"/>
          <w:sz w:val="24"/>
          <w:szCs w:val="24"/>
        </w:rPr>
        <w:t xml:space="preserve">11.4 Shopify (자사몰)</w:t>
      </w:r>
    </w:p>
    <w:p>
      <w:pPr>
        <w:pStyle w:val="ListParagraph"/>
        <w:numPr>
          <w:ilvl w:val="0"/>
          <w:numId w:val="2"/>
        </w:numPr>
        <w:spacing w:after="70" w:line="264"/>
      </w:pPr>
      <w:r>
        <w:rPr>
          <w:rFonts w:ascii="Malgun Gothic" w:cs="Malgun Gothic" w:eastAsia="Malgun Gothic" w:hAnsi="Malgun Gothic"/>
          <w:color w:val="1F2937"/>
          <w:sz w:val="20"/>
          <w:szCs w:val="20"/>
        </w:rPr>
        <w:t xml:space="preserve">오픈마켓 입점이 아닌 자사몰 구축. CJ Dropshipping 공식 앱으로 상품·주문 자동 연동. 마켓 판매수수료 0(월 구독료 + 결제수수료만). 자체몰이므로 입점 정지 위험 없음.</w:t>
      </w:r>
    </w:p>
    <w:p>
      <w:pPr>
        <w:pStyle w:val="Heading2"/>
        <w:spacing w:after="100" w:before="160"/>
      </w:pPr>
      <w:r>
        <w:rPr>
          <w:rFonts w:ascii="Malgun Gothic" w:cs="Malgun Gothic" w:eastAsia="Malgun Gothic" w:hAnsi="Malgun Gothic"/>
          <w:b/>
          <w:bCs/>
          <w:color w:val="1F2937"/>
          <w:sz w:val="24"/>
          <w:szCs w:val="24"/>
        </w:rPr>
        <w:t xml:space="preserve">11.5 Amazon</w:t>
      </w:r>
    </w:p>
    <w:p>
      <w:pPr>
        <w:pStyle w:val="ListParagraph"/>
        <w:numPr>
          <w:ilvl w:val="0"/>
          <w:numId w:val="2"/>
        </w:numPr>
        <w:spacing w:after="70" w:line="264"/>
      </w:pPr>
      <w:r>
        <w:rPr>
          <w:rFonts w:ascii="Malgun Gothic" w:cs="Malgun Gothic" w:eastAsia="Malgun Gothic" w:hAnsi="Malgun Gothic"/>
          <w:color w:val="1F2937"/>
          <w:sz w:val="20"/>
          <w:szCs w:val="20"/>
        </w:rPr>
        <w:t xml:space="preserve">승인·계정건전성 관리가 엄격. FBA/FBM. 월정액($39.99)+판매수수료(평균 15%). 드랍쉬핑 정책 준수 필요.</w:t>
      </w:r>
    </w:p>
    <w:tbl>
      <w:tblPr>
        <w:tblW w:type="pct" w:w="100%"/>
        <w:tblBorders>
          <w:top w:val="single" w:color="0F766E" w:sz="2"/>
          <w:left w:val="single" w:color="0F766E" w:sz="14"/>
          <w:bottom w:val="single" w:color="0F766E" w:sz="2"/>
          <w:right w:val="single" w:color="0F766E" w:sz="2"/>
          <w:insideH w:val="none"/>
          <w:insideV w:val="none"/>
        </w:tblBorders>
      </w:tblPr>
      <w:tblGrid>
        <w:gridCol w:w="9360"/>
      </w:tblGrid>
      <w:tr>
        <w:tc>
          <w:tcPr>
            <w:tcW w:type="dxa" w:w="9360"/>
            <w:shd w:fill="F3F4F6" w:val="clear"/>
            <w:tcMar>
              <w:top w:type="dxa" w:w="120"/>
              <w:left w:type="dxa" w:w="160"/>
              <w:bottom w:type="dxa" w:w="120"/>
              <w:right w:type="dxa" w:w="160"/>
            </w:tcMar>
          </w:tcPr>
          <w:p>
            <w:pPr>
              <w:spacing w:after="60"/>
            </w:pPr>
            <w:r>
              <w:rPr>
                <w:rFonts w:ascii="Malgun Gothic" w:cs="Malgun Gothic" w:eastAsia="Malgun Gothic" w:hAnsi="Malgun Gothic"/>
                <w:b/>
                <w:bCs/>
                <w:color w:val="0F766E"/>
                <w:sz w:val="20"/>
                <w:szCs w:val="20"/>
              </w:rPr>
              <w:t xml:space="preserve">플랫폼 커버리지(본 프로젝트)</w:t>
            </w:r>
          </w:p>
          <w:p>
            <w:pPr>
              <w:spacing w:after="40" w:line="264"/>
            </w:pPr>
            <w:r>
              <w:rPr>
                <w:rFonts w:ascii="Malgun Gothic" w:cs="Malgun Gothic" w:eastAsia="Malgun Gothic" w:hAnsi="Malgun Gothic"/>
                <w:color w:val="1F2937"/>
                <w:sz w:val="19"/>
                <w:szCs w:val="19"/>
              </w:rPr>
              <w:t xml:space="preserve">실 API 어댑터 구현: 쿠팡 ✅, Shopee ✅, Cafe24 ✅, LEXI 자사몰 ✅. 미구현(CSV/향후): eBay, Shopify, Amazon. Shopify는 CJ 공식 앱 연동이 정석.</w:t>
            </w:r>
          </w:p>
        </w:tc>
      </w:tr>
    </w:tbl>
    <w:p>
      <w:pPr>
        <w:pStyle w:val="Heading1"/>
        <w:pageBreakBefore/>
        <w:spacing w:after="160" w:before="60"/>
      </w:pPr>
      <w:r>
        <w:rPr>
          <w:rFonts w:ascii="Malgun Gothic" w:cs="Malgun Gothic" w:eastAsia="Malgun Gothic" w:hAnsi="Malgun Gothic"/>
          <w:b/>
          <w:bCs/>
          <w:color w:val="0F766E"/>
          <w:sz w:val="30"/>
          <w:szCs w:val="30"/>
        </w:rPr>
        <w:t xml:space="preserve">12. 국가별 종합 매트릭스</w:t>
      </w:r>
    </w:p>
    <w:p>
      <w:pPr>
        <w:spacing w:after="120" w:line="276"/>
      </w:pPr>
      <w:r>
        <w:rPr>
          <w:rFonts w:ascii="Malgun Gothic" w:cs="Malgun Gothic" w:eastAsia="Malgun Gothic" w:hAnsi="Malgun Gothic"/>
          <w:color w:val="1F2937"/>
          <w:sz w:val="20"/>
          <w:szCs w:val="20"/>
        </w:rPr>
        <w:t xml:space="preserve">주요 판매 대상국의 면세한도·간접세·개인정보·결제·핵심 유의점을 한눈에 비교합니다. 모든 수치는 확인필요.</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1400"/>
        <w:gridCol w:w="2200"/>
        <w:gridCol w:w="1700"/>
        <w:gridCol w:w="1400"/>
        <w:gridCol w:w="2660"/>
      </w:tblGrid>
      <w:tr>
        <w:trPr>
          <w:tblHeader/>
        </w:trPr>
        <w:tc>
          <w:tcPr>
            <w:tcW w:type="dxa" w:w="14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국가/권역</w:t>
            </w:r>
          </w:p>
        </w:tc>
        <w:tc>
          <w:tcPr>
            <w:tcW w:type="dxa" w:w="22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면세한도(개략)</w:t>
            </w:r>
          </w:p>
        </w:tc>
        <w:tc>
          <w:tcPr>
            <w:tcW w:type="dxa" w:w="17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간접세</w:t>
            </w:r>
          </w:p>
        </w:tc>
        <w:tc>
          <w:tcPr>
            <w:tcW w:type="dxa" w:w="14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개인정보</w:t>
            </w:r>
          </w:p>
        </w:tc>
        <w:tc>
          <w:tcPr>
            <w:tcW w:type="dxa" w:w="266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핵심 유의</w:t>
            </w:r>
          </w:p>
        </w:tc>
      </w:tr>
      <w:tr>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한국 KR</w:t>
            </w:r>
          </w:p>
        </w:tc>
        <w:tc>
          <w:tcPr>
            <w:tcW w:type="dxa" w:w="2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직구 US$150(미국발 $200)</w:t>
            </w:r>
          </w:p>
        </w:tc>
        <w:tc>
          <w:tcPr>
            <w:tcW w:type="dxa" w:w="17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부가세 10%</w:t>
            </w:r>
          </w:p>
        </w:tc>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PIPA</w:t>
            </w:r>
          </w:p>
        </w:tc>
        <w:tc>
          <w:tcPr>
            <w:tcW w:type="dxa" w:w="2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개인통관부호·통신판매업</w:t>
            </w:r>
          </w:p>
        </w:tc>
      </w:tr>
      <w:tr>
        <w:tc>
          <w:tcPr>
            <w:tcW w:type="dxa" w:w="1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미국 US</w:t>
            </w:r>
          </w:p>
        </w:tc>
        <w:tc>
          <w:tcPr>
            <w:tcW w:type="dxa" w:w="22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de minimis US$800(변동)</w:t>
            </w:r>
          </w:p>
        </w:tc>
        <w:tc>
          <w:tcPr>
            <w:tcW w:type="dxa" w:w="17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州 Sales Tax 0~10%</w:t>
            </w:r>
          </w:p>
        </w:tc>
        <w:tc>
          <w:tcPr>
            <w:tcW w:type="dxa" w:w="1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CCPA 등 주법</w:t>
            </w:r>
          </w:p>
        </w:tc>
        <w:tc>
          <w:tcPr>
            <w:tcW w:type="dxa" w:w="26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경제적 넥서스</w:t>
            </w:r>
          </w:p>
        </w:tc>
      </w:tr>
      <w:tr>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EU</w:t>
            </w:r>
          </w:p>
        </w:tc>
        <w:tc>
          <w:tcPr>
            <w:tcW w:type="dxa" w:w="2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IOSS €150</w:t>
            </w:r>
          </w:p>
        </w:tc>
        <w:tc>
          <w:tcPr>
            <w:tcW w:type="dxa" w:w="17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VAT 17~27%</w:t>
            </w:r>
          </w:p>
        </w:tc>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GDPR</w:t>
            </w:r>
          </w:p>
        </w:tc>
        <w:tc>
          <w:tcPr>
            <w:tcW w:type="dxa" w:w="2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OSS/IOSS 등록</w:t>
            </w:r>
          </w:p>
        </w:tc>
      </w:tr>
      <w:tr>
        <w:tc>
          <w:tcPr>
            <w:tcW w:type="dxa" w:w="1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싱가포르</w:t>
            </w:r>
          </w:p>
        </w:tc>
        <w:tc>
          <w:tcPr>
            <w:tcW w:type="dxa" w:w="22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저가도 GST 과세</w:t>
            </w:r>
          </w:p>
        </w:tc>
        <w:tc>
          <w:tcPr>
            <w:tcW w:type="dxa" w:w="17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GST 9%</w:t>
            </w:r>
          </w:p>
        </w:tc>
        <w:tc>
          <w:tcPr>
            <w:tcW w:type="dxa" w:w="1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PDPA</w:t>
            </w:r>
          </w:p>
        </w:tc>
        <w:tc>
          <w:tcPr>
            <w:tcW w:type="dxa" w:w="26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LVG</w:t>
            </w:r>
          </w:p>
        </w:tc>
      </w:tr>
      <w:tr>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말레이시아</w:t>
            </w:r>
          </w:p>
        </w:tc>
        <w:tc>
          <w:tcPr>
            <w:tcW w:type="dxa" w:w="2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LVG RM500↓ 10%</w:t>
            </w:r>
          </w:p>
        </w:tc>
        <w:tc>
          <w:tcPr>
            <w:tcW w:type="dxa" w:w="17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SST 6~10%</w:t>
            </w:r>
          </w:p>
        </w:tc>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PDPA</w:t>
            </w:r>
          </w:p>
        </w:tc>
        <w:tc>
          <w:tcPr>
            <w:tcW w:type="dxa" w:w="2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LVG 판매세</w:t>
            </w:r>
          </w:p>
        </w:tc>
      </w:tr>
      <w:tr>
        <w:tc>
          <w:tcPr>
            <w:tcW w:type="dxa" w:w="1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태국</w:t>
            </w:r>
          </w:p>
        </w:tc>
        <w:tc>
          <w:tcPr>
            <w:tcW w:type="dxa" w:w="22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축소 추세</w:t>
            </w:r>
          </w:p>
        </w:tc>
        <w:tc>
          <w:tcPr>
            <w:tcW w:type="dxa" w:w="17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VAT 7%</w:t>
            </w:r>
          </w:p>
        </w:tc>
        <w:tc>
          <w:tcPr>
            <w:tcW w:type="dxa" w:w="1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PDPA</w:t>
            </w:r>
          </w:p>
        </w:tc>
        <w:tc>
          <w:tcPr>
            <w:tcW w:type="dxa" w:w="26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면세 축소</w:t>
            </w:r>
          </w:p>
        </w:tc>
      </w:tr>
      <w:tr>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베트남</w:t>
            </w:r>
          </w:p>
        </w:tc>
        <w:tc>
          <w:tcPr>
            <w:tcW w:type="dxa" w:w="2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축소·폐지 논의</w:t>
            </w:r>
          </w:p>
        </w:tc>
        <w:tc>
          <w:tcPr>
            <w:tcW w:type="dxa" w:w="17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VAT 8~10%</w:t>
            </w:r>
          </w:p>
        </w:tc>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PDPD</w:t>
            </w:r>
          </w:p>
        </w:tc>
        <w:tc>
          <w:tcPr>
            <w:tcW w:type="dxa" w:w="2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제도 변동</w:t>
            </w:r>
          </w:p>
        </w:tc>
      </w:tr>
      <w:tr>
        <w:tc>
          <w:tcPr>
            <w:tcW w:type="dxa" w:w="1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인도네시아</w:t>
            </w:r>
          </w:p>
        </w:tc>
        <w:tc>
          <w:tcPr>
            <w:tcW w:type="dxa" w:w="22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US$3 초과 과세</w:t>
            </w:r>
          </w:p>
        </w:tc>
        <w:tc>
          <w:tcPr>
            <w:tcW w:type="dxa" w:w="17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VAT 11~12%</w:t>
            </w:r>
          </w:p>
        </w:tc>
        <w:tc>
          <w:tcPr>
            <w:tcW w:type="dxa" w:w="1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PDP법</w:t>
            </w:r>
          </w:p>
        </w:tc>
        <w:tc>
          <w:tcPr>
            <w:tcW w:type="dxa" w:w="26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엄격 과세</w:t>
            </w:r>
          </w:p>
        </w:tc>
      </w:tr>
      <w:tr>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필리핀</w:t>
            </w:r>
          </w:p>
        </w:tc>
        <w:tc>
          <w:tcPr>
            <w:tcW w:type="dxa" w:w="2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₱10,000↓ 경향</w:t>
            </w:r>
          </w:p>
        </w:tc>
        <w:tc>
          <w:tcPr>
            <w:tcW w:type="dxa" w:w="17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VAT 12%</w:t>
            </w:r>
          </w:p>
        </w:tc>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DPA</w:t>
            </w:r>
          </w:p>
        </w:tc>
        <w:tc>
          <w:tcPr>
            <w:tcW w:type="dxa" w:w="26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확인필요</w:t>
            </w:r>
          </w:p>
        </w:tc>
      </w:tr>
      <w:tr>
        <w:tc>
          <w:tcPr>
            <w:tcW w:type="dxa" w:w="1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일본</w:t>
            </w:r>
          </w:p>
        </w:tc>
        <w:tc>
          <w:tcPr>
            <w:tcW w:type="dxa" w:w="22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1만엔↓(품목예외)</w:t>
            </w:r>
          </w:p>
        </w:tc>
        <w:tc>
          <w:tcPr>
            <w:tcW w:type="dxa" w:w="17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소비세 10%</w:t>
            </w:r>
          </w:p>
        </w:tc>
        <w:tc>
          <w:tcPr>
            <w:tcW w:type="dxa" w:w="14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APPI</w:t>
            </w:r>
          </w:p>
        </w:tc>
        <w:tc>
          <w:tcPr>
            <w:tcW w:type="dxa" w:w="266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품목별 예외</w:t>
            </w:r>
          </w:p>
        </w:tc>
      </w:tr>
    </w:tbl>
    <w:p>
      <w:pPr>
        <w:spacing w:after="80"/>
      </w:pPr>
      <w:r>
        <w:rPr>
          <w:rFonts w:ascii="Malgun Gothic" w:cs="Malgun Gothic" w:eastAsia="Malgun Gothic" w:hAnsi="Malgun Gothic"/>
          <w:color w:val="1F2937"/>
          <w:sz w:val="20"/>
          <w:szCs w:val="20"/>
        </w:rPr>
        <w:t xml:space="preserve"/>
      </w:r>
    </w:p>
    <w:tbl>
      <w:tblPr>
        <w:tblW w:type="pct" w:w="100%"/>
        <w:tblBorders>
          <w:top w:val="single" w:color="0F766E" w:sz="2"/>
          <w:left w:val="single" w:color="0F766E" w:sz="14"/>
          <w:bottom w:val="single" w:color="0F766E" w:sz="2"/>
          <w:right w:val="single" w:color="0F766E" w:sz="2"/>
          <w:insideH w:val="none"/>
          <w:insideV w:val="none"/>
        </w:tblBorders>
      </w:tblPr>
      <w:tblGrid>
        <w:gridCol w:w="9360"/>
      </w:tblGrid>
      <w:tr>
        <w:tc>
          <w:tcPr>
            <w:tcW w:type="dxa" w:w="9360"/>
            <w:shd w:fill="F3F4F6" w:val="clear"/>
            <w:tcMar>
              <w:top w:type="dxa" w:w="120"/>
              <w:left w:type="dxa" w:w="160"/>
              <w:bottom w:type="dxa" w:w="120"/>
              <w:right w:type="dxa" w:w="160"/>
            </w:tcMar>
          </w:tcPr>
          <w:p>
            <w:pPr>
              <w:spacing w:after="60"/>
            </w:pPr>
            <w:r>
              <w:rPr>
                <w:rFonts w:ascii="Malgun Gothic" w:cs="Malgun Gothic" w:eastAsia="Malgun Gothic" w:hAnsi="Malgun Gothic"/>
                <w:b/>
                <w:bCs/>
                <w:color w:val="0F766E"/>
                <w:sz w:val="20"/>
                <w:szCs w:val="20"/>
              </w:rPr>
              <w:t xml:space="preserve">매트릭스 활용</w:t>
            </w:r>
          </w:p>
          <w:p>
            <w:pPr>
              <w:spacing w:after="40" w:line="264"/>
            </w:pPr>
            <w:r>
              <w:rPr>
                <w:rFonts w:ascii="Malgun Gothic" w:cs="Malgun Gothic" w:eastAsia="Malgun Gothic" w:hAnsi="Malgun Gothic"/>
                <w:color w:val="1F2937"/>
                <w:sz w:val="19"/>
                <w:szCs w:val="19"/>
              </w:rPr>
              <w:t xml:space="preserve">신규 시장 진입 전 이 표의 해당국 행을 기준으로 ‘면세한도·간접세 등록의무·개인정보·플랫폼 요건’ 4개를 체크한 뒤, 현지 전문가로 최신값을 확정하세요.</w:t>
            </w:r>
          </w:p>
        </w:tc>
      </w:tr>
    </w:tbl>
    <w:p>
      <w:pPr>
        <w:pStyle w:val="Heading1"/>
        <w:pageBreakBefore/>
        <w:spacing w:after="160" w:before="60"/>
      </w:pPr>
      <w:r>
        <w:rPr>
          <w:rFonts w:ascii="Malgun Gothic" w:cs="Malgun Gothic" w:eastAsia="Malgun Gothic" w:hAnsi="Malgun Gothic"/>
          <w:b/>
          <w:bCs/>
          <w:color w:val="0F766E"/>
          <w:sz w:val="30"/>
          <w:szCs w:val="30"/>
        </w:rPr>
        <w:t xml:space="preserve">13. 리스크 체크리스트</w:t>
      </w:r>
    </w:p>
    <w:p>
      <w:pPr>
        <w:pStyle w:val="Heading2"/>
        <w:spacing w:after="100" w:before="160"/>
      </w:pPr>
      <w:r>
        <w:rPr>
          <w:rFonts w:ascii="Malgun Gothic" w:cs="Malgun Gothic" w:eastAsia="Malgun Gothic" w:hAnsi="Malgun Gothic"/>
          <w:b/>
          <w:bCs/>
          <w:color w:val="1F2937"/>
          <w:sz w:val="24"/>
          <w:szCs w:val="24"/>
        </w:rPr>
        <w:t xml:space="preserve">13.1 법인·구조</w:t>
      </w:r>
    </w:p>
    <w:p>
      <w:pPr>
        <w:pStyle w:val="ListParagraph"/>
        <w:numPr>
          <w:ilvl w:val="0"/>
          <w:numId w:val="2"/>
        </w:numPr>
        <w:spacing w:after="70" w:line="264"/>
      </w:pPr>
      <w:r>
        <w:rPr>
          <w:rFonts w:ascii="Malgun Gothic" w:cs="Malgun Gothic" w:eastAsia="Malgun Gothic" w:hAnsi="Malgun Gothic"/>
          <w:color w:val="1F2937"/>
          <w:sz w:val="20"/>
          <w:szCs w:val="20"/>
        </w:rPr>
        <w:t xml:space="preserve">□ 사회적협동조합 정관·인가 사업범위에 영리 판매대행이 포함되는가? (미포함 시 정관변경/별도법인)</w:t>
      </w:r>
    </w:p>
    <w:p>
      <w:pPr>
        <w:pStyle w:val="ListParagraph"/>
        <w:numPr>
          <w:ilvl w:val="0"/>
          <w:numId w:val="2"/>
        </w:numPr>
        <w:spacing w:after="70" w:line="264"/>
      </w:pPr>
      <w:r>
        <w:rPr>
          <w:rFonts w:ascii="Malgun Gothic" w:cs="Malgun Gothic" w:eastAsia="Malgun Gothic" w:hAnsi="Malgun Gothic"/>
          <w:color w:val="1F2937"/>
          <w:sz w:val="20"/>
          <w:szCs w:val="20"/>
        </w:rPr>
        <w:t xml:space="preserve">□ 각 법인이 실제 기능·위험·자산을 부담하는가(substance)?</w:t>
      </w:r>
    </w:p>
    <w:p>
      <w:pPr>
        <w:pStyle w:val="ListParagraph"/>
        <w:numPr>
          <w:ilvl w:val="0"/>
          <w:numId w:val="2"/>
        </w:numPr>
        <w:spacing w:after="70" w:line="264"/>
      </w:pPr>
      <w:r>
        <w:rPr>
          <w:rFonts w:ascii="Malgun Gothic" w:cs="Malgun Gothic" w:eastAsia="Malgun Gothic" w:hAnsi="Malgun Gothic"/>
          <w:color w:val="1F2937"/>
          <w:sz w:val="20"/>
          <w:szCs w:val="20"/>
        </w:rPr>
        <w:t xml:space="preserve">□ 위탁판매 계약서(수수료·소유권·반품·상표·손실부담) 완비?</w:t>
      </w:r>
    </w:p>
    <w:p>
      <w:pPr>
        <w:pStyle w:val="Heading2"/>
        <w:spacing w:after="100" w:before="160"/>
      </w:pPr>
      <w:r>
        <w:rPr>
          <w:rFonts w:ascii="Malgun Gothic" w:cs="Malgun Gothic" w:eastAsia="Malgun Gothic" w:hAnsi="Malgun Gothic"/>
          <w:b/>
          <w:bCs/>
          <w:color w:val="1F2937"/>
          <w:sz w:val="24"/>
          <w:szCs w:val="24"/>
        </w:rPr>
        <w:t xml:space="preserve">13.2 세무</w:t>
      </w:r>
    </w:p>
    <w:p>
      <w:pPr>
        <w:pStyle w:val="ListParagraph"/>
        <w:numPr>
          <w:ilvl w:val="0"/>
          <w:numId w:val="2"/>
        </w:numPr>
        <w:spacing w:after="70" w:line="264"/>
      </w:pPr>
      <w:r>
        <w:rPr>
          <w:rFonts w:ascii="Malgun Gothic" w:cs="Malgun Gothic" w:eastAsia="Malgun Gothic" w:hAnsi="Malgun Gothic"/>
          <w:color w:val="1F2937"/>
          <w:sz w:val="20"/>
          <w:szCs w:val="20"/>
        </w:rPr>
        <w:t xml:space="preserve">□ 관계사 위탁 수수료가 정상가격인가? 벤치마크 문서 확보?</w:t>
      </w:r>
    </w:p>
    <w:p>
      <w:pPr>
        <w:pStyle w:val="ListParagraph"/>
        <w:numPr>
          <w:ilvl w:val="0"/>
          <w:numId w:val="2"/>
        </w:numPr>
        <w:spacing w:after="70" w:line="264"/>
      </w:pPr>
      <w:r>
        <w:rPr>
          <w:rFonts w:ascii="Malgun Gothic" w:cs="Malgun Gothic" w:eastAsia="Malgun Gothic" w:hAnsi="Malgun Gothic"/>
          <w:color w:val="1F2937"/>
          <w:sz w:val="20"/>
          <w:szCs w:val="20"/>
        </w:rPr>
        <w:t xml:space="preserve">□ Form 5472·국제거래명세서·이전가격 문서 대상 여부 확인?</w:t>
      </w:r>
    </w:p>
    <w:p>
      <w:pPr>
        <w:pStyle w:val="ListParagraph"/>
        <w:numPr>
          <w:ilvl w:val="0"/>
          <w:numId w:val="2"/>
        </w:numPr>
        <w:spacing w:after="70" w:line="264"/>
      </w:pPr>
      <w:r>
        <w:rPr>
          <w:rFonts w:ascii="Malgun Gothic" w:cs="Malgun Gothic" w:eastAsia="Malgun Gothic" w:hAnsi="Malgun Gothic"/>
          <w:color w:val="1F2937"/>
          <w:sz w:val="20"/>
          <w:szCs w:val="20"/>
        </w:rPr>
        <w:t xml:space="preserve">□ 미국 주별 sales tax 넥서스 모니터링 체계?</w:t>
      </w:r>
    </w:p>
    <w:p>
      <w:pPr>
        <w:pStyle w:val="ListParagraph"/>
        <w:numPr>
          <w:ilvl w:val="0"/>
          <w:numId w:val="2"/>
        </w:numPr>
        <w:spacing w:after="70" w:line="264"/>
      </w:pPr>
      <w:r>
        <w:rPr>
          <w:rFonts w:ascii="Malgun Gothic" w:cs="Malgun Gothic" w:eastAsia="Malgun Gothic" w:hAnsi="Malgun Gothic"/>
          <w:color w:val="1F2937"/>
          <w:sz w:val="20"/>
          <w:szCs w:val="20"/>
        </w:rPr>
        <w:t xml:space="preserve">□ EU/동남아 VAT·GST 등록의무 임계값 모니터링?</w:t>
      </w:r>
    </w:p>
    <w:p>
      <w:pPr>
        <w:pStyle w:val="ListParagraph"/>
        <w:numPr>
          <w:ilvl w:val="0"/>
          <w:numId w:val="2"/>
        </w:numPr>
        <w:spacing w:after="70" w:line="264"/>
      </w:pPr>
      <w:r>
        <w:rPr>
          <w:rFonts w:ascii="Malgun Gothic" w:cs="Malgun Gothic" w:eastAsia="Malgun Gothic" w:hAnsi="Malgun Gothic"/>
          <w:color w:val="1F2937"/>
          <w:sz w:val="20"/>
          <w:szCs w:val="20"/>
        </w:rPr>
        <w:t xml:space="preserve">□ 파트너스 협동조합 월 매출 상한(3,000만원) 초과 방지 로직 가동?</w:t>
      </w:r>
    </w:p>
    <w:p>
      <w:pPr>
        <w:pStyle w:val="Heading2"/>
        <w:spacing w:after="100" w:before="160"/>
      </w:pPr>
      <w:r>
        <w:rPr>
          <w:rFonts w:ascii="Malgun Gothic" w:cs="Malgun Gothic" w:eastAsia="Malgun Gothic" w:hAnsi="Malgun Gothic"/>
          <w:b/>
          <w:bCs/>
          <w:color w:val="1F2937"/>
          <w:sz w:val="24"/>
          <w:szCs w:val="24"/>
        </w:rPr>
        <w:t xml:space="preserve">13.3 통관·물류</w:t>
      </w:r>
    </w:p>
    <w:p>
      <w:pPr>
        <w:pStyle w:val="ListParagraph"/>
        <w:numPr>
          <w:ilvl w:val="0"/>
          <w:numId w:val="2"/>
        </w:numPr>
        <w:spacing w:after="70" w:line="264"/>
      </w:pPr>
      <w:r>
        <w:rPr>
          <w:rFonts w:ascii="Malgun Gothic" w:cs="Malgun Gothic" w:eastAsia="Malgun Gothic" w:hAnsi="Malgun Gothic"/>
          <w:color w:val="1F2937"/>
          <w:sz w:val="20"/>
          <w:szCs w:val="20"/>
        </w:rPr>
        <w:t xml:space="preserve">□ 각국 de minimis 최신값 확인? (미국 800·EU 150·동남아 변동)</w:t>
      </w:r>
    </w:p>
    <w:p>
      <w:pPr>
        <w:pStyle w:val="ListParagraph"/>
        <w:numPr>
          <w:ilvl w:val="0"/>
          <w:numId w:val="2"/>
        </w:numPr>
        <w:spacing w:after="70" w:line="264"/>
      </w:pPr>
      <w:r>
        <w:rPr>
          <w:rFonts w:ascii="Malgun Gothic" w:cs="Malgun Gothic" w:eastAsia="Malgun Gothic" w:hAnsi="Malgun Gothic"/>
          <w:color w:val="1F2937"/>
          <w:sz w:val="20"/>
          <w:szCs w:val="20"/>
        </w:rPr>
        <w:t xml:space="preserve">□ 개인통관고유부호 수취·형식검증(P+12자리)?</w:t>
      </w:r>
    </w:p>
    <w:p>
      <w:pPr>
        <w:pStyle w:val="ListParagraph"/>
        <w:numPr>
          <w:ilvl w:val="0"/>
          <w:numId w:val="2"/>
        </w:numPr>
        <w:spacing w:after="70" w:line="264"/>
      </w:pPr>
      <w:r>
        <w:rPr>
          <w:rFonts w:ascii="Malgun Gothic" w:cs="Malgun Gothic" w:eastAsia="Malgun Gothic" w:hAnsi="Malgun Gothic"/>
          <w:color w:val="1F2937"/>
          <w:sz w:val="20"/>
          <w:szCs w:val="20"/>
        </w:rPr>
        <w:t xml:space="preserve">□ 재고 0/품절 시 채널 자동 outOfStock/delist (오버셀 방지)?</w:t>
      </w:r>
    </w:p>
    <w:p>
      <w:pPr>
        <w:pStyle w:val="ListParagraph"/>
        <w:numPr>
          <w:ilvl w:val="0"/>
          <w:numId w:val="2"/>
        </w:numPr>
        <w:spacing w:after="70" w:line="264"/>
      </w:pPr>
      <w:r>
        <w:rPr>
          <w:rFonts w:ascii="Malgun Gothic" w:cs="Malgun Gothic" w:eastAsia="Malgun Gothic" w:hAnsi="Malgun Gothic"/>
          <w:color w:val="1F2937"/>
          <w:sz w:val="20"/>
          <w:szCs w:val="20"/>
        </w:rPr>
        <w:t xml:space="preserve">□ Shopee 한국 집화창고(김포/인천) 물류 세팅?</w:t>
      </w:r>
    </w:p>
    <w:p>
      <w:pPr>
        <w:pStyle w:val="Heading2"/>
        <w:spacing w:after="100" w:before="160"/>
      </w:pPr>
      <w:r>
        <w:rPr>
          <w:rFonts w:ascii="Malgun Gothic" w:cs="Malgun Gothic" w:eastAsia="Malgun Gothic" w:hAnsi="Malgun Gothic"/>
          <w:b/>
          <w:bCs/>
          <w:color w:val="1F2937"/>
          <w:sz w:val="24"/>
          <w:szCs w:val="24"/>
        </w:rPr>
        <w:t xml:space="preserve">13.4 외환·결제·개인정보</w:t>
      </w:r>
    </w:p>
    <w:p>
      <w:pPr>
        <w:pStyle w:val="ListParagraph"/>
        <w:numPr>
          <w:ilvl w:val="0"/>
          <w:numId w:val="2"/>
        </w:numPr>
        <w:spacing w:after="70" w:line="264"/>
      </w:pPr>
      <w:r>
        <w:rPr>
          <w:rFonts w:ascii="Malgun Gothic" w:cs="Malgun Gothic" w:eastAsia="Malgun Gothic" w:hAnsi="Malgun Gothic"/>
          <w:color w:val="1F2937"/>
          <w:sz w:val="20"/>
          <w:szCs w:val="20"/>
        </w:rPr>
        <w:t xml:space="preserve">□ 법인 간 정산의 외국환 신고·증빙 체계?</w:t>
      </w:r>
    </w:p>
    <w:p>
      <w:pPr>
        <w:pStyle w:val="ListParagraph"/>
        <w:numPr>
          <w:ilvl w:val="0"/>
          <w:numId w:val="2"/>
        </w:numPr>
        <w:spacing w:after="70" w:line="264"/>
      </w:pPr>
      <w:r>
        <w:rPr>
          <w:rFonts w:ascii="Malgun Gothic" w:cs="Malgun Gothic" w:eastAsia="Malgun Gothic" w:hAnsi="Malgun Gothic"/>
          <w:color w:val="1F2937"/>
          <w:sz w:val="20"/>
          <w:szCs w:val="20"/>
        </w:rPr>
        <w:t xml:space="preserve">□ 제3자 자금 수취·환전 라이선스 이슈 없는가?</w:t>
      </w:r>
    </w:p>
    <w:p>
      <w:pPr>
        <w:pStyle w:val="ListParagraph"/>
        <w:numPr>
          <w:ilvl w:val="0"/>
          <w:numId w:val="2"/>
        </w:numPr>
        <w:spacing w:after="70" w:line="264"/>
      </w:pPr>
      <w:r>
        <w:rPr>
          <w:rFonts w:ascii="Malgun Gothic" w:cs="Malgun Gothic" w:eastAsia="Malgun Gothic" w:hAnsi="Malgun Gothic"/>
          <w:color w:val="1F2937"/>
          <w:sz w:val="20"/>
          <w:szCs w:val="20"/>
        </w:rPr>
        <w:t xml:space="preserve">□ 개인정보 국외이전 고지/동의? 개인정보처리방침 게시?</w:t>
      </w:r>
    </w:p>
    <w:p>
      <w:pPr>
        <w:pStyle w:val="Heading1"/>
        <w:pageBreakBefore/>
        <w:spacing w:after="160" w:before="60"/>
      </w:pPr>
      <w:r>
        <w:rPr>
          <w:rFonts w:ascii="Malgun Gothic" w:cs="Malgun Gothic" w:eastAsia="Malgun Gothic" w:hAnsi="Malgun Gothic"/>
          <w:b/>
          <w:bCs/>
          <w:color w:val="0F766E"/>
          <w:sz w:val="30"/>
          <w:szCs w:val="30"/>
        </w:rPr>
        <w:t xml:space="preserve">14. 단계별 실행 로드맵</w:t>
      </w:r>
    </w:p>
    <w:p>
      <w:pPr>
        <w:pStyle w:val="Heading2"/>
        <w:spacing w:after="100" w:before="160"/>
      </w:pPr>
      <w:r>
        <w:rPr>
          <w:rFonts w:ascii="Malgun Gothic" w:cs="Malgun Gothic" w:eastAsia="Malgun Gothic" w:hAnsi="Malgun Gothic"/>
          <w:b/>
          <w:bCs/>
          <w:color w:val="1F2937"/>
          <w:sz w:val="24"/>
          <w:szCs w:val="24"/>
        </w:rPr>
        <w:t xml:space="preserve">14.1 Phase 0 — 구조 확정 (전문가 자문)</w:t>
      </w:r>
    </w:p>
    <w:p>
      <w:pPr>
        <w:pStyle w:val="ListParagraph"/>
        <w:numPr>
          <w:ilvl w:val="0"/>
          <w:numId w:val="2"/>
        </w:numPr>
        <w:spacing w:after="70" w:line="264"/>
      </w:pPr>
      <w:r>
        <w:rPr>
          <w:rFonts w:ascii="Malgun Gothic" w:cs="Malgun Gothic" w:eastAsia="Malgun Gothic" w:hAnsi="Malgun Gothic"/>
          <w:color w:val="1F2937"/>
          <w:sz w:val="20"/>
          <w:szCs w:val="20"/>
        </w:rPr>
        <w:t xml:space="preserve">세무사·변호사·관세사와 2법인 구조·위탁계약·이전가격 정책 확정. 사회적협동조합 정관/인가 적합성 검토. (가장 먼저)</w:t>
      </w:r>
    </w:p>
    <w:p>
      <w:pPr>
        <w:pStyle w:val="Heading2"/>
        <w:spacing w:after="100" w:before="160"/>
      </w:pPr>
      <w:r>
        <w:rPr>
          <w:rFonts w:ascii="Malgun Gothic" w:cs="Malgun Gothic" w:eastAsia="Malgun Gothic" w:hAnsi="Malgun Gothic"/>
          <w:b/>
          <w:bCs/>
          <w:color w:val="1F2937"/>
          <w:sz w:val="24"/>
          <w:szCs w:val="24"/>
        </w:rPr>
        <w:t xml:space="preserve">14.2 Phase 1 — 국내 파일럿 (파트너스, 트랙 B/C)</w:t>
      </w:r>
    </w:p>
    <w:p>
      <w:pPr>
        <w:pStyle w:val="ListParagraph"/>
        <w:numPr>
          <w:ilvl w:val="0"/>
          <w:numId w:val="2"/>
        </w:numPr>
        <w:spacing w:after="70" w:line="264"/>
      </w:pPr>
      <w:r>
        <w:rPr>
          <w:rFonts w:ascii="Malgun Gothic" w:cs="Malgun Gothic" w:eastAsia="Malgun Gothic" w:hAnsi="Malgun Gothic"/>
          <w:color w:val="1F2937"/>
          <w:sz w:val="20"/>
          <w:szCs w:val="20"/>
        </w:rPr>
        <w:t xml:space="preserve">쿠팡 윙 해외구매대행 세팅 → CJ 소싱 20~30개 수동 등록 → 주문 흐름·통관부호·발주 검증. 파트너스 매출 상한 모니터링.</w:t>
      </w:r>
    </w:p>
    <w:p>
      <w:pPr>
        <w:pStyle w:val="Heading2"/>
        <w:spacing w:after="100" w:before="160"/>
      </w:pPr>
      <w:r>
        <w:rPr>
          <w:rFonts w:ascii="Malgun Gothic" w:cs="Malgun Gothic" w:eastAsia="Malgun Gothic" w:hAnsi="Malgun Gothic"/>
          <w:b/>
          <w:bCs/>
          <w:color w:val="1F2937"/>
          <w:sz w:val="24"/>
          <w:szCs w:val="24"/>
        </w:rPr>
        <w:t xml:space="preserve">14.3 Phase 2 — 해외 대형 (테라브릿지, 트랙 A)</w:t>
      </w:r>
    </w:p>
    <w:p>
      <w:pPr>
        <w:pStyle w:val="ListParagraph"/>
        <w:numPr>
          <w:ilvl w:val="0"/>
          <w:numId w:val="2"/>
        </w:numPr>
        <w:spacing w:after="70" w:line="264"/>
      </w:pPr>
      <w:r>
        <w:rPr>
          <w:rFonts w:ascii="Malgun Gothic" w:cs="Malgun Gothic" w:eastAsia="Malgun Gothic" w:hAnsi="Malgun Gothic"/>
          <w:color w:val="1F2937"/>
          <w:sz w:val="20"/>
          <w:szCs w:val="20"/>
        </w:rPr>
        <w:t xml:space="preserve">Stripe 계정(테라브릿지 명의) → 자사몰/Shopify로 미국·EU 판매. sales tax·VAT 넥서스 모니터링 가동.</w:t>
      </w:r>
    </w:p>
    <w:p>
      <w:pPr>
        <w:pStyle w:val="Heading2"/>
        <w:spacing w:after="100" w:before="160"/>
      </w:pPr>
      <w:r>
        <w:rPr>
          <w:rFonts w:ascii="Malgun Gothic" w:cs="Malgun Gothic" w:eastAsia="Malgun Gothic" w:hAnsi="Malgun Gothic"/>
          <w:b/>
          <w:bCs/>
          <w:color w:val="1F2937"/>
          <w:sz w:val="24"/>
          <w:szCs w:val="24"/>
        </w:rPr>
        <w:t xml:space="preserve">14.4 Phase 3 — 동남아 확장 (Shopee)</w:t>
      </w:r>
    </w:p>
    <w:p>
      <w:pPr>
        <w:pStyle w:val="ListParagraph"/>
        <w:numPr>
          <w:ilvl w:val="0"/>
          <w:numId w:val="2"/>
        </w:numPr>
        <w:spacing w:after="70" w:line="264"/>
      </w:pPr>
      <w:r>
        <w:rPr>
          <w:rFonts w:ascii="Malgun Gothic" w:cs="Malgun Gothic" w:eastAsia="Malgun Gothic" w:hAnsi="Malgun Gothic"/>
          <w:color w:val="1F2937"/>
          <w:sz w:val="20"/>
          <w:szCs w:val="20"/>
        </w:rPr>
        <w:t xml:space="preserve">Shopee Korea 셀러 등록 → 한국 집화창고 물류 → 각국 면세한도·GST 확인 후 순차 오픈.</w:t>
      </w:r>
    </w:p>
    <w:p>
      <w:pPr>
        <w:pStyle w:val="Heading2"/>
        <w:spacing w:after="100" w:before="160"/>
      </w:pPr>
      <w:r>
        <w:rPr>
          <w:rFonts w:ascii="Malgun Gothic" w:cs="Malgun Gothic" w:eastAsia="Malgun Gothic" w:hAnsi="Malgun Gothic"/>
          <w:b/>
          <w:bCs/>
          <w:color w:val="1F2937"/>
          <w:sz w:val="24"/>
          <w:szCs w:val="24"/>
        </w:rPr>
        <w:t xml:space="preserve">14.5 Phase 4 — 자동화·정산 원장</w:t>
      </w:r>
    </w:p>
    <w:p>
      <w:pPr>
        <w:pStyle w:val="ListParagraph"/>
        <w:numPr>
          <w:ilvl w:val="0"/>
          <w:numId w:val="2"/>
        </w:numPr>
        <w:spacing w:after="70" w:line="264"/>
      </w:pPr>
      <w:r>
        <w:rPr>
          <w:rFonts w:ascii="Malgun Gothic" w:cs="Malgun Gothic" w:eastAsia="Malgun Gothic" w:hAnsi="Malgun Gothic"/>
          <w:color w:val="1F2937"/>
          <w:sz w:val="20"/>
          <w:szCs w:val="20"/>
        </w:rPr>
        <w:t xml:space="preserve">재고 동기화·통관부호 검증·정산 귀속 법인 라우팅·수수료 모델(고정+월정액) 코드 반영. 정기 크론으로 소싱·환율 동기화.</w:t>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우선순위</w:t>
            </w:r>
          </w:p>
          <w:p>
            <w:pPr>
              <w:spacing w:after="40" w:line="264"/>
            </w:pPr>
            <w:r>
              <w:rPr>
                <w:rFonts w:ascii="Malgun Gothic" w:cs="Malgun Gothic" w:eastAsia="Malgun Gothic" w:hAnsi="Malgun Gothic"/>
                <w:color w:val="1F2937"/>
                <w:sz w:val="19"/>
                <w:szCs w:val="19"/>
              </w:rPr>
              <w:t xml:space="preserve">Phase 0(전문가 구조 확정)을 건너뛰지 마세요. 코드는 언제든 설정으로 맞출 수 있지만, 법인·세무 구조를 잘못 세우면 되돌리는 비용이 큽니다.</w:t>
            </w:r>
          </w:p>
        </w:tc>
      </w:tr>
    </w:tbl>
    <w:p>
      <w:pPr>
        <w:pStyle w:val="Heading1"/>
        <w:pageBreakBefore/>
        <w:spacing w:after="160" w:before="60"/>
      </w:pPr>
      <w:r>
        <w:rPr>
          <w:rFonts w:ascii="Malgun Gothic" w:cs="Malgun Gothic" w:eastAsia="Malgun Gothic" w:hAnsi="Malgun Gothic"/>
          <w:b/>
          <w:bCs/>
          <w:color w:val="0F766E"/>
          <w:sz w:val="30"/>
          <w:szCs w:val="30"/>
        </w:rPr>
        <w:t xml:space="preserve">15. 확인처 · 문의 기관</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1800"/>
        <w:gridCol w:w="3780"/>
        <w:gridCol w:w="3780"/>
      </w:tblGrid>
      <w:tr>
        <w:trPr>
          <w:tblHeader/>
        </w:trPr>
        <w:tc>
          <w:tcPr>
            <w:tcW w:type="dxa" w:w="18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분야</w:t>
            </w:r>
          </w:p>
        </w:tc>
        <w:tc>
          <w:tcPr>
            <w:tcW w:type="dxa" w:w="378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한국</w:t>
            </w:r>
          </w:p>
        </w:tc>
        <w:tc>
          <w:tcPr>
            <w:tcW w:type="dxa" w:w="378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해외</w:t>
            </w:r>
          </w:p>
        </w:tc>
      </w:tr>
      <w:tr>
        <w:tc>
          <w:tcPr>
            <w:tcW w:type="dxa" w:w="18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통관·관세</w:t>
            </w:r>
          </w:p>
        </w:tc>
        <w:tc>
          <w:tcPr>
            <w:tcW w:type="dxa" w:w="37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관세청 UNIPASS, 관세사</w:t>
            </w:r>
          </w:p>
        </w:tc>
        <w:tc>
          <w:tcPr>
            <w:tcW w:type="dxa" w:w="37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US CBP, 각국 세관</w:t>
            </w:r>
          </w:p>
        </w:tc>
      </w:tr>
      <w:tr>
        <w:tc>
          <w:tcPr>
            <w:tcW w:type="dxa" w:w="18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세무</w:t>
            </w:r>
          </w:p>
        </w:tc>
        <w:tc>
          <w:tcPr>
            <w:tcW w:type="dxa" w:w="378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국세청·세무사·회계사</w:t>
            </w:r>
          </w:p>
        </w:tc>
        <w:tc>
          <w:tcPr>
            <w:tcW w:type="dxa" w:w="378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US CPA, IRS, 각국 세무</w:t>
            </w:r>
          </w:p>
        </w:tc>
      </w:tr>
      <w:tr>
        <w:tc>
          <w:tcPr>
            <w:tcW w:type="dxa" w:w="18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법률</w:t>
            </w:r>
          </w:p>
        </w:tc>
        <w:tc>
          <w:tcPr>
            <w:tcW w:type="dxa" w:w="37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변호사(국제거래)</w:t>
            </w:r>
          </w:p>
        </w:tc>
        <w:tc>
          <w:tcPr>
            <w:tcW w:type="dxa" w:w="37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US attorney, 현지 로펌</w:t>
            </w:r>
          </w:p>
        </w:tc>
      </w:tr>
      <w:tr>
        <w:tc>
          <w:tcPr>
            <w:tcW w:type="dxa" w:w="18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협동조합</w:t>
            </w:r>
          </w:p>
        </w:tc>
        <w:tc>
          <w:tcPr>
            <w:tcW w:type="dxa" w:w="378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관계 중앙행정기관·시도 인가부서</w:t>
            </w:r>
          </w:p>
        </w:tc>
        <w:tc>
          <w:tcPr>
            <w:tcW w:type="dxa" w:w="378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w:t>
            </w:r>
          </w:p>
        </w:tc>
      </w:tr>
      <w:tr>
        <w:tc>
          <w:tcPr>
            <w:tcW w:type="dxa" w:w="18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외환</w:t>
            </w:r>
          </w:p>
        </w:tc>
        <w:tc>
          <w:tcPr>
            <w:tcW w:type="dxa" w:w="37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거래은행 외환창구·한국은행</w:t>
            </w:r>
          </w:p>
        </w:tc>
        <w:tc>
          <w:tcPr>
            <w:tcW w:type="dxa" w:w="37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w:t>
            </w:r>
          </w:p>
        </w:tc>
      </w:tr>
      <w:tr>
        <w:tc>
          <w:tcPr>
            <w:tcW w:type="dxa" w:w="180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개인정보</w:t>
            </w:r>
          </w:p>
        </w:tc>
        <w:tc>
          <w:tcPr>
            <w:tcW w:type="dxa" w:w="378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개인정보보호위원회</w:t>
            </w:r>
          </w:p>
        </w:tc>
        <w:tc>
          <w:tcPr>
            <w:tcW w:type="dxa" w:w="3780"/>
            <w:shd w:fill="FFFFFF" w:val="clear"/>
            <w:tcMar>
              <w:top w:type="dxa" w:w="50"/>
              <w:left w:type="dxa" w:w="90"/>
              <w:bottom w:type="dxa" w:w="50"/>
              <w:right w:type="dxa" w:w="90"/>
            </w:tcMar>
          </w:tcPr>
          <w:p>
            <w:r>
              <w:rPr>
                <w:rFonts w:ascii="Malgun Gothic" w:cs="Malgun Gothic" w:eastAsia="Malgun Gothic" w:hAnsi="Malgun Gothic"/>
                <w:color w:val="1F2937"/>
                <w:sz w:val="17"/>
                <w:szCs w:val="17"/>
              </w:rPr>
              <w:t xml:space="preserve">EU DPA, 각국 기관</w:t>
            </w:r>
          </w:p>
        </w:tc>
      </w:tr>
      <w:tr>
        <w:tc>
          <w:tcPr>
            <w:tcW w:type="dxa" w:w="18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결제</w:t>
            </w:r>
          </w:p>
        </w:tc>
        <w:tc>
          <w:tcPr>
            <w:tcW w:type="dxa" w:w="37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금융위·금감원, 토스</w:t>
            </w:r>
          </w:p>
        </w:tc>
        <w:tc>
          <w:tcPr>
            <w:tcW w:type="dxa" w:w="378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Stripe, 각국 규제기관</w:t>
            </w:r>
          </w:p>
        </w:tc>
      </w:tr>
    </w:tbl>
    <w:p>
      <w:pPr>
        <w:pStyle w:val="Heading1"/>
        <w:pageBreakBefore/>
        <w:spacing w:after="160" w:before="60"/>
      </w:pPr>
      <w:r>
        <w:rPr>
          <w:rFonts w:ascii="Malgun Gothic" w:cs="Malgun Gothic" w:eastAsia="Malgun Gothic" w:hAnsi="Malgun Gothic"/>
          <w:b/>
          <w:bCs/>
          <w:color w:val="0F766E"/>
          <w:sz w:val="30"/>
          <w:szCs w:val="30"/>
        </w:rPr>
        <w:t xml:space="preserve">16. 용어집</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de minimis — </w:t>
      </w:r>
      <w:r>
        <w:rPr>
          <w:rFonts w:ascii="Malgun Gothic" w:cs="Malgun Gothic" w:eastAsia="Malgun Gothic" w:hAnsi="Malgun Gothic"/>
          <w:color w:val="1F2937"/>
          <w:sz w:val="20"/>
          <w:szCs w:val="20"/>
        </w:rPr>
        <w:t xml:space="preserve">소액 수입 면세한도. 이 금액 이하는 관세·세금 면제.</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개인통관고유부호 — </w:t>
      </w:r>
      <w:r>
        <w:rPr>
          <w:rFonts w:ascii="Malgun Gothic" w:cs="Malgun Gothic" w:eastAsia="Malgun Gothic" w:hAnsi="Malgun Gothic"/>
          <w:color w:val="1F2937"/>
          <w:sz w:val="20"/>
          <w:szCs w:val="20"/>
        </w:rPr>
        <w:t xml:space="preserve">한국 해외직구 통관용 개인 식별번호(P+숫자 12자리).</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위탁판매(Consignment) — </w:t>
      </w:r>
      <w:r>
        <w:rPr>
          <w:rFonts w:ascii="Malgun Gothic" w:cs="Malgun Gothic" w:eastAsia="Malgun Gothic" w:hAnsi="Malgun Gothic"/>
          <w:color w:val="1F2937"/>
          <w:sz w:val="20"/>
          <w:szCs w:val="20"/>
        </w:rPr>
        <w:t xml:space="preserve">소유권을 위탁자에 두고 수탁자가 대행 판매하는 구조.</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이전가격(Transfer Pricing) — </w:t>
      </w:r>
      <w:r>
        <w:rPr>
          <w:rFonts w:ascii="Malgun Gothic" w:cs="Malgun Gothic" w:eastAsia="Malgun Gothic" w:hAnsi="Malgun Gothic"/>
          <w:color w:val="1F2937"/>
          <w:sz w:val="20"/>
          <w:szCs w:val="20"/>
        </w:rPr>
        <w:t xml:space="preserve">특수관계 법인 간 거래가격. 정상가격 원칙 적용.</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정상가격(Arm's length) — </w:t>
      </w:r>
      <w:r>
        <w:rPr>
          <w:rFonts w:ascii="Malgun Gothic" w:cs="Malgun Gothic" w:eastAsia="Malgun Gothic" w:hAnsi="Malgun Gothic"/>
          <w:color w:val="1F2937"/>
          <w:sz w:val="20"/>
          <w:szCs w:val="20"/>
        </w:rPr>
        <w:t xml:space="preserve">독립 제3자 간 형성될 가격.</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경제적 넥서스(Nexus) — </w:t>
      </w:r>
      <w:r>
        <w:rPr>
          <w:rFonts w:ascii="Malgun Gothic" w:cs="Malgun Gothic" w:eastAsia="Malgun Gothic" w:hAnsi="Malgun Gothic"/>
          <w:color w:val="1F2937"/>
          <w:sz w:val="20"/>
          <w:szCs w:val="20"/>
        </w:rPr>
        <w:t xml:space="preserve">물리적 사업장 없어도 매출·건수 기준으로 발생하는 과세 연결점(미국).</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IOSS/OSS — </w:t>
      </w:r>
      <w:r>
        <w:rPr>
          <w:rFonts w:ascii="Malgun Gothic" w:cs="Malgun Gothic" w:eastAsia="Malgun Gothic" w:hAnsi="Malgun Gothic"/>
          <w:color w:val="1F2937"/>
          <w:sz w:val="20"/>
          <w:szCs w:val="20"/>
        </w:rPr>
        <w:t xml:space="preserve">EU 수입/역내판매 VAT 통합신고 창구.</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Marketplace facilitator — </w:t>
      </w:r>
      <w:r>
        <w:rPr>
          <w:rFonts w:ascii="Malgun Gothic" w:cs="Malgun Gothic" w:eastAsia="Malgun Gothic" w:hAnsi="Malgun Gothic"/>
          <w:color w:val="1F2937"/>
          <w:sz w:val="20"/>
          <w:szCs w:val="20"/>
        </w:rPr>
        <w:t xml:space="preserve">플랫폼이 판매자 대신 판매세를 징수·납부하는 제도(미국).</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셀러 오브 레코드 — </w:t>
      </w:r>
      <w:r>
        <w:rPr>
          <w:rFonts w:ascii="Malgun Gothic" w:cs="Malgun Gothic" w:eastAsia="Malgun Gothic" w:hAnsi="Malgun Gothic"/>
          <w:color w:val="1F2937"/>
          <w:sz w:val="20"/>
          <w:szCs w:val="20"/>
        </w:rPr>
        <w:t xml:space="preserve">법적 판매 주체(세금·책임 귀속).</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MSB / Money transmitter — </w:t>
      </w:r>
      <w:r>
        <w:rPr>
          <w:rFonts w:ascii="Malgun Gothic" w:cs="Malgun Gothic" w:eastAsia="Malgun Gothic" w:hAnsi="Malgun Gothic"/>
          <w:color w:val="1F2937"/>
          <w:sz w:val="20"/>
          <w:szCs w:val="20"/>
        </w:rPr>
        <w:t xml:space="preserve">미국 자금이체업(제3자 자금 취급 시 등록).</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전자금융거래법 — </w:t>
      </w:r>
      <w:r>
        <w:rPr>
          <w:rFonts w:ascii="Malgun Gothic" w:cs="Malgun Gothic" w:eastAsia="Malgun Gothic" w:hAnsi="Malgun Gothic"/>
          <w:color w:val="1F2937"/>
          <w:sz w:val="20"/>
          <w:szCs w:val="20"/>
        </w:rPr>
        <w:t xml:space="preserve">한국 PG·전자지급수단 규율 법.</w:t>
      </w:r>
    </w:p>
    <w:p>
      <w:pPr>
        <w:pStyle w:val="ListParagraph"/>
        <w:numPr>
          <w:ilvl w:val="0"/>
          <w:numId w:val="2"/>
        </w:numPr>
        <w:spacing w:after="70" w:line="264"/>
      </w:pPr>
      <w:r>
        <w:rPr>
          <w:rFonts w:ascii="Malgun Gothic" w:cs="Malgun Gothic" w:eastAsia="Malgun Gothic" w:hAnsi="Malgun Gothic"/>
          <w:b/>
          <w:bCs/>
          <w:color w:val="0F766E"/>
          <w:sz w:val="20"/>
          <w:szCs w:val="20"/>
        </w:rPr>
        <w:t xml:space="preserve">LVG — </w:t>
      </w:r>
      <w:r>
        <w:rPr>
          <w:rFonts w:ascii="Malgun Gothic" w:cs="Malgun Gothic" w:eastAsia="Malgun Gothic" w:hAnsi="Malgun Gothic"/>
          <w:color w:val="1F2937"/>
          <w:sz w:val="20"/>
          <w:szCs w:val="20"/>
        </w:rPr>
        <w:t xml:space="preserve">Low-Value Goods. 저가 수입품 과세 제도(SG/MY 등).</w:t>
      </w:r>
    </w:p>
    <w:p>
      <w:pPr>
        <w:pStyle w:val="Heading1"/>
        <w:pageBreakBefore/>
        <w:spacing w:after="160" w:before="60"/>
      </w:pPr>
      <w:r>
        <w:rPr>
          <w:rFonts w:ascii="Malgun Gothic" w:cs="Malgun Gothic" w:eastAsia="Malgun Gothic" w:hAnsi="Malgun Gothic"/>
          <w:b/>
          <w:bCs/>
          <w:color w:val="0F766E"/>
          <w:sz w:val="30"/>
          <w:szCs w:val="30"/>
        </w:rPr>
        <w:t xml:space="preserve">17. 개정 이력 및 재검토 주기</w:t>
      </w:r>
    </w:p>
    <w:tbl>
      <w:tblPr>
        <w:tblW w:type="dxa" w:w="9360"/>
        <w:tblBorders>
          <w:top w:val="single" w:color="D1D5DB" w:sz="1"/>
          <w:left w:val="single" w:color="D1D5DB" w:sz="1"/>
          <w:bottom w:val="single" w:color="D1D5DB" w:sz="1"/>
          <w:right w:val="single" w:color="D1D5DB" w:sz="1"/>
          <w:insideH w:val="single" w:color="D1D5DB" w:sz="1"/>
          <w:insideV w:val="single" w:color="D1D5DB" w:sz="1"/>
        </w:tblBorders>
      </w:tblPr>
      <w:tblGrid>
        <w:gridCol w:w="1400"/>
        <w:gridCol w:w="2200"/>
        <w:gridCol w:w="5760"/>
      </w:tblGrid>
      <w:tr>
        <w:trPr>
          <w:tblHeader/>
        </w:trPr>
        <w:tc>
          <w:tcPr>
            <w:tcW w:type="dxa" w:w="14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버전</w:t>
            </w:r>
          </w:p>
        </w:tc>
        <w:tc>
          <w:tcPr>
            <w:tcW w:type="dxa" w:w="220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일자</w:t>
            </w:r>
          </w:p>
        </w:tc>
        <w:tc>
          <w:tcPr>
            <w:tcW w:type="dxa" w:w="5760"/>
            <w:shd w:fill="0F766E" w:val="clear"/>
            <w:tcMar>
              <w:top w:type="dxa" w:w="60"/>
              <w:left w:type="dxa" w:w="90"/>
              <w:bottom w:type="dxa" w:w="60"/>
              <w:right w:type="dxa" w:w="90"/>
            </w:tcMar>
          </w:tcPr>
          <w:p>
            <w:r>
              <w:rPr>
                <w:rFonts w:ascii="Malgun Gothic" w:cs="Malgun Gothic" w:eastAsia="Malgun Gothic" w:hAnsi="Malgun Gothic"/>
                <w:b/>
                <w:bCs/>
                <w:color w:val="FFFFFF"/>
                <w:sz w:val="18"/>
                <w:szCs w:val="18"/>
              </w:rPr>
              <w:t xml:space="preserve">내용</w:t>
            </w:r>
          </w:p>
        </w:tc>
      </w:tr>
      <w:tr>
        <w:tc>
          <w:tcPr>
            <w:tcW w:type="dxa" w:w="14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v1.0</w:t>
            </w:r>
          </w:p>
        </w:tc>
        <w:tc>
          <w:tcPr>
            <w:tcW w:type="dxa" w:w="220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2026-07-22</w:t>
            </w:r>
          </w:p>
        </w:tc>
        <w:tc>
          <w:tcPr>
            <w:tcW w:type="dxa" w:w="5760"/>
            <w:shd w:fill="F3F4F6" w:val="clear"/>
            <w:tcMar>
              <w:top w:type="dxa" w:w="50"/>
              <w:left w:type="dxa" w:w="90"/>
              <w:bottom w:type="dxa" w:w="50"/>
              <w:right w:type="dxa" w:w="90"/>
            </w:tcMar>
          </w:tcPr>
          <w:p>
            <w:r>
              <w:rPr>
                <w:rFonts w:ascii="Malgun Gothic" w:cs="Malgun Gothic" w:eastAsia="Malgun Gothic" w:hAnsi="Malgun Gothic"/>
                <w:color w:val="1F2937"/>
                <w:sz w:val="17"/>
                <w:szCs w:val="17"/>
              </w:rPr>
              <w:t xml:space="preserve">최초 작성 — 2법인·3트랙 구조 기준 국가별 비교</w:t>
            </w:r>
          </w:p>
        </w:tc>
      </w:tr>
    </w:tbl>
    <w:p>
      <w:pPr>
        <w:spacing w:after="80"/>
      </w:pPr>
      <w:r>
        <w:rPr>
          <w:rFonts w:ascii="Malgun Gothic" w:cs="Malgun Gothic" w:eastAsia="Malgun Gothic" w:hAnsi="Malgun Gothic"/>
          <w:color w:val="1F2937"/>
          <w:sz w:val="20"/>
          <w:szCs w:val="20"/>
        </w:rPr>
        <w:t xml:space="preserve"/>
      </w:r>
    </w:p>
    <w:tbl>
      <w:tblPr>
        <w:tblW w:type="pct" w:w="100%"/>
        <w:tblBorders>
          <w:top w:val="single" w:color="B45309" w:sz="2"/>
          <w:left w:val="single" w:color="B45309" w:sz="14"/>
          <w:bottom w:val="single" w:color="B45309" w:sz="2"/>
          <w:right w:val="single" w:color="B45309" w:sz="2"/>
          <w:insideH w:val="none"/>
          <w:insideV w:val="none"/>
        </w:tblBorders>
      </w:tblPr>
      <w:tblGrid>
        <w:gridCol w:w="9360"/>
      </w:tblGrid>
      <w:tr>
        <w:tc>
          <w:tcPr>
            <w:tcW w:type="dxa" w:w="9360"/>
            <w:shd w:fill="FEF3C7" w:val="clear"/>
            <w:tcMar>
              <w:top w:type="dxa" w:w="120"/>
              <w:left w:type="dxa" w:w="160"/>
              <w:bottom w:type="dxa" w:w="120"/>
              <w:right w:type="dxa" w:w="160"/>
            </w:tcMar>
          </w:tcPr>
          <w:p>
            <w:pPr>
              <w:spacing w:after="60"/>
            </w:pPr>
            <w:r>
              <w:rPr>
                <w:rFonts w:ascii="Malgun Gothic" w:cs="Malgun Gothic" w:eastAsia="Malgun Gothic" w:hAnsi="Malgun Gothic"/>
                <w:b/>
                <w:bCs/>
                <w:color w:val="B45309"/>
                <w:sz w:val="20"/>
                <w:szCs w:val="20"/>
              </w:rPr>
              <w:t xml:space="preserve">재검토 권고</w:t>
            </w:r>
          </w:p>
          <w:p>
            <w:pPr>
              <w:spacing w:after="40" w:line="264"/>
            </w:pPr>
            <w:r>
              <w:rPr>
                <w:rFonts w:ascii="Malgun Gothic" w:cs="Malgun Gothic" w:eastAsia="Malgun Gothic" w:hAnsi="Malgun Gothic"/>
                <w:color w:val="1F2937"/>
                <w:sz w:val="19"/>
                <w:szCs w:val="19"/>
              </w:rPr>
              <w:t xml:space="preserve">관세 면세한도·간접세율·플랫폼 정책은 분기 1회 이상, 진입 국가 추가 시 즉시 재검토하세요. 본 문서 수치는 작성 시점 일반값이며, 집행 전 전문가 최신 확인이 항상 우선합니다.</w:t>
            </w:r>
          </w:p>
        </w:tc>
      </w:tr>
    </w:tbl>
    <w:p>
      <w:pPr>
        <w:spacing w:before="300"/>
        <w:jc w:val="center"/>
      </w:pPr>
      <w:r>
        <w:rPr>
          <w:rFonts w:ascii="Malgun Gothic" w:cs="Malgun Gothic" w:eastAsia="Malgun Gothic" w:hAnsi="Malgun Gothic"/>
          <w:i/>
          <w:iCs/>
          <w:color w:val="6B7280"/>
          <w:sz w:val="18"/>
          <w:szCs w:val="18"/>
        </w:rPr>
        <w:t xml:space="preserve">— 본 문서 끝 · 교육용 참고 자료(법률·세무 자문 아님) —</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B7280"/>
        <w:sz w:val="16"/>
        <w:szCs w:val="16"/>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pPr>
    <w:r>
      <w:rPr>
        <w:rFonts w:ascii="Malgun Gothic" w:cs="Malgun Gothic" w:eastAsia="Malgun Gothic" w:hAnsi="Malgun Gothic"/>
        <w:color w:val="6B7280"/>
        <w:sz w:val="16"/>
        <w:szCs w:val="16"/>
      </w:rPr>
      <w:t xml:space="preserve">렉시스타일 · 세무·법무 가이드맵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color w:val="0F766E"/>
      <w:sz w:val="30"/>
      <w:szCs w:val="30"/>
    </w:rPr>
  </w:style>
  <w:style w:type="paragraph" w:styleId="Heading2">
    <w:name w:val="Heading 2"/>
    <w:basedOn w:val="Normal"/>
    <w:next w:val="Normal"/>
    <w:qFormat/>
    <w:pPr>
      <w:outlineLvl w:val="1"/>
    </w:pPr>
    <w:rPr>
      <w:rFonts w:ascii="Malgun Gothic" w:cs="Malgun Gothic" w:eastAsia="Malgun Gothic" w:hAnsi="Malgun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렉시스타일 세무·법무 가이드맵</dc:title>
  <dc:creator>LEXISTYLE</dc:creator>
  <cp:lastModifiedBy>Un-named</cp:lastModifiedBy>
  <cp:revision>1</cp:revision>
  <dcterms:created xsi:type="dcterms:W3CDTF">2026-07-22T10:23:18.584Z</dcterms:created>
  <dcterms:modified xsi:type="dcterms:W3CDTF">2026-07-22T10:23:18.584Z</dcterms:modified>
</cp:coreProperties>
</file>

<file path=docProps/custom.xml><?xml version="1.0" encoding="utf-8"?>
<Properties xmlns="http://schemas.openxmlformats.org/officeDocument/2006/custom-properties" xmlns:vt="http://schemas.openxmlformats.org/officeDocument/2006/docPropsVTypes"/>
</file>