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선불형 연합 상품권·PG·정산 법무 검토서</w:t>
      </w:r>
    </w:p>
    <w:p>
      <w:pPr>
        <w:pStyle w:val="Subtitle"/>
      </w:pPr>
      <w:r>
        <w:rPr>
          <w:rFonts w:ascii="Malgun Gothic" w:hAnsi="Malgun Gothic"/>
          <w:sz w:val="20"/>
        </w:rPr>
        <w:t>실결제 개통 전 필수 확인 · 내부 시연권은 실결제 금지</w:t>
      </w:r>
    </w:p>
    <w:p>
      <w:r>
        <w:rPr>
          <w:b/>
          <w:color w:val="895A19"/>
        </w:rPr>
        <w:t>문서 상태: 상용 도입 전 검토용 초안  |  작성일: 2026.10.29  |  승인/계약 효력: 없음</w:t>
      </w:r>
    </w:p>
    <w:p>
      <w:pPr>
        <w:pStyle w:val="Heading1"/>
        <w:spacing w:before="140" w:after="60"/>
      </w:pPr>
      <w:r>
        <w:t>운영 모델 확인</w:t>
      </w:r>
    </w:p>
    <w:p>
      <w:r>
        <w:t>발행 주체·자금 수취인·가맹점 수·유통 범위: ____________________</w:t>
      </w:r>
    </w:p>
    <w:p>
      <w:r>
        <w:t>충전금 규모 예측·연간 발행액·잔액·소비자 환불 구조: ____________________</w:t>
      </w:r>
    </w:p>
    <w:p>
      <w:r>
        <w:t>PG/정산대행사·사업자 간 계약 여부: □ 계약 전 □ 검토 중 □ 계약 완료</w:t>
      </w:r>
    </w:p>
    <w:p>
      <w:pPr>
        <w:pStyle w:val="Heading1"/>
        <w:spacing w:before="140" w:after="60"/>
      </w:pPr>
      <w:r>
        <w:t>금융 관련 핵심 판정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vAlign w:val="center"/>
          </w:tcPr>
          <w:p>
            <w:r>
              <w:t>검토 항목</w:t>
            </w:r>
          </w:p>
        </w:tc>
        <w:tc>
          <w:tcPr>
            <w:tcW w:type="dxa" w:w="4901"/>
            <w:vAlign w:val="center"/>
          </w:tcPr>
          <w:p>
            <w:r>
              <w:t>결과/증빙</w:t>
            </w:r>
          </w:p>
        </w:tc>
      </w:tr>
      <w:tr>
        <w:tc>
          <w:tcPr>
            <w:tcW w:type="dxa" w:w="4901"/>
            <w:vAlign w:val="center"/>
          </w:tcPr>
          <w:p>
            <w:r>
              <w:t>전자금융거래법상 선불업 해당·등록/면제 여부</w:t>
            </w:r>
          </w:p>
        </w:tc>
        <w:tc>
          <w:tcPr>
            <w:tcW w:type="dxa" w:w="4901"/>
            <w:vAlign w:val="center"/>
          </w:tcPr>
          <w:p>
            <w:r>
              <w:t>____________________</w:t>
            </w:r>
          </w:p>
        </w:tc>
      </w:tr>
      <w:tr>
        <w:tc>
          <w:tcPr>
            <w:tcW w:type="dxa" w:w="4901"/>
            <w:vAlign w:val="center"/>
          </w:tcPr>
          <w:p>
            <w:r>
              <w:t>충전금 예치·신탁·보증보험 등 보호 방안</w:t>
            </w:r>
          </w:p>
        </w:tc>
        <w:tc>
          <w:tcPr>
            <w:tcW w:type="dxa" w:w="4901"/>
            <w:vAlign w:val="center"/>
          </w:tcPr>
          <w:p>
            <w:r>
              <w:t>____________________</w:t>
            </w:r>
          </w:p>
        </w:tc>
      </w:tr>
      <w:tr>
        <w:tc>
          <w:tcPr>
            <w:tcW w:type="dxa" w:w="4901"/>
            <w:vAlign w:val="center"/>
          </w:tcPr>
          <w:p>
            <w:r>
              <w:t>미사용 잔액·부분 환불·약관</w:t>
            </w:r>
          </w:p>
        </w:tc>
        <w:tc>
          <w:tcPr>
            <w:tcW w:type="dxa" w:w="4901"/>
            <w:vAlign w:val="center"/>
          </w:tcPr>
          <w:p>
            <w:r>
              <w:t>____________________</w:t>
            </w:r>
          </w:p>
        </w:tc>
      </w:tr>
      <w:tr>
        <w:tc>
          <w:tcPr>
            <w:tcW w:type="dxa" w:w="4901"/>
            <w:vAlign w:val="center"/>
          </w:tcPr>
          <w:p>
            <w:r>
              <w:t>분쟁·도난·분실·부정 사용 처리</w:t>
            </w:r>
          </w:p>
        </w:tc>
        <w:tc>
          <w:tcPr>
            <w:tcW w:type="dxa" w:w="4901"/>
            <w:vAlign w:val="center"/>
          </w:tcPr>
          <w:p>
            <w:r>
              <w:t>____________________</w:t>
            </w:r>
          </w:p>
        </w:tc>
      </w:tr>
      <w:tr>
        <w:tc>
          <w:tcPr>
            <w:tcW w:type="dxa" w:w="4901"/>
            <w:vAlign w:val="center"/>
          </w:tcPr>
          <w:p>
            <w:r>
              <w:t>실제 결제 PG·웹훅·환불 연동</w:t>
            </w:r>
          </w:p>
        </w:tc>
        <w:tc>
          <w:tcPr>
            <w:tcW w:type="dxa" w:w="4901"/>
            <w:vAlign w:val="center"/>
          </w:tcPr>
          <w:p>
            <w:r>
              <w:t>____________________</w:t>
            </w:r>
          </w:p>
        </w:tc>
      </w:tr>
      <w:tr>
        <w:tc>
          <w:tcPr>
            <w:tcW w:type="dxa" w:w="4901"/>
            <w:vAlign w:val="center"/>
          </w:tcPr>
          <w:p>
            <w:r>
              <w:t>사고 시 피해보전·정산 재원</w:t>
            </w:r>
          </w:p>
        </w:tc>
        <w:tc>
          <w:tcPr>
            <w:tcW w:type="dxa" w:w="4901"/>
            <w:vAlign w:val="center"/>
          </w:tcPr>
          <w:p>
            <w:r>
              <w:t>____________________</w:t>
            </w:r>
          </w:p>
        </w:tc>
      </w:tr>
    </w:tbl>
    <w:p/>
    <w:p>
      <w:pPr>
        <w:pStyle w:val="Heading1"/>
        <w:spacing w:before="140" w:after="60"/>
      </w:pPr>
      <w:r>
        <w:t>정산 및 세무 계약</w:t>
      </w:r>
    </w:p>
    <w:p>
      <w:r>
        <w:t>수수료: ____% / 정산 주기: ____일 / 환불 비용 부담: __________</w:t>
      </w:r>
    </w:p>
    <w:p>
      <w:r>
        <w:t>수익 귀속·매출 인식·세금계산서·부가가치세 처리: ____________________</w:t>
      </w:r>
    </w:p>
    <w:p>
      <w:r>
        <w:t>거래 원장 대사, 잔액 보호 계정, 연체·차액 처리 담당자: ____________________</w:t>
      </w:r>
    </w:p>
    <w:p>
      <w:pPr>
        <w:pStyle w:val="Heading1"/>
        <w:spacing w:before="140" w:after="60"/>
      </w:pPr>
      <w:r>
        <w:t>승인 결정</w:t>
      </w:r>
    </w:p>
    <w:p>
      <w:r>
        <w:t>금융 법률 자문사/담당자: ____________________</w:t>
      </w:r>
    </w:p>
    <w:p>
      <w:r>
        <w:t>PG/정산 사업자 담당자: ____________________</w:t>
      </w:r>
    </w:p>
    <w:p>
      <w:r>
        <w:t>운영 승인: □ 보류  □ 추가 검토  □ 승인(별도 실서명 필요)</w:t>
      </w:r>
    </w:p>
    <w:p>
      <w:r>
        <w:t>**주의**: ERP 시연권 장부는 0원 실제 매출을 뜻하며, 내부 체크만으로 법적 승인으로 보지 않는다.</w:t>
      </w:r>
    </w:p>
    <w:p>
      <w:pPr>
        <w:pStyle w:val="Heading1"/>
        <w:spacing w:before="140" w:after="60"/>
      </w:pPr>
      <w:r>
        <w:t>법적 참고 자료</w:t>
      </w:r>
    </w:p>
    <w:p>
      <w:r>
        <w:t>금융위원회 「선불업 등록 처리 상황 및 소비자 유의사항」(2025.03.19): https://fsc.go.kr/po010106/84178</w:t>
      </w:r>
    </w:p>
    <w:p>
      <w:r>
        <w:t>법령 적용 여부·면제 기준 및 세무 처리 최종판정은 변호사·금융 전문가·관계기관 확인이 필요하다.</w:t>
      </w:r>
    </w:p>
    <w:sectPr w:rsidR="00FC693F" w:rsidRPr="0006063C" w:rsidSect="00034616">
      <w:pgSz w:w="12240" w:h="15840"/>
      <w:pgMar w:top="879" w:right="1219" w:bottom="794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/>
    </w:pPr>
    <w:rPr>
      <w:rFonts w:ascii="Malgun Gothic" w:hAnsi="Malgun Gothic"/>
      <w:color w:val="2C3F3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0B4E38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125B44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b/>
      <w:color w:val="0B4E3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