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ptos Display" w:hAnsi="Aptos Display"/>
          <w:b/>
          <w:color w:val="1D8791"/>
          <w:sz w:val="22"/>
        </w:rPr>
        <w:t>LESSON PLAN</w:t>
      </w:r>
    </w:p>
    <w:p>
      <w:pPr>
        <w:pStyle w:val="Title"/>
        <w:spacing w:after="60"/>
        <w:jc w:val="center"/>
      </w:pPr>
      <w:r>
        <w:t>Rancangan Pembelajaran Singkat</w:t>
      </w:r>
    </w:p>
    <w:p>
      <w:pPr>
        <w:spacing w:after="200"/>
        <w:jc w:val="center"/>
      </w:pPr>
      <w:r>
        <w:rPr>
          <w:b/>
          <w:color w:val="596579"/>
          <w:sz w:val="20"/>
        </w:rPr>
        <w:t>Ujian Akhir Semester | Pembelajaran Daring dan Bauran</w:t>
      </w:r>
    </w:p>
    <w:tbl>
      <w:tblPr>
        <w:tblW w:type="auto" w:w="0"/>
        <w:jc w:val="center"/>
        <w:tblLayout w:type="fixed"/>
        <w:tblLook w:firstColumn="1" w:firstRow="1" w:lastColumn="0" w:lastRow="0" w:noHBand="0" w:noVBand="1" w:val="04A0"/>
      </w:tblPr>
      <w:tblGrid>
        <w:gridCol w:w="2880"/>
      </w:tblGrid>
      <w:tr>
        <w:tc>
          <w:tcPr>
            <w:tcW w:type="dxa" w:w="2880"/>
            <w:shd w:fill="1D8791"/>
            <w:tcMar>
              <w:top w:w="14" w:type="dxa"/>
              <w:start w:w="0" w:type="dxa"/>
              <w:bottom w:w="14" w:type="dxa"/>
              <w:end w:w="0" w:type="dxa"/>
            </w:tcMar>
          </w:tcPr>
          <w:p>
            <w:r/>
          </w:p>
        </w:tc>
      </w:tr>
    </w:tbl>
    <w:p>
      <w:pPr>
        <w:pStyle w:val="Heading1"/>
        <w:keepNext/>
      </w:pPr>
      <w:r>
        <w:t>A. Identitas Pembelajaran</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5083"/>
        <w:gridCol w:w="5083"/>
      </w:tblGrid>
      <w:tr>
        <w:trPr>
          <w:cantSplit/>
        </w:trPr>
        <w:tc>
          <w:tcPr>
            <w:tcW w:type="dxa" w:w="2376"/>
            <w:vAlign w:val="center"/>
            <w:tcMar>
              <w:top w:w="75" w:type="dxa"/>
              <w:start w:w="90" w:type="dxa"/>
              <w:bottom w:w="75" w:type="dxa"/>
              <w:end w:w="90" w:type="dxa"/>
            </w:tcMar>
            <w:shd w:fill="F4F7FA"/>
          </w:tcPr>
          <w:p>
            <w:pPr>
              <w:spacing w:after="0" w:before="0" w:line="247" w:lineRule="auto"/>
            </w:pPr>
            <w:r>
              <w:rPr>
                <w:rFonts w:ascii="Aptos" w:hAnsi="Aptos"/>
                <w:sz w:val="17"/>
              </w:rPr>
            </w:r>
            <w:r>
              <w:rPr>
                <w:rFonts w:ascii="Aptos" w:hAnsi="Aptos" w:eastAsia="Aptos"/>
                <w:b/>
                <w:color w:val="17365D"/>
                <w:sz w:val="17"/>
              </w:rPr>
              <w:t>Mata pelajaran / konteks</w:t>
            </w:r>
          </w:p>
        </w:tc>
        <w:tc>
          <w:tcPr>
            <w:tcW w:type="dxa" w:w="7488"/>
            <w:vAlign w:val="center"/>
            <w:tcMar>
              <w:top w:w="75" w:type="dxa"/>
              <w:start w:w="90" w:type="dxa"/>
              <w:bottom w:w="75" w:type="dxa"/>
              <w:end w:w="90" w:type="dxa"/>
            </w:tcMar>
            <w:shd w:fill="F4F7FA"/>
          </w:tcPr>
          <w:p>
            <w:pPr>
              <w:spacing w:after="0" w:before="0" w:line="247" w:lineRule="auto"/>
            </w:pPr>
            <w:r>
              <w:rPr>
                <w:rFonts w:ascii="Aptos" w:hAnsi="Aptos"/>
                <w:sz w:val="17"/>
              </w:rPr>
            </w:r>
            <w:r>
              <w:rPr>
                <w:rFonts w:ascii="Aptos" w:hAnsi="Aptos" w:eastAsia="Aptos"/>
                <w:b w:val="0"/>
                <w:color w:val="243447"/>
                <w:sz w:val="17"/>
              </w:rPr>
              <w:t>Informatika (Fase E/Kelas X) dalam mata kuliah Pengajaran dan Pembelajaran Daring dan Bauran</w:t>
            </w:r>
          </w:p>
        </w:tc>
      </w:tr>
      <w:tr>
        <w:trPr>
          <w:cantSplit/>
        </w:trPr>
        <w:tc>
          <w:tcPr>
            <w:tcW w:type="dxa" w:w="2376"/>
            <w:vAlign w:val="center"/>
            <w:tcMar>
              <w:top w:w="75" w:type="dxa"/>
              <w:start w:w="90" w:type="dxa"/>
              <w:bottom w:w="75" w:type="dxa"/>
              <w:end w:w="90" w:type="dxa"/>
            </w:tcMar>
            <w:shd w:fill="EAF2F8"/>
          </w:tcPr>
          <w:p>
            <w:pPr>
              <w:spacing w:after="0" w:before="0" w:line="247" w:lineRule="auto"/>
            </w:pPr>
            <w:r>
              <w:rPr>
                <w:rFonts w:ascii="Aptos" w:hAnsi="Aptos"/>
                <w:sz w:val="17"/>
              </w:rPr>
            </w:r>
            <w:r>
              <w:rPr>
                <w:rFonts w:ascii="Aptos" w:hAnsi="Aptos" w:eastAsia="Aptos"/>
                <w:b/>
                <w:color w:val="17365D"/>
                <w:sz w:val="17"/>
              </w:rPr>
              <w:t>Topik / tema</w:t>
            </w:r>
          </w:p>
        </w:tc>
        <w:tc>
          <w:tcPr>
            <w:tcW w:type="dxa" w:w="7488"/>
            <w:vAlign w:val="center"/>
            <w:tcMar>
              <w:top w:w="75" w:type="dxa"/>
              <w:start w:w="90" w:type="dxa"/>
              <w:bottom w:w="75" w:type="dxa"/>
              <w:end w:w="90" w:type="dxa"/>
            </w:tcMar>
          </w:tcPr>
          <w:p>
            <w:pPr>
              <w:spacing w:after="0" w:before="0" w:line="247" w:lineRule="auto"/>
            </w:pPr>
            <w:r>
              <w:rPr>
                <w:rFonts w:ascii="Aptos" w:hAnsi="Aptos"/>
                <w:sz w:val="17"/>
              </w:rPr>
            </w:r>
            <w:r>
              <w:rPr>
                <w:rFonts w:ascii="Aptos" w:hAnsi="Aptos" w:eastAsia="Aptos"/>
                <w:b w:val="0"/>
                <w:color w:val="243447"/>
                <w:sz w:val="17"/>
              </w:rPr>
              <w:t>Penelusuran Informasi Digital: Membedah Penipuan Digital (Phishing) dan Deepfake</w:t>
            </w:r>
          </w:p>
        </w:tc>
      </w:tr>
      <w:tr>
        <w:trPr>
          <w:cantSplit/>
        </w:trPr>
        <w:tc>
          <w:tcPr>
            <w:tcW w:type="dxa" w:w="2376"/>
            <w:vAlign w:val="center"/>
            <w:tcMar>
              <w:top w:w="75" w:type="dxa"/>
              <w:start w:w="90" w:type="dxa"/>
              <w:bottom w:w="75" w:type="dxa"/>
              <w:end w:w="90" w:type="dxa"/>
            </w:tcMar>
            <w:shd w:fill="F4F7FA"/>
          </w:tcPr>
          <w:p>
            <w:pPr>
              <w:spacing w:after="0" w:before="0" w:line="247" w:lineRule="auto"/>
            </w:pPr>
            <w:r>
              <w:rPr>
                <w:rFonts w:ascii="Aptos" w:hAnsi="Aptos"/>
                <w:sz w:val="17"/>
              </w:rPr>
            </w:r>
            <w:r>
              <w:rPr>
                <w:rFonts w:ascii="Aptos" w:hAnsi="Aptos" w:eastAsia="Aptos"/>
                <w:b/>
                <w:color w:val="17365D"/>
                <w:sz w:val="17"/>
              </w:rPr>
              <w:t>Model pembelajaran</w:t>
            </w:r>
          </w:p>
        </w:tc>
        <w:tc>
          <w:tcPr>
            <w:tcW w:type="dxa" w:w="7488"/>
            <w:vAlign w:val="center"/>
            <w:tcMar>
              <w:top w:w="75" w:type="dxa"/>
              <w:start w:w="90" w:type="dxa"/>
              <w:bottom w:w="75" w:type="dxa"/>
              <w:end w:w="90" w:type="dxa"/>
            </w:tcMar>
            <w:shd w:fill="F4F7FA"/>
          </w:tcPr>
          <w:p>
            <w:pPr>
              <w:spacing w:after="0" w:before="0" w:line="247" w:lineRule="auto"/>
            </w:pPr>
            <w:r>
              <w:rPr>
                <w:rFonts w:ascii="Aptos" w:hAnsi="Aptos"/>
                <w:sz w:val="17"/>
              </w:rPr>
              <w:t>Inquiry-Based Learning (IBL) terintegrasi pembelajaran bauran: materi dan ulangan harian melalui Mediadidik, investigasi sinkronus didukung LKPD digital dan Padlet</w:t>
            </w:r>
            <w:r>
              <w:rPr>
                <w:rFonts w:ascii="Aptos" w:hAnsi="Aptos" w:eastAsia="Aptos"/>
                <w:b w:val="0"/>
                <w:color w:val="243447"/>
                <w:sz w:val="17"/>
              </w:rPr>
            </w:r>
          </w:p>
        </w:tc>
      </w:tr>
      <w:tr>
        <w:trPr>
          <w:cantSplit/>
        </w:trPr>
        <w:tc>
          <w:tcPr>
            <w:tcW w:type="dxa" w:w="2376"/>
            <w:vAlign w:val="center"/>
            <w:tcMar>
              <w:top w:w="75" w:type="dxa"/>
              <w:start w:w="90" w:type="dxa"/>
              <w:bottom w:w="75" w:type="dxa"/>
              <w:end w:w="90" w:type="dxa"/>
            </w:tcMar>
            <w:shd w:fill="EAF2F8"/>
          </w:tcPr>
          <w:p>
            <w:pPr>
              <w:spacing w:after="0" w:before="0" w:line="247" w:lineRule="auto"/>
            </w:pPr>
            <w:r>
              <w:rPr>
                <w:rFonts w:ascii="Aptos" w:hAnsi="Aptos"/>
                <w:sz w:val="17"/>
              </w:rPr>
            </w:r>
            <w:r>
              <w:rPr>
                <w:rFonts w:ascii="Aptos" w:hAnsi="Aptos" w:eastAsia="Aptos"/>
                <w:b/>
                <w:color w:val="17365D"/>
                <w:sz w:val="17"/>
              </w:rPr>
              <w:t>Alokasi waktu usulan</w:t>
            </w:r>
          </w:p>
        </w:tc>
        <w:tc>
          <w:tcPr>
            <w:tcW w:type="dxa" w:w="7488"/>
            <w:vAlign w:val="center"/>
            <w:tcMar>
              <w:top w:w="75" w:type="dxa"/>
              <w:start w:w="90" w:type="dxa"/>
              <w:bottom w:w="75" w:type="dxa"/>
              <w:end w:w="90" w:type="dxa"/>
            </w:tcMar>
          </w:tcPr>
          <w:p>
            <w:pPr>
              <w:spacing w:after="0" w:before="0" w:line="247" w:lineRule="auto"/>
            </w:pPr>
            <w:r>
              <w:rPr>
                <w:rFonts w:ascii="Aptos" w:hAnsi="Aptos"/>
                <w:sz w:val="17"/>
              </w:rPr>
            </w:r>
            <w:r>
              <w:rPr>
                <w:rFonts w:ascii="Aptos" w:hAnsi="Aptos" w:eastAsia="Aptos"/>
                <w:b w:val="0"/>
                <w:color w:val="243447"/>
                <w:sz w:val="17"/>
              </w:rPr>
              <w:t>Asinkronus sebelum kelas 15 menit + sinkronus 2 JP (90 menit) + tindak lanjut asinkronus 20 menit</w:t>
            </w:r>
          </w:p>
        </w:tc>
      </w:tr>
      <w:tr>
        <w:trPr>
          <w:cantSplit/>
        </w:trPr>
        <w:tc>
          <w:tcPr>
            <w:tcW w:type="dxa" w:w="2376"/>
            <w:vAlign w:val="center"/>
            <w:tcMar>
              <w:top w:w="75" w:type="dxa"/>
              <w:start w:w="90" w:type="dxa"/>
              <w:bottom w:w="75" w:type="dxa"/>
              <w:end w:w="90" w:type="dxa"/>
            </w:tcMar>
            <w:shd w:fill="F4F7FA"/>
          </w:tcPr>
          <w:p>
            <w:pPr>
              <w:spacing w:after="0" w:before="0" w:line="247" w:lineRule="auto"/>
            </w:pPr>
            <w:r>
              <w:rPr>
                <w:rFonts w:ascii="Aptos" w:hAnsi="Aptos"/>
                <w:sz w:val="17"/>
              </w:rPr>
            </w:r>
            <w:r>
              <w:rPr>
                <w:rFonts w:ascii="Aptos" w:hAnsi="Aptos" w:eastAsia="Aptos"/>
                <w:b/>
                <w:color w:val="17365D"/>
                <w:sz w:val="17"/>
              </w:rPr>
              <w:t>Kelompok / anggota</w:t>
            </w:r>
          </w:p>
        </w:tc>
        <w:tc>
          <w:tcPr>
            <w:tcW w:type="dxa" w:w="7488"/>
            <w:vAlign w:val="center"/>
            <w:tcMar>
              <w:top w:w="75" w:type="dxa"/>
              <w:start w:w="90" w:type="dxa"/>
              <w:bottom w:w="75" w:type="dxa"/>
              <w:end w:w="90" w:type="dxa"/>
            </w:tcMar>
            <w:shd w:fill="F4F7FA"/>
          </w:tcPr>
          <w:p>
            <w:pPr>
              <w:spacing w:after="0" w:before="0" w:line="247" w:lineRule="auto"/>
            </w:pPr>
            <w:r>
              <w:rPr>
                <w:rFonts w:ascii="Aptos" w:hAnsi="Aptos"/>
                <w:sz w:val="17"/>
              </w:rPr>
            </w:r>
            <w:r>
              <w:rPr>
                <w:rFonts w:ascii="Aptos" w:hAnsi="Aptos" w:eastAsia="Aptos"/>
                <w:b w:val="0"/>
                <w:color w:val="243447"/>
                <w:sz w:val="17"/>
              </w:rPr>
              <w:t>[Isi nama kelompok dan seluruh anggota]</w:t>
            </w:r>
          </w:p>
        </w:tc>
      </w:tr>
    </w:tbl>
    <w:p>
      <w:pPr>
        <w:pStyle w:val="Heading1"/>
        <w:keepNext/>
      </w:pPr>
      <w:r>
        <w:t>B. Tujuan Pembelajaran</w:t>
      </w:r>
    </w:p>
    <w:p>
      <w:pPr>
        <w:spacing w:before="0" w:after="40" w:line="259" w:lineRule="auto"/>
      </w:pPr>
      <w:r>
        <w:rPr>
          <w:rFonts w:ascii="Aptos" w:hAnsi="Aptos" w:eastAsia="Aptos"/>
          <w:b w:val="0"/>
          <w:i w:val="0"/>
          <w:color w:val="243447"/>
          <w:sz w:val="18"/>
        </w:rPr>
        <w:t>Setelah mengikuti rangkaian pembelajaran, peserta didik diharapkan mampu:</w:t>
      </w:r>
    </w:p>
    <w:p>
      <w:pPr>
        <w:pStyle w:val="ListBullet"/>
        <w:spacing w:after="40" w:line="250" w:lineRule="auto"/>
      </w:pPr>
      <w:r>
        <w:rPr>
          <w:rFonts w:ascii="Aptos" w:hAnsi="Aptos"/>
          <w:color w:val="243447"/>
          <w:sz w:val="18"/>
        </w:rPr>
        <w:t>Menganalisis sekurang-kurangnya tiga indikator yang mencurigakan pada pesan phishing dan/atau konten video yang diduga dimanipulasi, dengan merujuk pada bukti yang ditemukan.</w:t>
      </w:r>
    </w:p>
    <w:p>
      <w:pPr>
        <w:pStyle w:val="ListBullet"/>
        <w:spacing w:after="40" w:line="250" w:lineRule="auto"/>
      </w:pPr>
      <w:r>
        <w:rPr>
          <w:rFonts w:ascii="Aptos" w:hAnsi="Aptos"/>
          <w:color w:val="243447"/>
          <w:sz w:val="18"/>
        </w:rPr>
        <w:t>Mempraktikkan lateral reading dan penelusuran balik gambar pada cuplikan video (reverse image search jika tersedia) untuk memeriksa klaim melalui sekurang-kurangnya dua sumber pembanding yang relevan, lalu mencatat prosesnya dalam LKPD digital.</w:t>
      </w:r>
    </w:p>
    <w:p>
      <w:pPr>
        <w:pStyle w:val="ListBullet"/>
        <w:spacing w:after="40" w:line="250" w:lineRule="auto"/>
      </w:pPr>
      <w:r>
        <w:rPr>
          <w:rFonts w:ascii="Aptos" w:hAnsi="Aptos"/>
          <w:color w:val="243447"/>
          <w:sz w:val="18"/>
        </w:rPr>
        <w:t>Menyajikan kesimpulan berbasis bukti serta menentukan respons digital yang bertanggung jawab, misalnya tidak mengeklik tautan, tidak meneruskan informasi yang belum terverifikasi, dan melaporkan konten mencurigakan.</w:t>
      </w:r>
    </w:p>
    <w:p>
      <w:pPr>
        <w:pStyle w:val="Heading1"/>
        <w:keepNext/>
      </w:pPr>
      <w:r>
        <w:t>C. Kasus / Masalah Nyata</w:t>
      </w:r>
    </w:p>
    <w:p>
      <w:pPr>
        <w:spacing w:before="0" w:after="80" w:line="259" w:lineRule="auto"/>
      </w:pPr>
      <w:r>
        <w:rPr>
          <w:rFonts w:ascii="Aptos" w:hAnsi="Aptos" w:eastAsia="Aptos"/>
          <w:b w:val="0"/>
          <w:i w:val="0"/>
          <w:color w:val="243447"/>
          <w:sz w:val="18"/>
        </w:rPr>
        <w:t>Peserta didik kelas X dapat menjumpai pesan di grup percakapan atau media sosial yang menawarkan “Diamond Mobile Legends Gratis” atau hadiah turnamen melalui tautan tertentu. Pesan semacam itu berpotensi digunakan untuk mengarahkan pengguna ke halaman palsu yang meminta data akun. Pada saat yang sama, video yang telah diedit atau dihasilkan dengan teknologi manipulasi dapat beredar disertai narasi yang memancing emosi sehingga cepat dipercaya dan dibagikan.</w:t>
      </w:r>
    </w:p>
    <w:p>
      <w:pPr>
        <w:spacing w:before="0" w:after="100" w:line="259" w:lineRule="auto"/>
      </w:pPr>
      <w:r>
        <w:rPr>
          <w:rFonts w:ascii="Aptos" w:hAnsi="Aptos" w:eastAsia="Aptos"/>
          <w:b w:val="0"/>
          <w:i w:val="0"/>
          <w:color w:val="243447"/>
          <w:sz w:val="18"/>
        </w:rPr>
        <w:t>Dalam pembelajaran ini, kasus disajikan sebagai bahan investigasi yang disiapkan guru. Peserta didik diminta menilai: apakah klaim, tautan, dan video tersebut dapat dipercaya? Bukti apa yang mendukung kesimpulan mereka? Langkah apa yang sebaiknya dilakukan sebelum mengeklik atau membagikannya?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c>
          <w:tcPr>
            <w:tcW w:type="dxa" w:w="10008"/>
            <w:shd w:fill="E8F5F4"/>
            <w:tcMar>
              <w:top w:w="110" w:type="dxa"/>
              <w:start w:w="140" w:type="dxa"/>
              <w:bottom w:w="110" w:type="dxa"/>
              <w:end w:w="140" w:type="dxa"/>
            </w:tcMar>
          </w:tcPr>
          <w:p>
            <w:pPr>
              <w:spacing w:after="40"/>
            </w:pPr>
            <w:r>
              <w:rPr>
                <w:b/>
                <w:color w:val="17365D"/>
                <w:sz w:val="18"/>
              </w:rPr>
              <w:t>Justifikasi pemilihan model dan desain bauran</w:t>
            </w:r>
          </w:p>
          <w:p>
            <w:pPr>
              <w:spacing w:after="0" w:line="252" w:lineRule="auto"/>
            </w:pPr>
            <w:r>
              <w:rPr>
                <w:color w:val="243447"/>
                <w:sz w:val="17"/>
              </w:rPr>
              <w:t>IBL sesuai karena peserta didik menyusun pertanyaan, menyelidiki bukti, lalu menyimpulkan temuan, sejalan dengan siklus inquiry (Pedaste et al., 2015). Lateral reading mendorong pemeriksaan sumber pembanding (Wineburg &amp; McGrew, 2019). Mediadidik digunakan untuk materi awal dan ulangan harian, sedangkan LKPD digital dan Padlet mendukung investigasi dalam pembelajaran bauran (Garrison &amp; Kanuka, 2004).</w:t>
            </w:r>
          </w:p>
        </w:tc>
      </w:tr>
    </w:tbl>
    <w:p>
      <w:r>
        <w:br w:type="page"/>
      </w:r>
    </w:p>
    <w:p>
      <w:pPr>
        <w:pStyle w:val="Heading1"/>
        <w:keepNext/>
      </w:pPr>
      <w:r>
        <w:t>D. Langkah-Langkah Pembelajaran</w:t>
      </w:r>
    </w:p>
    <w:p>
      <w:pPr>
        <w:pStyle w:val="Heading2"/>
        <w:keepNext/>
      </w:pPr>
      <w:r>
        <w:t>1. Kegiatan asinkronus sebelum pertemuan (15 menit)</w:t>
      </w:r>
    </w:p>
    <w:p>
      <w:pPr>
        <w:pStyle w:val="ListBullet"/>
        <w:spacing w:after="40" w:line="250" w:lineRule="auto"/>
      </w:pPr>
      <w:r>
        <w:rPr>
          <w:rFonts w:ascii="Aptos" w:hAnsi="Aptos"/>
          <w:color w:val="243447"/>
          <w:sz w:val="18"/>
        </w:rPr>
        <w:t>Guru menugaskan peserta didik mempelajari materi pengantar tentang phishing, deepfake, lateral reading, dan keamanan digital yang tersedia di Mediadidik sebagai LMS sekolah. Paket kasus simulasi dan petunjuk LKPD dibagikan melalui media atau tautan pendukung yang mudah diakses melalui gawai.</w:t>
      </w:r>
    </w:p>
    <w:p>
      <w:pPr>
        <w:pStyle w:val="ListBullet"/>
        <w:spacing w:after="40" w:line="250" w:lineRule="auto"/>
      </w:pPr>
      <w:r>
        <w:rPr>
          <w:rFonts w:ascii="Aptos" w:hAnsi="Aptos"/>
          <w:color w:val="243447"/>
          <w:sz w:val="18"/>
        </w:rPr>
        <w:t>Peserta didik mempelajari materi di Mediadidik, lalu mengisi pertanyaan awal singkat: “Apa yang membuat pesan ini mencurigakan?” dan “Informasi apa yang perlu diperiksa sebelum mempercayainya?”</w:t>
      </w:r>
    </w:p>
    <w:p>
      <w:pPr>
        <w:pStyle w:val="ListBullet"/>
        <w:spacing w:after="40" w:line="250" w:lineRule="auto"/>
      </w:pPr>
      <w:r>
        <w:rPr>
          <w:rFonts w:ascii="Aptos" w:hAnsi="Aptos"/>
          <w:color w:val="243447"/>
          <w:sz w:val="18"/>
        </w:rPr>
        <w:t>Guru memeriksa respons awal untuk mengetahui dugaan awal peserta didik dan menyiapkan dukungan bagi peserta didik yang membutuhkan versi materi berukuran kecil atau berkas yang dapat diunduh.</w:t>
      </w:r>
    </w:p>
    <w:p>
      <w:pPr>
        <w:pStyle w:val="Heading2"/>
        <w:keepNext/>
      </w:pPr>
      <w:r>
        <w:t>2. Kegiatan sinkronus (90 menit)</w:t>
      </w:r>
    </w:p>
    <w:p>
      <w:pPr>
        <w:spacing w:before="0" w:after="100" w:line="259" w:lineRule="auto"/>
      </w:pPr>
      <w:r>
        <w:rPr>
          <w:rFonts w:ascii="Aptos" w:hAnsi="Aptos" w:eastAsia="Aptos"/>
          <w:b w:val="0"/>
          <w:i/>
          <w:color w:val="596579"/>
          <w:sz w:val="17"/>
        </w:rPr>
        <w:t>Pelaksanaan dapat dilakukan secara tatap muka atau konferensi video. Mediadidik menjadi rujukan materi pembelajaran dan digunakan untuk ulangan harian, sedangkan LKPD digital dan Padlet mendukung pencatatan serta berbagi hasil investigasi.</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3389"/>
        <w:gridCol w:w="3389"/>
        <w:gridCol w:w="3389"/>
      </w:tblGrid>
      <w:tr>
        <w:trPr>
          <w:cantSplit/>
          <w:tblHeader w:val="true"/>
        </w:trPr>
        <w:tc>
          <w:tcPr>
            <w:tcW w:type="dxa" w:w="1843"/>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Tahap / waktu</w:t>
            </w:r>
          </w:p>
        </w:tc>
        <w:tc>
          <w:tcPr>
            <w:tcW w:type="dxa" w:w="5760"/>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Aktivitas guru dan peserta didik</w:t>
            </w:r>
          </w:p>
        </w:tc>
        <w:tc>
          <w:tcPr>
            <w:tcW w:type="dxa" w:w="2045"/>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Bukti / keluaran</w:t>
            </w:r>
          </w:p>
        </w:tc>
      </w:tr>
      <w:tr>
        <w:trPr>
          <w:cantSplit/>
        </w:trPr>
        <w:tc>
          <w:tcPr>
            <w:tcW w:type="dxa" w:w="1843"/>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color w:val="17365D"/>
                <w:sz w:val="16"/>
              </w:rPr>
              <w:t>1. Orientasi dan pemantik</w:t>
              <w:br/>
              <w:t>10 menit</w:t>
            </w:r>
          </w:p>
        </w:tc>
        <w:tc>
          <w:tcPr>
            <w:tcW w:type="dxa" w:w="5760"/>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Guru menampilkan tangkapan layar pesan promosi “Diamond Gratis” dan cuplikan video simulasi/manipulasi. Guru mengajukan pertanyaan pemantik tentang alasan sebuah pesan atau video dapat dipercaya. Peserta didik mengamati tanpa membuka tautan aktif.</w:t>
            </w:r>
          </w:p>
        </w:tc>
        <w:tc>
          <w:tcPr>
            <w:tcW w:type="dxa" w:w="2045"/>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Respons awal dan daftar ciri yang dicurigai.</w:t>
            </w:r>
          </w:p>
        </w:tc>
      </w:tr>
      <w:tr>
        <w:trPr>
          <w:cantSplit/>
        </w:trPr>
        <w:tc>
          <w:tcPr>
            <w:tcW w:type="dxa" w:w="1843"/>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color w:val="17365D"/>
                <w:sz w:val="16"/>
              </w:rPr>
              <w:t>2. Merumuskan masalah dan dugaan</w:t>
              <w:br/>
              <w:t>10 menit</w:t>
            </w:r>
          </w:p>
        </w:tc>
        <w:tc>
          <w:tcPr>
            <w:tcW w:type="dxa" w:w="5760"/>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Peserta didik mengirim pertanyaan atau dugaan melalui kanal respons anonim yang disiapkan guru. Guru mengelompokkan pertanyaan, misalnya keaslian pengirim, domain tautan, sumber video, konteks, dan bukti pembanding. Tiap kelompok menuliskan dugaan sementara.</w:t>
            </w:r>
          </w:p>
        </w:tc>
        <w:tc>
          <w:tcPr>
            <w:tcW w:type="dxa" w:w="2045"/>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Pertanyaan investigasi dan dugaan awal yang dapat diuji.</w:t>
            </w:r>
          </w:p>
        </w:tc>
      </w:tr>
      <w:tr>
        <w:trPr>
          <w:cantSplit/>
        </w:trPr>
        <w:tc>
          <w:tcPr>
            <w:tcW w:type="dxa" w:w="1843"/>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color w:val="17365D"/>
                <w:sz w:val="16"/>
              </w:rPr>
              <w:t>3. Merancang penyelidikan</w:t>
              <w:br/>
              <w:t>10 menit</w:t>
            </w:r>
          </w:p>
        </w:tc>
        <w:tc>
          <w:tcPr>
            <w:tcW w:type="dxa" w:w="5760"/>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Guru membentuk kelompok dan menjelaskan kriteria bukti yang dapat diterima. Anggota membagi peran: koordinator, penelusur sumber, pemeriksa gambar/video, dan pencatat/pelapor. Kelompok menentukan kata kunci pencarian dan sumber pembanding yang akan diperiksa.</w:t>
            </w:r>
          </w:p>
        </w:tc>
        <w:tc>
          <w:tcPr>
            <w:tcW w:type="dxa" w:w="2045"/>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Rencana singkat investigasi dan pembagian peran.</w:t>
            </w:r>
          </w:p>
        </w:tc>
      </w:tr>
      <w:tr>
        <w:trPr>
          <w:cantSplit/>
        </w:trPr>
        <w:tc>
          <w:tcPr>
            <w:tcW w:type="dxa" w:w="1843"/>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color w:val="17365D"/>
                <w:sz w:val="16"/>
              </w:rPr>
              <w:t>4. Melakukan investigasi</w:t>
              <w:br/>
              <w:t>25 menit</w:t>
            </w:r>
          </w:p>
        </w:tc>
        <w:tc>
          <w:tcPr>
            <w:tcW w:type="dxa" w:w="5760"/>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Guru mencontohkan lateral reading: memeriksa klaim di tab/sumber lain, mencari sumber resmi, dan membandingkan laporan dari sumber tepercaya. Kelompok memeriksa domain dan pola pesan tanpa mengeklik tautan mencurigakan, serta menelusuri balik gambar/cuplikan video bila alat tersedia. Semua bukti, sumber, dan alasan dicatat dalam LKPD digital.</w:t>
            </w:r>
          </w:p>
        </w:tc>
        <w:tc>
          <w:tcPr>
            <w:tcW w:type="dxa" w:w="2045"/>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LKPD berisi klaim, sumber pembanding, tangkapan layar aman, temuan, dan alasan.</w:t>
            </w:r>
          </w:p>
        </w:tc>
      </w:tr>
    </w:tbl>
    <w:p>
      <w:r>
        <w:br w:type="page"/>
      </w:r>
    </w:p>
    <w:p>
      <w:pPr>
        <w:pStyle w:val="Heading1"/>
        <w:keepNext/>
      </w:pPr>
      <w:r>
        <w:t>D. Langkah-Langkah Pembelajaran (lanjutan)</w:t>
      </w:r>
    </w:p>
    <w:p>
      <w:pPr>
        <w:pStyle w:val="Heading2"/>
        <w:keepNext/>
      </w:pPr>
      <w:r>
        <w:t>Kegiatan sinkronus (lanjutan)</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3389"/>
        <w:gridCol w:w="3389"/>
        <w:gridCol w:w="3389"/>
      </w:tblGrid>
      <w:tr>
        <w:trPr>
          <w:cantSplit/>
          <w:tblHeader w:val="true"/>
        </w:trPr>
        <w:tc>
          <w:tcPr>
            <w:tcW w:type="dxa" w:w="1843"/>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Tahap / waktu</w:t>
            </w:r>
          </w:p>
        </w:tc>
        <w:tc>
          <w:tcPr>
            <w:tcW w:type="dxa" w:w="5760"/>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Aktivitas guru dan peserta didik</w:t>
            </w:r>
          </w:p>
        </w:tc>
        <w:tc>
          <w:tcPr>
            <w:tcW w:type="dxa" w:w="2045"/>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Bukti / keluaran</w:t>
            </w:r>
          </w:p>
        </w:tc>
      </w:tr>
      <w:tr>
        <w:trPr>
          <w:cantSplit/>
        </w:trPr>
        <w:tc>
          <w:tcPr>
            <w:tcW w:type="dxa" w:w="1843"/>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color w:val="17365D"/>
                <w:sz w:val="16"/>
              </w:rPr>
              <w:t>5. Menganalisis bukti dan menyusun kesimpulan</w:t>
              <w:br/>
              <w:t>15 menit</w:t>
            </w:r>
          </w:p>
        </w:tc>
        <w:tc>
          <w:tcPr>
            <w:tcW w:type="dxa" w:w="5760"/>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Kelompok membandingkan dugaan awal dengan bukti yang ditemukan. Mereka menilai siapa penerbit sumber, apakah sumber independen mendukung klaim, kapan konten muncul, dan apakah gambar/video sesuai dengan konteks aslinya. Kesimpulan tidak harus dipaksakan menjadi “benar” atau “hoaks”; kategori “belum cukup bukti” dapat digunakan jika informasi belum memadai.</w:t>
            </w:r>
          </w:p>
        </w:tc>
        <w:tc>
          <w:tcPr>
            <w:tcW w:type="dxa" w:w="2045"/>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Kesimpulan berbasis bukti dengan status: terverifikasi, tidak benar/terindikasi penipuan atau manipulasi, atau belum cukup bukti.</w:t>
            </w:r>
          </w:p>
        </w:tc>
      </w:tr>
      <w:tr>
        <w:trPr>
          <w:cantSplit/>
        </w:trPr>
        <w:tc>
          <w:tcPr>
            <w:tcW w:type="dxa" w:w="1843"/>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color w:val="17365D"/>
                <w:sz w:val="16"/>
              </w:rPr>
              <w:t>6. Berbagi temuan dan umpan balik</w:t>
              <w:br/>
              <w:t>10 menit</w:t>
            </w:r>
          </w:p>
        </w:tc>
        <w:tc>
          <w:tcPr>
            <w:tcW w:type="dxa" w:w="5760"/>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Setiap kelompok mengunggah ringkasan hasil ke Padlet sebagai mading digital: klaim yang diuji, bukti utama, sumber pembanding, dan kesimpulan. Kelompok lain memberi satu komentar yang berfokus pada bukti atau pertanyaan klarifikasi. Guru meluruskan miskonsepsi dan memberi umpan balik.</w:t>
            </w:r>
          </w:p>
        </w:tc>
        <w:tc>
          <w:tcPr>
            <w:tcW w:type="dxa" w:w="2045"/>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Papan Padlet kolaboratif dan komentar antarkelompok.</w:t>
            </w:r>
          </w:p>
        </w:tc>
      </w:tr>
      <w:tr>
        <w:trPr>
          <w:cantSplit/>
        </w:trPr>
        <w:tc>
          <w:tcPr>
            <w:tcW w:type="dxa" w:w="1843"/>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color w:val="17365D"/>
                <w:sz w:val="16"/>
              </w:rPr>
              <w:t>7. Refleksi dan penutup</w:t>
              <w:br/>
              <w:t>10 menit</w:t>
            </w:r>
          </w:p>
        </w:tc>
        <w:tc>
          <w:tcPr>
            <w:tcW w:type="dxa" w:w="5760"/>
            <w:vAlign w:val="center"/>
            <w:tcMar>
              <w:top w:w="75" w:type="dxa"/>
              <w:start w:w="90" w:type="dxa"/>
              <w:bottom w:w="75" w:type="dxa"/>
              <w:end w:w="90" w:type="dxa"/>
            </w:tcMar>
          </w:tcPr>
          <w:p>
            <w:pPr>
              <w:spacing w:after="0" w:before="0" w:line="247" w:lineRule="auto"/>
            </w:pPr>
            <w:r>
              <w:rPr>
                <w:rFonts w:ascii="Aptos" w:hAnsi="Aptos"/>
                <w:sz w:val="16"/>
              </w:rPr>
              <w:t>Guru dan peserta didik merangkum proses verifikasi. Setiap peserta didik mengisi tiket keluar: satu hal yang dipelajari, satu tindakan aman saat menemukan konten mencurigakan, dan satu pertanyaan lanjutan. Ulangan harian dikerjakan melalui Mediadidik; tindak lanjut disampaikan melalui kanal yang tersedia.</w:t>
            </w:r>
            <w:r>
              <w:rPr>
                <w:rFonts w:ascii="Aptos" w:hAnsi="Aptos" w:eastAsia="Aptos"/>
                <w:b w:val="0"/>
                <w:color w:val="243447"/>
                <w:sz w:val="16"/>
              </w:rPr>
            </w:r>
          </w:p>
        </w:tc>
        <w:tc>
          <w:tcPr>
            <w:tcW w:type="dxa" w:w="2045"/>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Tiket keluar individu dan rangkuman prinsip “Saring sebelum Sharing”.</w:t>
            </w:r>
          </w:p>
        </w:tc>
      </w:tr>
    </w:tbl>
    <w:p>
      <w:pPr>
        <w:pStyle w:val="Heading2"/>
        <w:keepNext/>
      </w:pPr>
      <w:r>
        <w:t>3. Kegiatan asinkronus setelah pertemuan (20 menit)</w:t>
      </w:r>
    </w:p>
    <w:p>
      <w:pPr>
        <w:pStyle w:val="ListBullet"/>
        <w:spacing w:after="40" w:line="250" w:lineRule="auto"/>
      </w:pPr>
      <w:r>
        <w:rPr>
          <w:rFonts w:ascii="Aptos" w:hAnsi="Aptos"/>
          <w:color w:val="243447"/>
          <w:sz w:val="18"/>
        </w:rPr>
        <w:t>Peserta didik menyempurnakan LKPD digital melalui tautan atau berkas yang disediakan guru, lalu membagikan ringkasan hasil investigasi di Padlet. Setiap kesimpulan harus disertai bukti dan sumber pembanding yang relevan.</w:t>
      </w:r>
    </w:p>
    <w:p>
      <w:pPr>
        <w:pStyle w:val="ListBullet"/>
        <w:spacing w:after="40" w:line="250" w:lineRule="auto"/>
      </w:pPr>
      <w:r>
        <w:rPr>
          <w:rFonts w:ascii="Aptos" w:hAnsi="Aptos"/>
          <w:color w:val="243447"/>
          <w:sz w:val="18"/>
        </w:rPr>
        <w:t>Peserta didik mengerjakan ulangan harian melalui Mediadidik untuk menunjukkan pemahaman individu, kemudian mengisi tiket refleksi singkat yang disediakan guru.</w:t>
      </w:r>
    </w:p>
    <w:p>
      <w:pPr>
        <w:pStyle w:val="ListBullet"/>
        <w:spacing w:after="40" w:line="250" w:lineRule="auto"/>
      </w:pPr>
      <w:r>
        <w:rPr>
          <w:rFonts w:ascii="Aptos" w:hAnsi="Aptos"/>
          <w:color w:val="243447"/>
          <w:sz w:val="18"/>
        </w:rPr>
        <w:t>Guru meninjau LKPD, Padlet, dan hasil ulangan harian di Mediadidik untuk menentukan tindak lanjut serta meminta perbaikan jika bukti belum memadai.</w:t>
      </w:r>
    </w:p>
    <w:p>
      <w:pPr>
        <w:pStyle w:val="Heading2"/>
        <w:keepNext/>
      </w:pPr>
      <w:r>
        <w:t>Integrasi Mediadidik dan pengelolaan aktivitas</w:t>
      </w:r>
    </w:p>
    <w:p>
      <w:pPr>
        <w:pStyle w:val="ListBullet"/>
        <w:spacing w:after="40" w:line="250" w:lineRule="auto"/>
      </w:pPr>
      <w:r>
        <w:rPr>
          <w:rFonts w:ascii="Aptos" w:hAnsi="Aptos"/>
          <w:color w:val="243447"/>
          <w:sz w:val="18"/>
        </w:rPr>
        <w:t>Mediadidik (LMS sekolah): untuk mengakses materi pengantar dan mengerjakan ulangan harian. LKPD digital, kanal anonim, dan Padlet mendukung investigasi.</w:t>
      </w:r>
    </w:p>
    <w:p>
      <w:pPr>
        <w:pStyle w:val="ListBullet"/>
        <w:spacing w:after="40" w:line="250" w:lineRule="auto"/>
      </w:pPr>
      <w:r>
        <w:rPr>
          <w:rFonts w:ascii="Aptos" w:hAnsi="Aptos"/>
          <w:color w:val="243447"/>
          <w:sz w:val="18"/>
        </w:rPr>
        <w:t>Pemantauan proses: guru meninjau respons awal, LKPD, Padlet, tiket keluar, dan hasil ulangan harian di Mediadidik untuk mengenali kebutuhan bantuan.</w:t>
      </w:r>
    </w:p>
    <w:p>
      <w:pPr>
        <w:pStyle w:val="ListBullet"/>
        <w:spacing w:after="40" w:line="250" w:lineRule="auto"/>
      </w:pPr>
      <w:r>
        <w:rPr>
          <w:rFonts w:ascii="Aptos" w:hAnsi="Aptos"/>
          <w:color w:val="243447"/>
          <w:sz w:val="18"/>
        </w:rPr>
        <w:t>Umpan balik dan tindak lanjut: guru mengarahkan perbaikan LKPD melalui kanal yang tersedia dan memakai hasil ulangan harian Mediadidik untuk tindak lanjut.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c>
          <w:tcPr>
            <w:tcW w:type="dxa" w:w="10008"/>
            <w:shd w:fill="FFF4E5"/>
            <w:tcMar>
              <w:top w:w="110" w:type="dxa"/>
              <w:start w:w="140" w:type="dxa"/>
              <w:bottom w:w="110" w:type="dxa"/>
              <w:end w:w="140" w:type="dxa"/>
            </w:tcMar>
          </w:tcPr>
          <w:p>
            <w:pPr>
              <w:spacing w:after="40"/>
            </w:pPr>
            <w:r>
              <w:rPr>
                <w:b/>
                <w:color w:val="17365D"/>
                <w:sz w:val="18"/>
              </w:rPr>
              <w:t>Pengamanan dan aksesibilitas</w:t>
            </w:r>
          </w:p>
          <w:p>
            <w:pPr>
              <w:spacing w:after="0" w:line="252" w:lineRule="auto"/>
            </w:pPr>
            <w:r>
              <w:rPr>
                <w:color w:val="243447"/>
                <w:sz w:val="17"/>
              </w:rPr>
              <w:t>Gunakan tautan simulasi yang tidak aktif atau tangkapan layar yang sudah disamarkan; peserta didik tidak diminta mengeklik tautan mencurigakan, memasukkan kata sandi/OTP, atau membagikan data pribadi. Respons anonim tidak boleh memaksa peserta didik mengungkap pengalaman pribadi. Guru memoderasi diskusi dan menyediakan berkas ringan/alternatif luring jika koneksi terbatas.</w:t>
            </w:r>
          </w:p>
        </w:tc>
      </w:tr>
    </w:tbl>
    <w:p>
      <w:r/>
    </w:p>
    <w:p>
      <w:pPr>
        <w:pStyle w:val="Heading1"/>
        <w:keepNext/>
      </w:pPr>
      <w:r>
        <w:t>E. Media dan Sumber Belajar</w:t>
      </w:r>
    </w:p>
    <w:p>
      <w:pPr>
        <w:pStyle w:val="Heading2"/>
        <w:keepNext/>
      </w:pPr>
      <w:r>
        <w:t>Media yang digunakan</w:t>
      </w:r>
    </w:p>
    <w:p>
      <w:pPr>
        <w:pStyle w:val="ListBullet"/>
        <w:spacing w:after="40" w:line="250" w:lineRule="auto"/>
      </w:pPr>
      <w:r>
        <w:rPr>
          <w:rFonts w:ascii="Aptos" w:hAnsi="Aptos"/>
          <w:color w:val="243447"/>
          <w:sz w:val="18"/>
        </w:rPr>
        <w:t>Mediadidik (LMS sekolah) untuk mengakses materi pembelajaran dan melaksanakan ulangan harian. LKPD digital, kanal respons anonim, dan Padlet digunakan sebagai media pendukung sesuai fungsinya masing-masing.</w:t>
      </w:r>
    </w:p>
    <w:p>
      <w:pPr>
        <w:pStyle w:val="ListBullet"/>
        <w:spacing w:after="40" w:line="250" w:lineRule="auto"/>
      </w:pPr>
      <w:r>
        <w:rPr>
          <w:rFonts w:ascii="Aptos" w:hAnsi="Aptos"/>
          <w:color w:val="243447"/>
          <w:sz w:val="18"/>
        </w:rPr>
        <w:t>Kanal respons anonim yang disiapkan guru untuk merumuskan pertanyaan awal dengan nyaman; alternatif sederhana berupa formulir anonim dengan pengumpulan alamat surel dinonaktifkan.</w:t>
      </w:r>
    </w:p>
    <w:p>
      <w:pPr>
        <w:pStyle w:val="ListBullet"/>
        <w:spacing w:after="40" w:line="250" w:lineRule="auto"/>
      </w:pPr>
      <w:r>
        <w:rPr>
          <w:rFonts w:ascii="Aptos" w:hAnsi="Aptos"/>
          <w:color w:val="243447"/>
          <w:sz w:val="18"/>
        </w:rPr>
        <w:t>LKPD digital interaktif sebagai panduan pencatatan klaim, pertanyaan, sumber pembanding, bukti, dan kesimpulan.</w:t>
      </w:r>
    </w:p>
    <w:p>
      <w:pPr>
        <w:pStyle w:val="ListBullet"/>
        <w:spacing w:after="40" w:line="250" w:lineRule="auto"/>
      </w:pPr>
      <w:r>
        <w:rPr>
          <w:rFonts w:ascii="Aptos" w:hAnsi="Aptos"/>
          <w:color w:val="243447"/>
          <w:sz w:val="18"/>
        </w:rPr>
        <w:t>Padlet atau papan kolaborasi sejenis untuk berbagi temuan dan memberi umpan balik antarkelompok.</w:t>
      </w:r>
    </w:p>
    <w:p>
      <w:pPr>
        <w:pStyle w:val="ListBullet"/>
        <w:spacing w:after="40" w:line="250" w:lineRule="auto"/>
      </w:pPr>
      <w:r>
        <w:rPr>
          <w:rFonts w:ascii="Aptos" w:hAnsi="Aptos"/>
          <w:color w:val="243447"/>
          <w:sz w:val="18"/>
        </w:rPr>
        <w:t>Komputer/gawai, proyektor atau berbagi layar, peramban web, mesin pencari, dan fitur penelusuran balik gambar untuk memeriksa cuplikan video jika tersedia.</w:t>
      </w:r>
    </w:p>
    <w:p>
      <w:pPr>
        <w:pStyle w:val="Heading2"/>
        <w:keepNext/>
      </w:pPr>
      <w:r>
        <w:t>Sumber belajar</w:t>
      </w:r>
    </w:p>
    <w:p>
      <w:pPr>
        <w:pStyle w:val="ListBullet"/>
        <w:spacing w:after="40" w:line="250" w:lineRule="auto"/>
      </w:pPr>
      <w:r>
        <w:rPr>
          <w:rFonts w:ascii="Aptos" w:hAnsi="Aptos"/>
          <w:color w:val="243447"/>
          <w:sz w:val="18"/>
        </w:rPr>
        <w:t>Paket kasus simulasi yang disiapkan guru: pesan promosi mencurigakan dan cuplikan video yang konteks/keasliannya perlu diperiksa.</w:t>
      </w:r>
    </w:p>
    <w:p>
      <w:pPr>
        <w:pStyle w:val="ListBullet"/>
        <w:spacing w:after="40" w:line="250" w:lineRule="auto"/>
      </w:pPr>
      <w:r>
        <w:rPr>
          <w:rFonts w:ascii="Aptos" w:hAnsi="Aptos"/>
          <w:color w:val="243447"/>
          <w:sz w:val="18"/>
        </w:rPr>
        <w:t>Sumber resmi terkait klaim yang diuji, misalnya kanal resmi penerbit/perusahaan atau organisasi terkait, serta situs pemeriksa fakta independen seperti CekFakta dan TurnBackHoax.</w:t>
      </w:r>
    </w:p>
    <w:p>
      <w:pPr>
        <w:pStyle w:val="ListBullet"/>
        <w:spacing w:after="40" w:line="250" w:lineRule="auto"/>
      </w:pPr>
      <w:r>
        <w:rPr>
          <w:rFonts w:ascii="Aptos" w:hAnsi="Aptos"/>
          <w:color w:val="243447"/>
          <w:sz w:val="18"/>
        </w:rPr>
        <w:t>Buku Teks Informatika Kelas X Kurikulum Merdeka serta materi pengantar literasi digital yang dipelajari melalui Mediadidik.</w:t>
      </w:r>
    </w:p>
    <w:p>
      <w:pPr>
        <w:pStyle w:val="Heading1"/>
        <w:keepNext/>
      </w:pPr>
      <w:r>
        <w:t>F. Penilaian</w:t>
      </w:r>
    </w:p>
    <w:p>
      <w:pPr>
        <w:spacing w:before="0" w:after="80" w:line="259" w:lineRule="auto"/>
      </w:pPr>
      <w:r>
        <w:t>Penilaian pada bagian ini digunakan untuk mengukur ketercapaian tujuan belajar peserta didik melalui pemantauan proses, produk kelompok, dan pemahaman individu. Guru menilai kualitas proses verifikasi serta kekuatan bukti, bukan hanya apakah dugaan awal peserta didik kebetulan benar.</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3389"/>
        <w:gridCol w:w="3389"/>
        <w:gridCol w:w="3389"/>
      </w:tblGrid>
      <w:tr>
        <w:trPr>
          <w:cantSplit/>
          <w:tblHeader w:val="true"/>
        </w:trPr>
        <w:tc>
          <w:tcPr>
            <w:tcW w:type="dxa" w:w="2045"/>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Teknik</w:t>
            </w:r>
          </w:p>
        </w:tc>
        <w:tc>
          <w:tcPr>
            <w:tcW w:type="dxa" w:w="3096"/>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Instrumen / artefak</w:t>
            </w:r>
          </w:p>
        </w:tc>
        <w:tc>
          <w:tcPr>
            <w:tcW w:type="dxa" w:w="4507"/>
            <w:vAlign w:val="center"/>
            <w:tcMar>
              <w:top w:w="75" w:type="dxa"/>
              <w:start w:w="90" w:type="dxa"/>
              <w:bottom w:w="75" w:type="dxa"/>
              <w:end w:w="90" w:type="dxa"/>
            </w:tcMar>
            <w:shd w:fill="17365D"/>
          </w:tcPr>
          <w:p>
            <w:pPr>
              <w:spacing w:after="0" w:before="0" w:line="247" w:lineRule="auto"/>
            </w:pPr>
            <w:r>
              <w:rPr>
                <w:rFonts w:ascii="Aptos" w:hAnsi="Aptos"/>
                <w:b/>
                <w:color w:val="FFFFFF"/>
                <w:sz w:val="16"/>
              </w:rPr>
            </w:r>
            <w:r>
              <w:rPr>
                <w:rFonts w:ascii="Aptos" w:hAnsi="Aptos" w:eastAsia="Aptos"/>
                <w:b/>
                <w:color w:val="FFFFFF"/>
                <w:sz w:val="16"/>
              </w:rPr>
              <w:t>Fokus penilaian</w:t>
            </w:r>
          </w:p>
        </w:tc>
      </w:tr>
      <w:tr>
        <w:trPr>
          <w:cantSplit/>
        </w:trPr>
        <w:tc>
          <w:tcPr>
            <w:tcW w:type="dxa" w:w="2045"/>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color w:val="17365D"/>
                <w:sz w:val="16"/>
              </w:rPr>
              <w:t>Diagnostik dan formatif</w:t>
            </w:r>
          </w:p>
        </w:tc>
        <w:tc>
          <w:tcPr>
            <w:tcW w:type="dxa" w:w="3096"/>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Respons awal/dugaan serta observasi diskusi</w:t>
            </w:r>
          </w:p>
        </w:tc>
        <w:tc>
          <w:tcPr>
            <w:tcW w:type="dxa" w:w="4507"/>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Kemampuan mengajukan pertanyaan, mengemukakan dugaan, dan berkolaborasi.</w:t>
            </w:r>
          </w:p>
        </w:tc>
      </w:tr>
      <w:tr>
        <w:trPr>
          <w:cantSplit/>
        </w:trPr>
        <w:tc>
          <w:tcPr>
            <w:tcW w:type="dxa" w:w="2045"/>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color w:val="17365D"/>
                <w:sz w:val="16"/>
              </w:rPr>
              <w:t>Penilaian kinerja/produk</w:t>
            </w:r>
          </w:p>
        </w:tc>
        <w:tc>
          <w:tcPr>
            <w:tcW w:type="dxa" w:w="3096"/>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LKPD digital dan unggahan Padlet</w:t>
            </w:r>
          </w:p>
        </w:tc>
        <w:tc>
          <w:tcPr>
            <w:tcW w:type="dxa" w:w="4507"/>
            <w:vAlign w:val="center"/>
            <w:tcMar>
              <w:top w:w="75" w:type="dxa"/>
              <w:start w:w="90" w:type="dxa"/>
              <w:bottom w:w="75" w:type="dxa"/>
              <w:end w:w="90" w:type="dxa"/>
            </w:tcMar>
            <w:shd w:fill="F4F7FA"/>
          </w:tcPr>
          <w:p>
            <w:pPr>
              <w:spacing w:after="0" w:before="0" w:line="247" w:lineRule="auto"/>
            </w:pPr>
            <w:r>
              <w:rPr>
                <w:rFonts w:ascii="Aptos" w:hAnsi="Aptos"/>
                <w:sz w:val="16"/>
              </w:rPr>
            </w:r>
            <w:r>
              <w:rPr>
                <w:rFonts w:ascii="Aptos" w:hAnsi="Aptos" w:eastAsia="Aptos"/>
                <w:b w:val="0"/>
                <w:color w:val="243447"/>
                <w:sz w:val="16"/>
              </w:rPr>
              <w:t>Ketepatan indikator, kualitas sumber pembanding, pencatatan bukti, dan simpulan.</w:t>
            </w:r>
          </w:p>
        </w:tc>
      </w:tr>
      <w:tr>
        <w:trPr>
          <w:cantSplit/>
        </w:trPr>
        <w:tc>
          <w:tcPr>
            <w:tcW w:type="dxa" w:w="2045"/>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color w:val="17365D"/>
                <w:sz w:val="16"/>
              </w:rPr>
              <w:t>Penilaian individu</w:t>
            </w:r>
          </w:p>
        </w:tc>
        <w:tc>
          <w:tcPr>
            <w:tcW w:type="dxa" w:w="3096"/>
            <w:vAlign w:val="center"/>
            <w:tcMar>
              <w:top w:w="75" w:type="dxa"/>
              <w:start w:w="90" w:type="dxa"/>
              <w:bottom w:w="75" w:type="dxa"/>
              <w:end w:w="90" w:type="dxa"/>
            </w:tcMar>
          </w:tcPr>
          <w:p>
            <w:pPr>
              <w:spacing w:after="0" w:before="0" w:line="247" w:lineRule="auto"/>
            </w:pPr>
            <w:r>
              <w:rPr>
                <w:rFonts w:ascii="Aptos" w:hAnsi="Aptos"/>
                <w:sz w:val="16"/>
              </w:rPr>
              <w:t>Tiket keluar; ulangan harian melalui Mediadidik</w:t>
            </w:r>
            <w:r>
              <w:rPr>
                <w:rFonts w:ascii="Aptos" w:hAnsi="Aptos" w:eastAsia="Aptos"/>
                <w:b w:val="0"/>
                <w:color w:val="243447"/>
                <w:sz w:val="16"/>
              </w:rPr>
            </w:r>
          </w:p>
        </w:tc>
        <w:tc>
          <w:tcPr>
            <w:tcW w:type="dxa" w:w="4507"/>
            <w:vAlign w:val="center"/>
            <w:tcMar>
              <w:top w:w="75" w:type="dxa"/>
              <w:start w:w="90" w:type="dxa"/>
              <w:bottom w:w="75" w:type="dxa"/>
              <w:end w:w="90" w:type="dxa"/>
            </w:tcMar>
          </w:tcPr>
          <w:p>
            <w:pPr>
              <w:spacing w:after="0" w:before="0" w:line="247" w:lineRule="auto"/>
            </w:pPr>
            <w:r>
              <w:rPr>
                <w:rFonts w:ascii="Aptos" w:hAnsi="Aptos"/>
                <w:sz w:val="16"/>
              </w:rPr>
            </w:r>
            <w:r>
              <w:rPr>
                <w:rFonts w:ascii="Aptos" w:hAnsi="Aptos" w:eastAsia="Aptos"/>
                <w:b w:val="0"/>
                <w:color w:val="243447"/>
                <w:sz w:val="16"/>
              </w:rPr>
              <w:t>Pemahaman personal tentang verifikasi dan respons aman di ruang digital.</w:t>
            </w:r>
          </w:p>
        </w:tc>
      </w:tr>
    </w:tbl>
    <w:p>
      <w:pPr>
        <w:pStyle w:val="Heading2"/>
        <w:keepNext/>
      </w:pPr>
      <w:r>
        <w:t>Rubrik penilaian kinerja (skala 1-4)</w:t>
      </w:r>
    </w:p>
    <w:p>
      <w:pPr>
        <w:spacing w:before="0" w:after="80" w:line="259" w:lineRule="auto"/>
      </w:pPr>
      <w:r>
        <w:rPr>
          <w:rFonts w:ascii="Aptos" w:hAnsi="Aptos" w:eastAsia="Aptos"/>
          <w:b w:val="0"/>
          <w:i w:val="0"/>
          <w:color w:val="243447"/>
          <w:sz w:val="16"/>
        </w:rPr>
        <w:t>Skor 4 = sangat baik; 3 = baik; 2 = cukup; 1 = perlu bimbingan. Berikan satu skor untuk setiap kriteria berdasarkan bukti pada LKPD, Padlet, observasi, dan tiket keluar. Nilai akhir kinerja dihitung dengan rumus: (skor kriteria ÷ 4) × bobot, kemudian seluruh hasil dijumlahkan.</w:t>
      </w:r>
    </w:p>
    <w:tbl>
      <w:tblPr>
        <w:tblW w:type="auto" w:w="0"/>
        <w:jc w:val="center"/>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3389"/>
        <w:gridCol w:w="3389"/>
        <w:gridCol w:w="3389"/>
      </w:tblGrid>
      <w:tr>
        <w:trPr>
          <w:cantSplit/>
          <w:tblHeader w:val="true"/>
        </w:trPr>
        <w:tc>
          <w:tcPr>
            <w:tcW w:type="dxa" w:w="2232"/>
            <w:vAlign w:val="center"/>
            <w:tcMar>
              <w:top w:w="75" w:type="dxa"/>
              <w:start w:w="90" w:type="dxa"/>
              <w:bottom w:w="75" w:type="dxa"/>
              <w:end w:w="90" w:type="dxa"/>
            </w:tcMar>
            <w:shd w:fill="17365D"/>
          </w:tcPr>
          <w:p>
            <w:pPr>
              <w:spacing w:after="0" w:before="0" w:line="247" w:lineRule="auto"/>
            </w:pPr>
            <w:r>
              <w:rPr>
                <w:rFonts w:ascii="Aptos" w:hAnsi="Aptos"/>
                <w:b/>
                <w:color w:val="FFFFFF"/>
                <w:sz w:val="15"/>
              </w:rPr>
            </w:r>
            <w:r>
              <w:rPr>
                <w:rFonts w:ascii="Aptos" w:hAnsi="Aptos" w:eastAsia="Aptos"/>
                <w:b/>
                <w:color w:val="FFFFFF"/>
                <w:sz w:val="15"/>
              </w:rPr>
              <w:t>Kriteria / bobot</w:t>
            </w:r>
          </w:p>
        </w:tc>
        <w:tc>
          <w:tcPr>
            <w:tcW w:type="dxa" w:w="4248"/>
            <w:vAlign w:val="center"/>
            <w:tcMar>
              <w:top w:w="75" w:type="dxa"/>
              <w:start w:w="90" w:type="dxa"/>
              <w:bottom w:w="75" w:type="dxa"/>
              <w:end w:w="90" w:type="dxa"/>
            </w:tcMar>
            <w:shd w:fill="17365D"/>
          </w:tcPr>
          <w:p>
            <w:pPr>
              <w:spacing w:after="0" w:before="0" w:line="247" w:lineRule="auto"/>
            </w:pPr>
            <w:r>
              <w:rPr>
                <w:rFonts w:ascii="Aptos" w:hAnsi="Aptos"/>
                <w:b/>
                <w:color w:val="FFFFFF"/>
                <w:sz w:val="15"/>
              </w:rPr>
            </w:r>
            <w:r>
              <w:rPr>
                <w:rFonts w:ascii="Aptos" w:hAnsi="Aptos" w:eastAsia="Aptos"/>
                <w:b/>
                <w:color w:val="FFFFFF"/>
                <w:sz w:val="15"/>
              </w:rPr>
              <w:t>Skor 4–3</w:t>
            </w:r>
          </w:p>
        </w:tc>
        <w:tc>
          <w:tcPr>
            <w:tcW w:type="dxa" w:w="3168"/>
            <w:vAlign w:val="center"/>
            <w:tcMar>
              <w:top w:w="75" w:type="dxa"/>
              <w:start w:w="90" w:type="dxa"/>
              <w:bottom w:w="75" w:type="dxa"/>
              <w:end w:w="90" w:type="dxa"/>
            </w:tcMar>
            <w:shd w:fill="17365D"/>
          </w:tcPr>
          <w:p>
            <w:pPr>
              <w:spacing w:after="0" w:before="0" w:line="247" w:lineRule="auto"/>
            </w:pPr>
            <w:r>
              <w:rPr>
                <w:rFonts w:ascii="Aptos" w:hAnsi="Aptos"/>
                <w:b/>
                <w:color w:val="FFFFFF"/>
                <w:sz w:val="15"/>
              </w:rPr>
            </w:r>
            <w:r>
              <w:rPr>
                <w:rFonts w:ascii="Aptos" w:hAnsi="Aptos" w:eastAsia="Aptos"/>
                <w:b/>
                <w:color w:val="FFFFFF"/>
                <w:sz w:val="15"/>
              </w:rPr>
              <w:t>Skor 2–1</w:t>
            </w:r>
          </w:p>
        </w:tc>
      </w:tr>
      <w:tr>
        <w:trPr>
          <w:cantSplit/>
        </w:trPr>
        <w:tc>
          <w:tcPr>
            <w:tcW w:type="dxa" w:w="2232"/>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color w:val="17365D"/>
                <w:sz w:val="15"/>
              </w:rPr>
              <w:t>1. Analisis indikator</w:t>
              <w:br/>
              <w:t>20%</w:t>
            </w:r>
          </w:p>
        </w:tc>
        <w:tc>
          <w:tcPr>
            <w:tcW w:type="dxa" w:w="4248"/>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val="0"/>
                <w:color w:val="243447"/>
                <w:sz w:val="15"/>
              </w:rPr>
              <w:t>4: Indikator tepat dan alasannya jelas. 3: Mayoritas indikator tepat dengan penjelasan cukup.</w:t>
            </w:r>
          </w:p>
        </w:tc>
        <w:tc>
          <w:tcPr>
            <w:tcW w:type="dxa" w:w="3168"/>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val="0"/>
                <w:color w:val="243447"/>
                <w:sz w:val="15"/>
              </w:rPr>
              <w:t>2: Sebagian indikator tepat, alasan lemah. 1: Indikator tidak relevan atau tanpa alasan.</w:t>
            </w:r>
          </w:p>
        </w:tc>
      </w:tr>
      <w:tr>
        <w:trPr>
          <w:cantSplit/>
        </w:trPr>
        <w:tc>
          <w:tcPr>
            <w:tcW w:type="dxa" w:w="2232"/>
            <w:vAlign w:val="center"/>
            <w:tcMar>
              <w:top w:w="75" w:type="dxa"/>
              <w:start w:w="90" w:type="dxa"/>
              <w:bottom w:w="75" w:type="dxa"/>
              <w:end w:w="90" w:type="dxa"/>
            </w:tcMar>
            <w:shd w:fill="F4F7FA"/>
          </w:tcPr>
          <w:p>
            <w:pPr>
              <w:spacing w:after="0" w:before="0" w:line="247" w:lineRule="auto"/>
            </w:pPr>
            <w:r>
              <w:rPr>
                <w:rFonts w:ascii="Aptos" w:hAnsi="Aptos"/>
                <w:sz w:val="15"/>
              </w:rPr>
            </w:r>
            <w:r>
              <w:rPr>
                <w:rFonts w:ascii="Aptos" w:hAnsi="Aptos" w:eastAsia="Aptos"/>
                <w:b/>
                <w:color w:val="17365D"/>
                <w:sz w:val="15"/>
              </w:rPr>
              <w:t>2. Investigasi dan bukti</w:t>
              <w:br/>
              <w:t>30%</w:t>
            </w:r>
          </w:p>
        </w:tc>
        <w:tc>
          <w:tcPr>
            <w:tcW w:type="dxa" w:w="4248"/>
            <w:vAlign w:val="center"/>
            <w:tcMar>
              <w:top w:w="75" w:type="dxa"/>
              <w:start w:w="90" w:type="dxa"/>
              <w:bottom w:w="75" w:type="dxa"/>
              <w:end w:w="90" w:type="dxa"/>
            </w:tcMar>
            <w:shd w:fill="F4F7FA"/>
          </w:tcPr>
          <w:p>
            <w:pPr>
              <w:spacing w:after="0" w:before="0" w:line="247" w:lineRule="auto"/>
            </w:pPr>
            <w:r>
              <w:rPr>
                <w:rFonts w:ascii="Aptos" w:hAnsi="Aptos"/>
                <w:sz w:val="15"/>
              </w:rPr>
            </w:r>
            <w:r>
              <w:rPr>
                <w:rFonts w:ascii="Aptos" w:hAnsi="Aptos" w:eastAsia="Aptos"/>
                <w:b w:val="0"/>
                <w:color w:val="243447"/>
                <w:sz w:val="15"/>
              </w:rPr>
              <w:t>4: Minimal dua sumber relevan; bukti dan proses lateral reading/penelusuran balik dicatat. 3: Bukti relevan tetapi pencatatan belum lengkap.</w:t>
            </w:r>
          </w:p>
        </w:tc>
        <w:tc>
          <w:tcPr>
            <w:tcW w:type="dxa" w:w="3168"/>
            <w:vAlign w:val="center"/>
            <w:tcMar>
              <w:top w:w="75" w:type="dxa"/>
              <w:start w:w="90" w:type="dxa"/>
              <w:bottom w:w="75" w:type="dxa"/>
              <w:end w:w="90" w:type="dxa"/>
            </w:tcMar>
            <w:shd w:fill="F4F7FA"/>
          </w:tcPr>
          <w:p>
            <w:pPr>
              <w:spacing w:after="0" w:before="0" w:line="247" w:lineRule="auto"/>
            </w:pPr>
            <w:r>
              <w:rPr>
                <w:rFonts w:ascii="Aptos" w:hAnsi="Aptos"/>
                <w:sz w:val="15"/>
              </w:rPr>
            </w:r>
            <w:r>
              <w:rPr>
                <w:rFonts w:ascii="Aptos" w:hAnsi="Aptos" w:eastAsia="Aptos"/>
                <w:b w:val="0"/>
                <w:color w:val="243447"/>
                <w:sz w:val="15"/>
              </w:rPr>
              <w:t>2: Sumber terbatas atau bukti lemah. 1: Simpulan tanpa bukti yang dapat ditelusuri.</w:t>
            </w:r>
          </w:p>
        </w:tc>
      </w:tr>
      <w:tr>
        <w:trPr>
          <w:cantSplit/>
        </w:trPr>
        <w:tc>
          <w:tcPr>
            <w:tcW w:type="dxa" w:w="2232"/>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color w:val="17365D"/>
                <w:sz w:val="15"/>
              </w:rPr>
              <w:t>3. Kesimpulan berbasis bukti</w:t>
              <w:br/>
              <w:t>20%</w:t>
            </w:r>
          </w:p>
        </w:tc>
        <w:tc>
          <w:tcPr>
            <w:tcW w:type="dxa" w:w="4248"/>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val="0"/>
                <w:color w:val="243447"/>
                <w:sz w:val="15"/>
              </w:rPr>
              <w:t>4: Simpulan sesuai bukti dan mengakui jika bukti belum cukup. 3: Simpulan cukup sesuai dengan bukti.</w:t>
            </w:r>
          </w:p>
        </w:tc>
        <w:tc>
          <w:tcPr>
            <w:tcW w:type="dxa" w:w="3168"/>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val="0"/>
                <w:color w:val="243447"/>
                <w:sz w:val="15"/>
              </w:rPr>
              <w:t>2: Simpulan sebagian tidak didukung bukti. 1: Simpulan bertentangan dengan bukti atau tanpa dasar.</w:t>
            </w:r>
          </w:p>
        </w:tc>
      </w:tr>
      <w:tr>
        <w:trPr>
          <w:cantSplit/>
        </w:trPr>
        <w:tc>
          <w:tcPr>
            <w:tcW w:type="dxa" w:w="2232"/>
            <w:vAlign w:val="center"/>
            <w:tcMar>
              <w:top w:w="75" w:type="dxa"/>
              <w:start w:w="90" w:type="dxa"/>
              <w:bottom w:w="75" w:type="dxa"/>
              <w:end w:w="90" w:type="dxa"/>
            </w:tcMar>
            <w:shd w:fill="F4F7FA"/>
          </w:tcPr>
          <w:p>
            <w:pPr>
              <w:spacing w:after="0" w:before="0" w:line="247" w:lineRule="auto"/>
            </w:pPr>
            <w:r>
              <w:rPr>
                <w:rFonts w:ascii="Aptos" w:hAnsi="Aptos"/>
                <w:sz w:val="15"/>
              </w:rPr>
            </w:r>
            <w:r>
              <w:rPr>
                <w:rFonts w:ascii="Aptos" w:hAnsi="Aptos" w:eastAsia="Aptos"/>
                <w:b/>
                <w:color w:val="17365D"/>
                <w:sz w:val="15"/>
              </w:rPr>
              <w:t>4. Kolaborasi dan komunikasi</w:t>
              <w:br/>
              <w:t>15%</w:t>
            </w:r>
          </w:p>
        </w:tc>
        <w:tc>
          <w:tcPr>
            <w:tcW w:type="dxa" w:w="4248"/>
            <w:vAlign w:val="center"/>
            <w:tcMar>
              <w:top w:w="75" w:type="dxa"/>
              <w:start w:w="90" w:type="dxa"/>
              <w:bottom w:w="75" w:type="dxa"/>
              <w:end w:w="90" w:type="dxa"/>
            </w:tcMar>
            <w:shd w:fill="F4F7FA"/>
          </w:tcPr>
          <w:p>
            <w:pPr>
              <w:spacing w:after="0" w:before="0" w:line="247" w:lineRule="auto"/>
            </w:pPr>
            <w:r>
              <w:rPr>
                <w:rFonts w:ascii="Aptos" w:hAnsi="Aptos"/>
                <w:sz w:val="15"/>
              </w:rPr>
            </w:r>
            <w:r>
              <w:rPr>
                <w:rFonts w:ascii="Aptos" w:hAnsi="Aptos" w:eastAsia="Aptos"/>
                <w:b w:val="0"/>
                <w:color w:val="243447"/>
                <w:sz w:val="15"/>
              </w:rPr>
              <w:t>4: Peran jelas, hasil mudah dipahami, dan komentar berbasis bukti. 3: Kolaborasi dan penyajian cukup baik.</w:t>
            </w:r>
          </w:p>
        </w:tc>
        <w:tc>
          <w:tcPr>
            <w:tcW w:type="dxa" w:w="3168"/>
            <w:vAlign w:val="center"/>
            <w:tcMar>
              <w:top w:w="75" w:type="dxa"/>
              <w:start w:w="90" w:type="dxa"/>
              <w:bottom w:w="75" w:type="dxa"/>
              <w:end w:w="90" w:type="dxa"/>
            </w:tcMar>
            <w:shd w:fill="F4F7FA"/>
          </w:tcPr>
          <w:p>
            <w:pPr>
              <w:spacing w:after="0" w:before="0" w:line="247" w:lineRule="auto"/>
            </w:pPr>
            <w:r>
              <w:rPr>
                <w:rFonts w:ascii="Aptos" w:hAnsi="Aptos"/>
                <w:sz w:val="15"/>
              </w:rPr>
            </w:r>
            <w:r>
              <w:rPr>
                <w:rFonts w:ascii="Aptos" w:hAnsi="Aptos" w:eastAsia="Aptos"/>
                <w:b w:val="0"/>
                <w:color w:val="243447"/>
                <w:sz w:val="15"/>
              </w:rPr>
              <w:t>2: Kontribusi tidak merata atau penyajian kurang jelas. 1: Minim kolaborasi atau hasil tidak tersampaikan.</w:t>
            </w:r>
          </w:p>
        </w:tc>
      </w:tr>
      <w:tr>
        <w:trPr>
          <w:cantSplit/>
        </w:trPr>
        <w:tc>
          <w:tcPr>
            <w:tcW w:type="dxa" w:w="2232"/>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color w:val="17365D"/>
                <w:sz w:val="15"/>
              </w:rPr>
              <w:t>5. Keamanan dan etika digital</w:t>
              <w:br/>
              <w:t>15%</w:t>
            </w:r>
          </w:p>
        </w:tc>
        <w:tc>
          <w:tcPr>
            <w:tcW w:type="dxa" w:w="4248"/>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val="0"/>
                <w:color w:val="243447"/>
                <w:sz w:val="15"/>
              </w:rPr>
              <w:t>4: Tidak membuka tautan aktif, menjaga privasi, dan merekomendasikan tindakan aman. 3: Praktik aman dengan sedikit arahan.</w:t>
            </w:r>
          </w:p>
        </w:tc>
        <w:tc>
          <w:tcPr>
            <w:tcW w:type="dxa" w:w="3168"/>
            <w:vAlign w:val="center"/>
            <w:tcMar>
              <w:top w:w="75" w:type="dxa"/>
              <w:start w:w="90" w:type="dxa"/>
              <w:bottom w:w="75" w:type="dxa"/>
              <w:end w:w="90" w:type="dxa"/>
            </w:tcMar>
          </w:tcPr>
          <w:p>
            <w:pPr>
              <w:spacing w:after="0" w:before="0" w:line="247" w:lineRule="auto"/>
            </w:pPr>
            <w:r>
              <w:rPr>
                <w:rFonts w:ascii="Aptos" w:hAnsi="Aptos"/>
                <w:sz w:val="15"/>
              </w:rPr>
            </w:r>
            <w:r>
              <w:rPr>
                <w:rFonts w:ascii="Aptos" w:hAnsi="Aptos" w:eastAsia="Aptos"/>
                <w:b w:val="0"/>
                <w:color w:val="243447"/>
                <w:sz w:val="15"/>
              </w:rPr>
              <w:t>2: Perlu beberapa pengingat. 1: Mengabaikan prosedur aman atau menyebarkan info tanpa verifikasi.</w:t>
            </w:r>
          </w:p>
        </w:tc>
      </w:tr>
    </w:tbl>
    <w:p>
      <w:pPr>
        <w:pStyle w:val="Heading1"/>
        <w:keepNext/>
      </w:pPr>
      <w:r>
        <w:t>G. Refleksi Individu</w:t>
      </w:r>
    </w:p>
    <w:p>
      <w:pPr>
        <w:spacing w:before="0" w:after="120" w:line="259" w:lineRule="auto"/>
      </w:pPr>
      <w:r>
        <w:rPr>
          <w:rFonts w:ascii="Aptos" w:hAnsi="Aptos" w:eastAsia="Aptos"/>
          <w:b w:val="0"/>
          <w:i w:val="0"/>
          <w:color w:val="243447"/>
          <w:sz w:val="18"/>
        </w:rPr>
        <w:t>Melalui penyusunan rancangan pembelajaran ini, saya memahami bahwa efektivitas pembelajaran bauran tidak ditentukan oleh banyaknya aplikasi yang digunakan, tetapi oleh keterpaduan tujuan, aktivitas, asesmen, dan umpan balik. Dalam konteks kelas saya, Mediadidik merupakan LMS sekolah yang digunakan untuk mengakses materi dan melaksanakan ulangan harian. LKPD digital dan Padlet melengkapi proses investigasi, sehingga persiapan asinkronus, investigasi sinkronus, dan refleksi setelah pertemuan tersusun dalam satu rangkaian yang saling mendukung.</w:t>
      </w:r>
    </w:p>
    <w:p>
      <w:pPr>
        <w:spacing w:before="0" w:after="120" w:line="259" w:lineRule="auto"/>
      </w:pPr>
      <w:r>
        <w:rPr>
          <w:rFonts w:ascii="Aptos" w:hAnsi="Aptos" w:eastAsia="Aptos"/>
          <w:b w:val="0"/>
          <w:i w:val="0"/>
          <w:color w:val="243447"/>
          <w:sz w:val="18"/>
        </w:rPr>
        <w:t>Saya juga melihat bahwa Inquiry-Based Learning relevan untuk literasi digital karena peserta didik tidak cukup diberi daftar ciri hoaks; mereka perlu berlatih mengajukan pertanyaan, menelusuri sumber lain, membandingkan bukti, dan menjelaskan alasan di balik kesimpulan. Penggunaan kasus yang dekat dengan kehidupan peserta didik dapat meningkatkan relevansi belajar, tetapi kasus harus disajikan sebagai simulasi yang aman agar tidak ada peserta didik yang terdorong membuka tautan berbahaya atau menceritakan pengalaman pribadi yang sensitif.</w:t>
      </w:r>
    </w:p>
    <w:p>
      <w:pPr>
        <w:spacing w:before="0" w:after="160" w:line="259" w:lineRule="auto"/>
      </w:pPr>
      <w:r>
        <w:rPr>
          <w:rFonts w:ascii="Aptos" w:hAnsi="Aptos" w:eastAsia="Aptos"/>
          <w:b w:val="0"/>
          <w:i w:val="0"/>
          <w:color w:val="243447"/>
          <w:sz w:val="18"/>
        </w:rPr>
        <w:t>Dalam penerapan berikutnya, saya akan menyediakan instruksi dan rubrik yang jelas, memakai kanal respons anonim secara bertanggung jawab, memanfaatkan hasil ulangan harian di Mediadidik sebagai salah satu dasar tindak lanjut, serta menyediakan materi ringan atau alternatif luring ketika koneksi internet terbatas. Saya juga akan membedakan antara “terbukti benar”, “terindikasi salah/penipuan”, dan “belum cukup bukti” agar peserta didik mengambil keputusan berdasarkan data. Pembelajaran digital yang baik tidak hanya membuat peserta didik mampu menggunakan teknologi, tetapi juga membantu mereka menggunakannya secara kritis, aman, dan bertanggung jawab.</w:t>
      </w:r>
    </w:p>
    <w:p>
      <w:pPr>
        <w:pStyle w:val="Heading1"/>
        <w:keepNext/>
      </w:pPr>
      <w:r>
        <w:t>Daftar Pustaka</w:t>
      </w:r>
    </w:p>
    <w:p>
      <w:pPr>
        <w:spacing w:after="100" w:line="247" w:lineRule="auto"/>
        <w:ind w:left="317" w:hanging="317"/>
      </w:pPr>
      <w:r>
        <w:rPr>
          <w:rFonts w:ascii="Aptos" w:hAnsi="Aptos"/>
          <w:color w:val="243447"/>
          <w:sz w:val="16"/>
        </w:rPr>
        <w:t>Garrison, D. R., &amp; Kanuka, H. (2004). Blended learning: Uncovering its transformative potential in higher education. The Internet and Higher Education, 7(2), 95–105. https://doi.org/10.1016/j.iheduc.2004.02.001</w:t>
      </w:r>
    </w:p>
    <w:p>
      <w:pPr>
        <w:spacing w:after="100" w:line="247" w:lineRule="auto"/>
        <w:ind w:left="317" w:hanging="317"/>
      </w:pPr>
      <w:r>
        <w:rPr>
          <w:rFonts w:ascii="Aptos" w:hAnsi="Aptos"/>
          <w:color w:val="243447"/>
          <w:sz w:val="16"/>
        </w:rPr>
        <w:t>Pedaste, M., Mäeots, M., Siiman, L. A., de Jong, T., van Riesen, S. A. N., Kamp, E. T., Manoli, C. C., Zacharia, Z. C., &amp; Tsourlidaki, E. (2015). Phases of inquiry-based learning: Definitions and the inquiry cycle. Educational Research Review, 14, 47–61. https://doi.org/10.1016/j.edurev.2015.02.003</w:t>
      </w:r>
    </w:p>
    <w:p>
      <w:pPr>
        <w:spacing w:after="100" w:line="247" w:lineRule="auto"/>
        <w:ind w:left="317" w:hanging="317"/>
      </w:pPr>
      <w:r>
        <w:rPr>
          <w:rFonts w:ascii="Aptos" w:hAnsi="Aptos"/>
          <w:color w:val="243447"/>
          <w:sz w:val="16"/>
        </w:rPr>
        <w:t>Wineburg, S., &amp; McGrew, S. (2019). Lateral reading and the nature of expertise: Reading less and learning more when evaluating digital information. Teachers College Record, 121(11), 1–40. https://doi.org/10.1177/016146811912101102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c>
          <w:tcPr>
            <w:tcW w:type="dxa" w:w="10008"/>
            <w:shd w:fill="EAF2F8"/>
            <w:tcMar>
              <w:top w:w="110" w:type="dxa"/>
              <w:start w:w="140" w:type="dxa"/>
              <w:bottom w:w="110" w:type="dxa"/>
              <w:end w:w="140" w:type="dxa"/>
            </w:tcMar>
          </w:tcPr>
          <w:p>
            <w:pPr>
              <w:spacing w:after="40"/>
            </w:pPr>
            <w:r>
              <w:rPr>
                <w:b/>
                <w:color w:val="17365D"/>
                <w:sz w:val="18"/>
              </w:rPr>
              <w:t>Catatan akhir dan persiapan presentasi UAS</w:t>
            </w:r>
          </w:p>
          <w:p>
            <w:pPr>
              <w:spacing w:after="0" w:line="252" w:lineRule="auto"/>
            </w:pPr>
            <w:r>
              <w:t>Isi nama kelompok dan seluruh anggota. Mediadidik merupakan LMS sekolah untuk mengakses materi dan mengerjakan ulangan harian; LKPD digital, kanal respons anonim, dan Padlet menjadi media pendukung. Sesuaikan alokasi waktu dengan arahan dosen. Saat presentasi, jelaskan kasus, alasan memilih IBL, hubungan teori dengan aktivitas, alur asinkronus-sinkronus-asinkronus, fungsi Mediadidik dan media pendukung, penilaian, keamanan digital, serta refleksi. Tunjukkan bagaimana tiap media membantu investigasi.</w:t>
            </w:r>
          </w:p>
        </w:tc>
      </w:tr>
    </w:tbl>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596579"/>
        <w:sz w:val="15"/>
      </w:rPr>
      <w:t xml:space="preserve">Lesson Plan Informatika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D8791"/>
        <w:sz w:val="15"/>
      </w:rPr>
      <w:t>UAS  |  PEMBELAJARAN DARING DAN BAURAN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D87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UAS Informatika Bauran - Integrasi Mediadidik</dc:title>
  <dc:subject>Rancangan pembelajaran Inquiry-Based Learning dengan integrasi Mediadidik sebagai LMS sekolah</dc:subject>
  <dc:creator>Rancangan Pembelajaran</dc:creator>
  <cp:keywords>UAS, pembelajaran bauran, Inquiry-Based Learning, literasi digital, phishing, deepfake</cp:keywords>
  <dc:description>generated by python-docx</dc:description>
  <cp:lastModifiedBy/>
  <cp:revision>1</cp:revision>
  <dcterms:created xsi:type="dcterms:W3CDTF">2013-12-23T23:15:00Z</dcterms:created>
  <dcterms:modified xsi:type="dcterms:W3CDTF">2013-12-23T23:15:00Z</dcterms:modified>
  <cp:category/>
</cp:coreProperties>
</file>