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CA03EA" w:rsidR="00724EAE" w:rsidRDefault="1C44BE14" w:rsidP="15724F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>MATH 628 FINAL PROJECT</w:t>
      </w:r>
    </w:p>
    <w:p w14:paraId="163C5D68" w14:textId="12FC4702" w:rsidR="1C44BE14" w:rsidRDefault="1C44BE14" w:rsidP="15724F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>PCA Analysis</w:t>
      </w:r>
    </w:p>
    <w:p w14:paraId="3242A7F3" w14:textId="1200856F" w:rsidR="1C44BE14" w:rsidRDefault="1C44BE14" w:rsidP="15724FE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>Chunlin Shi</w:t>
      </w:r>
    </w:p>
    <w:p w14:paraId="6B732517" w14:textId="570C653A" w:rsidR="1C44BE14" w:rsidRDefault="1C44BE14" w:rsidP="15724FE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Noah </w:t>
      </w:r>
      <w:r w:rsidR="26018347" w:rsidRPr="15724FE6">
        <w:rPr>
          <w:rFonts w:ascii="Times New Roman" w:eastAsia="Times New Roman" w:hAnsi="Times New Roman" w:cs="Times New Roman"/>
          <w:sz w:val="24"/>
          <w:szCs w:val="24"/>
        </w:rPr>
        <w:t>C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>ollins</w:t>
      </w:r>
    </w:p>
    <w:p w14:paraId="0FA0CFB1" w14:textId="79FF2C4B" w:rsidR="0313B94B" w:rsidRPr="0058696D" w:rsidRDefault="0313B94B" w:rsidP="0058696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6D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14:paraId="49A30D32" w14:textId="4525F837" w:rsidR="1C44BE14" w:rsidRDefault="1C44BE14" w:rsidP="15724F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In this project, we found 1-year daily trading data for the following stocks: AAL, AMD, AVGO, BAC, BRK-A, CVX, DAL, EOG, INTC, JPM, LUV, NVDA, SLB, UAL, WFC, XOM. We repeated the analysis of </w:t>
      </w:r>
      <w:r w:rsidR="2387DAD5" w:rsidRPr="15724FE6">
        <w:rPr>
          <w:rFonts w:ascii="Times New Roman" w:eastAsia="Times New Roman" w:hAnsi="Times New Roman" w:cs="Times New Roman"/>
          <w:sz w:val="24"/>
          <w:szCs w:val="24"/>
        </w:rPr>
        <w:t>Sections 2.1-2.2 of the paper by Avellaneda and Lee. We then discussed the signs of the second and the third eigenvectors partition stocks into stocks and discovere</w:t>
      </w:r>
      <w:r w:rsidR="5E3FD214" w:rsidRPr="15724FE6">
        <w:rPr>
          <w:rFonts w:ascii="Times New Roman" w:eastAsia="Times New Roman" w:hAnsi="Times New Roman" w:cs="Times New Roman"/>
          <w:sz w:val="24"/>
          <w:szCs w:val="24"/>
        </w:rPr>
        <w:t xml:space="preserve">d that stocks in the same group have the same sign on the second and third eigenvectors, </w:t>
      </w:r>
      <w:r w:rsidR="22F12E4F" w:rsidRPr="15724FE6">
        <w:rPr>
          <w:rFonts w:ascii="Times New Roman" w:eastAsia="Times New Roman" w:hAnsi="Times New Roman" w:cs="Times New Roman"/>
          <w:sz w:val="24"/>
          <w:szCs w:val="24"/>
        </w:rPr>
        <w:t>which corresponds</w:t>
      </w:r>
      <w:r w:rsidR="75D0937A" w:rsidRPr="15724FE6">
        <w:rPr>
          <w:rFonts w:ascii="Times New Roman" w:eastAsia="Times New Roman" w:hAnsi="Times New Roman" w:cs="Times New Roman"/>
          <w:sz w:val="24"/>
          <w:szCs w:val="24"/>
        </w:rPr>
        <w:t xml:space="preserve"> to the grouping of the stocks by industries.</w:t>
      </w:r>
      <w:r w:rsidR="13C7EB45" w:rsidRPr="1572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497F05" w14:textId="3AAE1EF8" w:rsidR="62662BE3" w:rsidRPr="0058696D" w:rsidRDefault="62662BE3" w:rsidP="0058696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6D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087B0B74" w14:textId="40027210" w:rsidR="005D83AE" w:rsidRDefault="005D83AE" w:rsidP="15724F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>Principal Component Analysis is a powerful statistical tool that allows us to explore multidimensional relationships</w:t>
      </w:r>
      <w:r w:rsidR="0BA54A6E" w:rsidRPr="15724FE6">
        <w:rPr>
          <w:rFonts w:ascii="Times New Roman" w:eastAsia="Times New Roman" w:hAnsi="Times New Roman" w:cs="Times New Roman"/>
          <w:sz w:val="24"/>
          <w:szCs w:val="24"/>
        </w:rPr>
        <w:t xml:space="preserve"> within datasets. </w:t>
      </w:r>
      <w:r w:rsidR="160EF47B" w:rsidRPr="15724FE6">
        <w:rPr>
          <w:rFonts w:ascii="Times New Roman" w:eastAsia="Times New Roman" w:hAnsi="Times New Roman" w:cs="Times New Roman"/>
          <w:sz w:val="24"/>
          <w:szCs w:val="24"/>
        </w:rPr>
        <w:t>In our paper's case, our dataset was 15 stocks and their trading information over a year.</w:t>
      </w:r>
      <w:r w:rsidR="2F7F067A" w:rsidRPr="15724FE6">
        <w:rPr>
          <w:rFonts w:ascii="Times New Roman" w:eastAsia="Times New Roman" w:hAnsi="Times New Roman" w:cs="Times New Roman"/>
          <w:sz w:val="24"/>
          <w:szCs w:val="24"/>
        </w:rPr>
        <w:t xml:space="preserve"> PCA analysis </w:t>
      </w:r>
      <w:r w:rsidR="6E23EBAB" w:rsidRPr="15724FE6">
        <w:rPr>
          <w:rFonts w:ascii="Times New Roman" w:eastAsia="Times New Roman" w:hAnsi="Times New Roman" w:cs="Times New Roman"/>
          <w:sz w:val="24"/>
          <w:szCs w:val="24"/>
        </w:rPr>
        <w:t>helps capture the most significant sources of variation, which in the case of stocks, unveils patterns and correlations that may not be apparent to the naked e</w:t>
      </w:r>
      <w:r w:rsidR="0D1C775C" w:rsidRPr="15724FE6">
        <w:rPr>
          <w:rFonts w:ascii="Times New Roman" w:eastAsia="Times New Roman" w:hAnsi="Times New Roman" w:cs="Times New Roman"/>
          <w:sz w:val="24"/>
          <w:szCs w:val="24"/>
        </w:rPr>
        <w:t>ye. We seek to delineate groups of stocks that s</w:t>
      </w:r>
      <w:r w:rsidR="4BC15C8D" w:rsidRPr="15724FE6">
        <w:rPr>
          <w:rFonts w:ascii="Times New Roman" w:eastAsia="Times New Roman" w:hAnsi="Times New Roman" w:cs="Times New Roman"/>
          <w:sz w:val="24"/>
          <w:szCs w:val="24"/>
        </w:rPr>
        <w:t>hare common trends, behaviors, or underlying factors and to compare these results with official industry groupings to demonstrate the efficacy</w:t>
      </w:r>
      <w:r w:rsidR="5126BF0B" w:rsidRPr="1572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C15C8D" w:rsidRPr="15724FE6">
        <w:rPr>
          <w:rFonts w:ascii="Times New Roman" w:eastAsia="Times New Roman" w:hAnsi="Times New Roman" w:cs="Times New Roman"/>
          <w:sz w:val="24"/>
          <w:szCs w:val="24"/>
        </w:rPr>
        <w:t>of</w:t>
      </w:r>
      <w:r w:rsidR="6E7C1594" w:rsidRPr="15724FE6">
        <w:rPr>
          <w:rFonts w:ascii="Times New Roman" w:eastAsia="Times New Roman" w:hAnsi="Times New Roman" w:cs="Times New Roman"/>
          <w:sz w:val="24"/>
          <w:szCs w:val="24"/>
        </w:rPr>
        <w:t xml:space="preserve"> PCA</w:t>
      </w:r>
      <w:r w:rsidR="3A0BF6AD" w:rsidRPr="15724FE6">
        <w:rPr>
          <w:rFonts w:ascii="Times New Roman" w:eastAsia="Times New Roman" w:hAnsi="Times New Roman" w:cs="Times New Roman"/>
          <w:sz w:val="24"/>
          <w:szCs w:val="24"/>
        </w:rPr>
        <w:t xml:space="preserve"> as a tool for financial professionals, researchers and investors.</w:t>
      </w:r>
    </w:p>
    <w:p w14:paraId="778497A3" w14:textId="3DFCE26F" w:rsidR="78B0DBDE" w:rsidRPr="0058696D" w:rsidRDefault="78B0DBDE" w:rsidP="0058696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6D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Methodology</w:t>
      </w:r>
    </w:p>
    <w:p w14:paraId="1B538490" w14:textId="2C1DDFBF" w:rsidR="75D0937A" w:rsidRDefault="75D0937A" w:rsidP="15724FE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To conduct this research, we gathered data from the website </w:t>
      </w:r>
      <w:r w:rsidR="584F34B8" w:rsidRPr="15724FE6">
        <w:rPr>
          <w:rFonts w:ascii="Times New Roman" w:eastAsia="Times New Roman" w:hAnsi="Times New Roman" w:cs="Times New Roman"/>
          <w:sz w:val="24"/>
          <w:szCs w:val="24"/>
        </w:rPr>
        <w:t>of Center for Research in Security Prices</w:t>
      </w:r>
      <w:r w:rsidR="203AF8B2" w:rsidRPr="15724FE6">
        <w:rPr>
          <w:rFonts w:ascii="Times New Roman" w:eastAsia="Times New Roman" w:hAnsi="Times New Roman" w:cs="Times New Roman"/>
          <w:sz w:val="24"/>
          <w:szCs w:val="24"/>
        </w:rPr>
        <w:t xml:space="preserve"> (CRSP) 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>of Wharton Research Data Services</w:t>
      </w:r>
      <w:r w:rsidR="61A72898" w:rsidRPr="15724FE6">
        <w:rPr>
          <w:rFonts w:ascii="Times New Roman" w:eastAsia="Times New Roman" w:hAnsi="Times New Roman" w:cs="Times New Roman"/>
          <w:sz w:val="24"/>
          <w:szCs w:val="24"/>
        </w:rPr>
        <w:t>. The time range of the</w:t>
      </w:r>
      <w:r w:rsidR="53C98639" w:rsidRPr="15724FE6">
        <w:rPr>
          <w:rFonts w:ascii="Times New Roman" w:eastAsia="Times New Roman" w:hAnsi="Times New Roman" w:cs="Times New Roman"/>
          <w:sz w:val="24"/>
          <w:szCs w:val="24"/>
        </w:rPr>
        <w:t xml:space="preserve"> daily trading</w:t>
      </w:r>
      <w:r w:rsidR="61A72898" w:rsidRPr="15724FE6">
        <w:rPr>
          <w:rFonts w:ascii="Times New Roman" w:eastAsia="Times New Roman" w:hAnsi="Times New Roman" w:cs="Times New Roman"/>
          <w:sz w:val="24"/>
          <w:szCs w:val="24"/>
        </w:rPr>
        <w:t xml:space="preserve"> data is from</w:t>
      </w:r>
      <w:r w:rsidR="11FABE6A" w:rsidRPr="15724FE6">
        <w:rPr>
          <w:rFonts w:ascii="Times New Roman" w:eastAsia="Times New Roman" w:hAnsi="Times New Roman" w:cs="Times New Roman"/>
          <w:sz w:val="24"/>
          <w:szCs w:val="24"/>
        </w:rPr>
        <w:t xml:space="preserve"> December 31, 2021, to December 30, 2022. </w:t>
      </w:r>
      <w:r w:rsidR="1D5AB04E" w:rsidRPr="15724FE6">
        <w:rPr>
          <w:rFonts w:ascii="Times New Roman" w:eastAsia="Times New Roman" w:hAnsi="Times New Roman" w:cs="Times New Roman"/>
          <w:sz w:val="24"/>
          <w:szCs w:val="24"/>
        </w:rPr>
        <w:t xml:space="preserve">We collected following variables for our study: </w:t>
      </w:r>
    </w:p>
    <w:p w14:paraId="65CAE265" w14:textId="0586737F" w:rsidR="1D5AB04E" w:rsidRDefault="1D5AB04E" w:rsidP="00594170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>Names Date</w:t>
      </w:r>
      <w:r w:rsidR="7149E31E"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7149E31E" w:rsidRPr="15724FE6">
        <w:rPr>
          <w:rFonts w:ascii="Times New Roman" w:eastAsia="Times New Roman" w:hAnsi="Times New Roman" w:cs="Times New Roman"/>
          <w:sz w:val="24"/>
          <w:szCs w:val="24"/>
        </w:rPr>
        <w:t xml:space="preserve"> Date of trading</w:t>
      </w:r>
      <w:r w:rsidR="1187AEB0" w:rsidRPr="15724F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D0140" w14:textId="46533E8B" w:rsidR="1D5AB04E" w:rsidRDefault="1D5AB04E" w:rsidP="15724FE6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>Ticker Symbol</w:t>
      </w:r>
      <w:r w:rsidR="72BD7E83"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72BD7E83" w:rsidRPr="15724FE6">
        <w:rPr>
          <w:rFonts w:ascii="Times New Roman" w:eastAsia="Times New Roman" w:hAnsi="Times New Roman" w:cs="Times New Roman"/>
          <w:sz w:val="24"/>
          <w:szCs w:val="24"/>
        </w:rPr>
        <w:t>Ticker for stocks accordingly</w:t>
      </w:r>
      <w:r w:rsidR="1187AEB0" w:rsidRPr="15724F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EC4DA" w14:textId="73B11240" w:rsidR="1D5AB04E" w:rsidRDefault="1D5AB04E" w:rsidP="15724FE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>North American Industry Classification System</w:t>
      </w:r>
      <w:r w:rsidR="77B81F5E"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77B81F5E" w:rsidRPr="15724FE6">
        <w:rPr>
          <w:rFonts w:ascii="Times New Roman" w:eastAsia="Times New Roman" w:hAnsi="Times New Roman" w:cs="Times New Roman"/>
          <w:sz w:val="24"/>
          <w:szCs w:val="24"/>
        </w:rPr>
        <w:t>Code used to proxy belonging industry of the stock</w:t>
      </w:r>
      <w:r w:rsidR="2A636EF3" w:rsidRPr="15724F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E70DF" w14:textId="0013FDD8" w:rsidR="1D5AB04E" w:rsidRDefault="1D5AB04E" w:rsidP="15724FE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Price or Bid/Ask Average, Shares Outstanding</w:t>
      </w:r>
      <w:r w:rsidR="210B1115"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210B1115" w:rsidRPr="15724FE6">
        <w:rPr>
          <w:rFonts w:ascii="Times New Roman" w:eastAsia="Times New Roman" w:hAnsi="Times New Roman" w:cs="Times New Roman"/>
          <w:sz w:val="24"/>
          <w:szCs w:val="24"/>
        </w:rPr>
        <w:t>Variables used to construct market cap weighted portfolios</w:t>
      </w:r>
      <w:r w:rsidR="4C388951" w:rsidRPr="15724F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7F4FA" w14:textId="47BD7BF4" w:rsidR="1D5AB04E" w:rsidRDefault="1D5AB04E" w:rsidP="15724FE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>Returns without Dividend</w:t>
      </w:r>
      <w:r w:rsidR="2EC70227"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38D28605" w:rsidRPr="15724F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38D28605" w:rsidRPr="15724FE6">
        <w:rPr>
          <w:rFonts w:ascii="Times New Roman" w:eastAsia="Times New Roman" w:hAnsi="Times New Roman" w:cs="Times New Roman"/>
          <w:sz w:val="24"/>
          <w:szCs w:val="24"/>
        </w:rPr>
        <w:t>Daily return data used for PCA analysis and eigen</w:t>
      </w:r>
      <w:r w:rsidR="0CF488FB" w:rsidRPr="1572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D28605" w:rsidRPr="15724FE6">
        <w:rPr>
          <w:rFonts w:ascii="Times New Roman" w:eastAsia="Times New Roman" w:hAnsi="Times New Roman" w:cs="Times New Roman"/>
          <w:sz w:val="24"/>
          <w:szCs w:val="24"/>
        </w:rPr>
        <w:t>portfolio construction</w:t>
      </w:r>
      <w:r w:rsidR="43DACB40" w:rsidRPr="15724F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51361" w14:textId="31F30E02" w:rsidR="00AE65F9" w:rsidRPr="00AE65F9" w:rsidRDefault="644C491D" w:rsidP="00AE65F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5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Implementation </w:t>
      </w:r>
      <w:r w:rsidR="43DACB40" w:rsidRPr="00AE65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the Analysis in the Paper by Avellaneda and Lee. </w:t>
      </w:r>
    </w:p>
    <w:p w14:paraId="058C85AB" w14:textId="6F30504A" w:rsidR="43DACB40" w:rsidRPr="00AE65F9" w:rsidRDefault="43DACB40" w:rsidP="00AE65F9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5F9">
        <w:rPr>
          <w:rFonts w:ascii="Times New Roman" w:eastAsia="Times New Roman" w:hAnsi="Times New Roman" w:cs="Times New Roman"/>
          <w:b/>
          <w:bCs/>
          <w:sz w:val="24"/>
          <w:szCs w:val="24"/>
        </w:rPr>
        <w:t>Section 2</w:t>
      </w:r>
      <w:r w:rsidR="3FECE7C5" w:rsidRPr="00AE65F9">
        <w:rPr>
          <w:rFonts w:ascii="Times New Roman" w:eastAsia="Times New Roman" w:hAnsi="Times New Roman" w:cs="Times New Roman"/>
          <w:b/>
          <w:bCs/>
          <w:sz w:val="24"/>
          <w:szCs w:val="24"/>
        </w:rPr>
        <w:t>.1</w:t>
      </w:r>
    </w:p>
    <w:p w14:paraId="58085EF1" w14:textId="623DAF7B" w:rsidR="4D18E02C" w:rsidRDefault="4D18E02C" w:rsidP="003D142F">
      <w:pPr>
        <w:spacing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>According to the Paper, the daily return is calculated</w:t>
      </w:r>
      <w:r w:rsidR="521EA21B" w:rsidRPr="15724FE6">
        <w:rPr>
          <w:rFonts w:ascii="Times New Roman" w:eastAsia="Times New Roman" w:hAnsi="Times New Roman" w:cs="Times New Roman"/>
          <w:sz w:val="24"/>
          <w:szCs w:val="24"/>
        </w:rPr>
        <w:t xml:space="preserve"> by:</w:t>
      </w:r>
    </w:p>
    <w:p w14:paraId="41B17268" w14:textId="6F7345E3" w:rsidR="15724FE6" w:rsidRPr="00594170" w:rsidRDefault="00E317AF" w:rsidP="00594170">
      <w:pPr>
        <w:spacing w:line="360" w:lineRule="auto"/>
        <w:jc w:val="righ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</w:rPr>
            <m:t>, k = 1,⋯,M, i=1,⋯,N</m:t>
          </m:r>
        </m:oMath>
      </m:oMathPara>
    </w:p>
    <w:p w14:paraId="7EBD3157" w14:textId="410DAEC9" w:rsidR="61961380" w:rsidRDefault="10A01221" w:rsidP="003D142F">
      <w:pPr>
        <w:spacing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/>
          </w:rPr>
          <m:t>M=252 </m:t>
        </m:r>
      </m:oMath>
      <w:r w:rsidR="63C816FB" w:rsidRPr="15724FE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/>
          </w:rPr>
          <m:t>N=16 </m:t>
        </m:r>
      </m:oMath>
      <w:r w:rsidR="0243A0E8" w:rsidRPr="15724FE6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61961380" w:rsidRPr="15724FE6">
        <w:rPr>
          <w:rFonts w:ascii="Times New Roman" w:eastAsia="Times New Roman" w:hAnsi="Times New Roman" w:cs="Times New Roman"/>
          <w:sz w:val="24"/>
          <w:szCs w:val="24"/>
        </w:rPr>
        <w:t>is the price of stock i at time t adjusted for</w:t>
      </w:r>
      <w:r w:rsidR="00AE65F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61961380" w:rsidRPr="15724FE6">
        <w:rPr>
          <w:rFonts w:ascii="Times New Roman" w:eastAsia="Times New Roman" w:hAnsi="Times New Roman" w:cs="Times New Roman"/>
          <w:sz w:val="24"/>
          <w:szCs w:val="24"/>
        </w:rPr>
        <w:t xml:space="preserve">dividends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252</m:t>
            </m:r>
          </m:den>
        </m:f>
      </m:oMath>
    </w:p>
    <w:p w14:paraId="5EF7230D" w14:textId="1D7E9643" w:rsidR="09650DD9" w:rsidRDefault="09650DD9" w:rsidP="003D142F">
      <w:pPr>
        <w:spacing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>The return was standardized as follows:</w:t>
      </w:r>
    </w:p>
    <w:p w14:paraId="195E8870" w14:textId="7F69E110" w:rsidR="15724FE6" w:rsidRDefault="00E317AF" w:rsidP="00594170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</m:den>
          </m:f>
        </m:oMath>
      </m:oMathPara>
    </w:p>
    <w:p w14:paraId="79BBA00F" w14:textId="46CB0418" w:rsidR="10419D45" w:rsidRDefault="10419D45" w:rsidP="003D142F">
      <w:pPr>
        <w:spacing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5724FE6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15724FE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605A59" w14:textId="0F34E95A" w:rsidR="15724FE6" w:rsidRDefault="00E317AF" w:rsidP="00594170">
      <w:pPr>
        <w:spacing w:line="360" w:lineRule="auto"/>
        <w:jc w:val="center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14:paraId="6EDC8AEC" w14:textId="3015600A" w:rsidR="32C40EAD" w:rsidRDefault="32C40EAD" w:rsidP="003D142F">
      <w:pPr>
        <w:spacing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In our procedures, we used daily return </w:t>
      </w:r>
      <w:r w:rsidR="0D8B67A8" w:rsidRPr="15724FE6">
        <w:rPr>
          <w:rFonts w:ascii="Times New Roman" w:eastAsia="Times New Roman" w:hAnsi="Times New Roman" w:cs="Times New Roman"/>
          <w:sz w:val="24"/>
          <w:szCs w:val="24"/>
        </w:rPr>
        <w:t>adjusted for dividends from CRSP</w:t>
      </w:r>
      <w:r w:rsidR="3CCF928B" w:rsidRPr="15724FE6">
        <w:rPr>
          <w:rFonts w:ascii="Times New Roman" w:eastAsia="Times New Roman" w:hAnsi="Times New Roman" w:cs="Times New Roman"/>
          <w:sz w:val="24"/>
          <w:szCs w:val="24"/>
        </w:rPr>
        <w:t xml:space="preserve"> and used </w:t>
      </w:r>
      <w:proofErr w:type="spellStart"/>
      <w:r w:rsidR="3CCF928B" w:rsidRPr="15724FE6">
        <w:rPr>
          <w:rFonts w:ascii="Times New Roman" w:eastAsia="Times New Roman" w:hAnsi="Times New Roman" w:cs="Times New Roman"/>
          <w:i/>
          <w:iCs/>
          <w:sz w:val="24"/>
          <w:szCs w:val="24"/>
        </w:rPr>
        <w:t>StandardScalar</w:t>
      </w:r>
      <w:proofErr w:type="spellEnd"/>
      <w:r w:rsidR="3CCF928B" w:rsidRPr="15724F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3CCF928B" w:rsidRPr="15724FE6">
        <w:rPr>
          <w:rFonts w:ascii="Times New Roman" w:eastAsia="Times New Roman" w:hAnsi="Times New Roman" w:cs="Times New Roman"/>
          <w:i/>
          <w:iCs/>
          <w:sz w:val="24"/>
          <w:szCs w:val="24"/>
        </w:rPr>
        <w:t>sk</w:t>
      </w:r>
      <w:r w:rsidR="1D0090F3" w:rsidRPr="15724FE6">
        <w:rPr>
          <w:rFonts w:ascii="Times New Roman" w:eastAsia="Times New Roman" w:hAnsi="Times New Roman" w:cs="Times New Roman"/>
          <w:i/>
          <w:iCs/>
          <w:sz w:val="24"/>
          <w:szCs w:val="24"/>
        </w:rPr>
        <w:t>learn</w:t>
      </w:r>
      <w:proofErr w:type="spellEnd"/>
      <w:r w:rsidR="1D0090F3" w:rsidRPr="15724F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1D0090F3" w:rsidRPr="15724FE6">
        <w:rPr>
          <w:rFonts w:ascii="Times New Roman" w:eastAsia="Times New Roman" w:hAnsi="Times New Roman" w:cs="Times New Roman"/>
          <w:sz w:val="24"/>
          <w:szCs w:val="24"/>
        </w:rPr>
        <w:t xml:space="preserve">in Python </w:t>
      </w:r>
      <w:r w:rsidR="25695386" w:rsidRPr="15724FE6">
        <w:rPr>
          <w:rFonts w:ascii="Times New Roman" w:eastAsia="Times New Roman" w:hAnsi="Times New Roman" w:cs="Times New Roman"/>
          <w:sz w:val="24"/>
          <w:szCs w:val="24"/>
        </w:rPr>
        <w:t>to calculate</w:t>
      </w:r>
      <w:r w:rsidR="1D0090F3" w:rsidRPr="15724FE6">
        <w:rPr>
          <w:rFonts w:ascii="Times New Roman" w:eastAsia="Times New Roman" w:hAnsi="Times New Roman" w:cs="Times New Roman"/>
          <w:sz w:val="24"/>
          <w:szCs w:val="24"/>
        </w:rPr>
        <w:t xml:space="preserve"> standardiz</w:t>
      </w:r>
      <w:r w:rsidR="6DA550A9" w:rsidRPr="15724FE6">
        <w:rPr>
          <w:rFonts w:ascii="Times New Roman" w:eastAsia="Times New Roman" w:hAnsi="Times New Roman" w:cs="Times New Roman"/>
          <w:sz w:val="24"/>
          <w:szCs w:val="24"/>
        </w:rPr>
        <w:t>ed return matrix</w:t>
      </w:r>
      <w:r w:rsidR="1D0090F3" w:rsidRPr="15724FE6">
        <w:rPr>
          <w:rFonts w:ascii="Times New Roman" w:eastAsia="Times New Roman" w:hAnsi="Times New Roman" w:cs="Times New Roman"/>
          <w:sz w:val="24"/>
          <w:szCs w:val="24"/>
        </w:rPr>
        <w:t>.</w:t>
      </w:r>
      <w:r w:rsidR="5DA7A253" w:rsidRPr="15724FE6">
        <w:rPr>
          <w:rFonts w:ascii="Times New Roman" w:eastAsia="Times New Roman" w:hAnsi="Times New Roman" w:cs="Times New Roman"/>
          <w:sz w:val="24"/>
          <w:szCs w:val="24"/>
        </w:rPr>
        <w:t xml:space="preserve"> Then, we applied PCA analysis with 3 principal components on the standardized return matrix</w:t>
      </w:r>
      <w:r w:rsidR="1C4C8785" w:rsidRPr="15724FE6">
        <w:rPr>
          <w:rFonts w:ascii="Times New Roman" w:eastAsia="Times New Roman" w:hAnsi="Times New Roman" w:cs="Times New Roman"/>
          <w:sz w:val="24"/>
          <w:szCs w:val="24"/>
        </w:rPr>
        <w:t>. We also calculated the correlation matrix based on the standardized return matrix</w:t>
      </w:r>
      <w:r w:rsidR="5AF16CB6" w:rsidRPr="15724FE6">
        <w:rPr>
          <w:rFonts w:ascii="Times New Roman" w:eastAsia="Times New Roman" w:hAnsi="Times New Roman" w:cs="Times New Roman"/>
          <w:sz w:val="24"/>
          <w:szCs w:val="24"/>
        </w:rPr>
        <w:t>,</w:t>
      </w:r>
      <w:r w:rsidR="1C4C8785" w:rsidRPr="15724FE6">
        <w:rPr>
          <w:rFonts w:ascii="Times New Roman" w:eastAsia="Times New Roman" w:hAnsi="Times New Roman" w:cs="Times New Roman"/>
          <w:sz w:val="24"/>
          <w:szCs w:val="24"/>
        </w:rPr>
        <w:t xml:space="preserve"> and generated eigenvalues </w:t>
      </w:r>
      <w:r w:rsidR="51BAB97A" w:rsidRPr="15724FE6">
        <w:rPr>
          <w:rFonts w:ascii="Times New Roman" w:eastAsia="Times New Roman" w:hAnsi="Times New Roman" w:cs="Times New Roman"/>
          <w:sz w:val="24"/>
          <w:szCs w:val="24"/>
        </w:rPr>
        <w:t>and plotted them from the largest value to the lowest value. Below is the graph we plot and the graph in the paper:</w:t>
      </w:r>
    </w:p>
    <w:p w14:paraId="6834CCFB" w14:textId="1F50DBDD" w:rsidR="51BAB97A" w:rsidRDefault="51BAB97A" w:rsidP="00E317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05052A" wp14:editId="6050C98E">
            <wp:extent cx="4572000" cy="3619500"/>
            <wp:effectExtent l="0" t="0" r="0" b="0"/>
            <wp:docPr id="670687651" name="图片 670687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33DF" w14:textId="4BDE75F9" w:rsidR="51BAB97A" w:rsidRDefault="51BAB97A" w:rsidP="00E317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AA430E" wp14:editId="4192094C">
            <wp:extent cx="4572000" cy="2838450"/>
            <wp:effectExtent l="0" t="0" r="0" b="0"/>
            <wp:docPr id="611753453" name="图片 61175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A57C" w14:textId="73152494" w:rsidR="51BAB97A" w:rsidRDefault="51BAB97A" w:rsidP="003D142F">
      <w:p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73F95B0A" w:rsidRPr="15724FE6">
        <w:rPr>
          <w:rFonts w:ascii="Times New Roman" w:eastAsia="Times New Roman" w:hAnsi="Times New Roman" w:cs="Times New Roman"/>
          <w:sz w:val="24"/>
          <w:szCs w:val="24"/>
        </w:rPr>
        <w:t>graphs above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, we can see that </w:t>
      </w:r>
      <w:r w:rsidR="3B96AB64" w:rsidRPr="15724FE6">
        <w:rPr>
          <w:rFonts w:ascii="Times New Roman" w:eastAsia="Times New Roman" w:hAnsi="Times New Roman" w:cs="Times New Roman"/>
          <w:sz w:val="24"/>
          <w:szCs w:val="24"/>
        </w:rPr>
        <w:t xml:space="preserve">both graphs 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>show a decreasing trend of the mag</w:t>
      </w:r>
      <w:r w:rsidR="656F9EF4" w:rsidRPr="15724FE6">
        <w:rPr>
          <w:rFonts w:ascii="Times New Roman" w:eastAsia="Times New Roman" w:hAnsi="Times New Roman" w:cs="Times New Roman"/>
          <w:sz w:val="24"/>
          <w:szCs w:val="24"/>
        </w:rPr>
        <w:t>nitude of eigenvalues.</w:t>
      </w:r>
    </w:p>
    <w:p w14:paraId="56987D9E" w14:textId="76823BE1" w:rsidR="5C272EA5" w:rsidRDefault="5C272EA5" w:rsidP="003D142F">
      <w:p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>We later conducted a cursory analysis on eigenvalues. Below is the graph we plot and the graph in the paper:</w:t>
      </w:r>
    </w:p>
    <w:p w14:paraId="03C01F92" w14:textId="35F9D6D2" w:rsidR="5C272EA5" w:rsidRDefault="5C272EA5" w:rsidP="00E317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FF071C" wp14:editId="2DE2CB38">
            <wp:extent cx="4572000" cy="3419475"/>
            <wp:effectExtent l="0" t="0" r="0" b="0"/>
            <wp:docPr id="172138723" name="图片 172138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037A" w14:textId="3E72C54E" w:rsidR="5C272EA5" w:rsidRDefault="5C272EA5" w:rsidP="00E317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882F27" wp14:editId="5D26969A">
            <wp:extent cx="4572000" cy="2867025"/>
            <wp:effectExtent l="0" t="0" r="0" b="0"/>
            <wp:docPr id="512256040" name="图片 512256040" title="正在插入图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0A5F" w14:textId="6DEF4121" w:rsidR="5C272EA5" w:rsidRDefault="5C272EA5" w:rsidP="003D142F">
      <w:p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>From graphs above, we can see that both graphs show similar trends that high density is shown on the left side of the graph</w:t>
      </w:r>
      <w:r w:rsidR="2981743B" w:rsidRPr="15724FE6">
        <w:rPr>
          <w:rFonts w:ascii="Times New Roman" w:eastAsia="Times New Roman" w:hAnsi="Times New Roman" w:cs="Times New Roman"/>
          <w:sz w:val="24"/>
          <w:szCs w:val="24"/>
        </w:rPr>
        <w:t xml:space="preserve"> while a minor increase on the right side.</w:t>
      </w:r>
    </w:p>
    <w:p w14:paraId="4168919A" w14:textId="5F26FC5E" w:rsidR="43DACB40" w:rsidRPr="003D142F" w:rsidRDefault="6E08BDAE" w:rsidP="003D142F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b/>
          <w:bCs/>
          <w:sz w:val="24"/>
          <w:szCs w:val="24"/>
        </w:rPr>
        <w:t>Section 2.</w:t>
      </w:r>
      <w:r w:rsidR="08D45CCF" w:rsidRPr="003D142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220895C7" w14:textId="5FC7D197" w:rsidR="6E08BDAE" w:rsidRDefault="6E08BDAE" w:rsidP="003D142F">
      <w:pPr>
        <w:spacing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section, we constructed </w:t>
      </w:r>
      <w:r w:rsidR="2CADA2E0" w:rsidRPr="15724F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eigen portfolio and </w:t>
      </w:r>
      <w:r w:rsidR="545152C7" w:rsidRPr="15724F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>market cap weighted portfolio</w:t>
      </w:r>
      <w:r w:rsidR="4DDF6269" w:rsidRPr="15724FE6">
        <w:rPr>
          <w:rFonts w:ascii="Times New Roman" w:eastAsia="Times New Roman" w:hAnsi="Times New Roman" w:cs="Times New Roman"/>
          <w:sz w:val="24"/>
          <w:szCs w:val="24"/>
        </w:rPr>
        <w:t xml:space="preserve"> to calculate their cumulative returns</w:t>
      </w:r>
      <w:r w:rsidR="73CB2B2D" w:rsidRPr="15724F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2309412" w:rsidRPr="15724FE6">
        <w:rPr>
          <w:rFonts w:ascii="Times New Roman" w:eastAsia="Times New Roman" w:hAnsi="Times New Roman" w:cs="Times New Roman"/>
          <w:sz w:val="24"/>
          <w:szCs w:val="24"/>
        </w:rPr>
        <w:t>Below is the cumulative return graph we plot and the graph in the paper:</w:t>
      </w:r>
    </w:p>
    <w:p w14:paraId="1B244E3F" w14:textId="3C38FC48" w:rsidR="12309412" w:rsidRDefault="12309412" w:rsidP="00E317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06B02C" wp14:editId="41B6051C">
            <wp:extent cx="4572000" cy="3495675"/>
            <wp:effectExtent l="0" t="0" r="0" b="0"/>
            <wp:docPr id="590211501" name="图片 59021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2441" w14:textId="4FD4C9C1" w:rsidR="12309412" w:rsidRDefault="12309412" w:rsidP="00E317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A41DD2" wp14:editId="66D16964">
            <wp:extent cx="4572000" cy="2505075"/>
            <wp:effectExtent l="0" t="0" r="0" b="0"/>
            <wp:docPr id="2093743152" name="图片 20937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34A" w14:textId="4FD045A4" w:rsidR="12309412" w:rsidRDefault="12309412" w:rsidP="003D142F">
      <w:pPr>
        <w:spacing w:line="36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>We discovered that our graph showed high similarity with graph provided in the paper that both port</w:t>
      </w:r>
      <w:r w:rsidR="6235BC10" w:rsidRPr="15724FE6">
        <w:rPr>
          <w:rFonts w:ascii="Times New Roman" w:eastAsia="Times New Roman" w:hAnsi="Times New Roman" w:cs="Times New Roman"/>
          <w:sz w:val="24"/>
          <w:szCs w:val="24"/>
        </w:rPr>
        <w:t>folios showed a comparative evolution, and the cumulative return of the eigen portfolio is slightly lower than market cap weighted portfolio.</w:t>
      </w:r>
      <w:r w:rsidR="002D13DB" w:rsidRPr="15724FE6">
        <w:rPr>
          <w:rFonts w:ascii="Times New Roman" w:eastAsia="Times New Roman" w:hAnsi="Times New Roman" w:cs="Times New Roman"/>
          <w:sz w:val="24"/>
          <w:szCs w:val="24"/>
        </w:rPr>
        <w:t xml:space="preserve"> Hence, this result matches the view in the paper that two portfolios are not identical but are good proxies for each other.</w:t>
      </w:r>
    </w:p>
    <w:p w14:paraId="51453584" w14:textId="590FBFC1" w:rsidR="510378E5" w:rsidRPr="003D142F" w:rsidRDefault="510378E5" w:rsidP="003D142F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</w:t>
      </w:r>
      <w:r w:rsidR="19495C3A" w:rsidRPr="003D14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relationship between Signs of the Second and Third Eigenvectors and</w:t>
      </w:r>
      <w:r w:rsidR="76523B6B" w:rsidRPr="003D14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</w:t>
      </w:r>
      <w:r w:rsidR="19495C3A" w:rsidRPr="003D14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Belonging Industry of the Stock</w:t>
      </w:r>
    </w:p>
    <w:p w14:paraId="1FB52FE8" w14:textId="7582AED7" w:rsidR="3028941C" w:rsidRDefault="3028941C" w:rsidP="003D142F">
      <w:pPr>
        <w:spacing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>In this section, we</w:t>
      </w:r>
      <w:r w:rsidR="7FFB9D01" w:rsidRPr="15724FE6">
        <w:rPr>
          <w:rFonts w:ascii="Times New Roman" w:eastAsia="Times New Roman" w:hAnsi="Times New Roman" w:cs="Times New Roman"/>
          <w:sz w:val="24"/>
          <w:szCs w:val="24"/>
        </w:rPr>
        <w:t xml:space="preserve"> used the result of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 PCA analysis with 3 principal components on the standardized return matrix.</w:t>
      </w:r>
      <w:r w:rsidR="20F8B40A" w:rsidRPr="1572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F51710" w:rsidRPr="15724FE6">
        <w:rPr>
          <w:rFonts w:ascii="Times New Roman" w:eastAsia="Times New Roman" w:hAnsi="Times New Roman" w:cs="Times New Roman"/>
          <w:sz w:val="24"/>
          <w:szCs w:val="24"/>
        </w:rPr>
        <w:t>We retrieved the second and third eigenvectors of each stock and merged them with the industry code. Below is the table: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5724FE6" w14:paraId="351EAF17" w14:textId="77777777" w:rsidTr="003D142F">
        <w:trPr>
          <w:trHeight w:val="300"/>
          <w:jc w:val="center"/>
        </w:trPr>
        <w:tc>
          <w:tcPr>
            <w:tcW w:w="2160" w:type="dxa"/>
            <w:vAlign w:val="center"/>
          </w:tcPr>
          <w:p w14:paraId="58E5F9E5" w14:textId="51611B79" w:rsidR="3C99FC42" w:rsidRDefault="3C99FC42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Stock</w:t>
            </w:r>
          </w:p>
        </w:tc>
        <w:tc>
          <w:tcPr>
            <w:tcW w:w="2160" w:type="dxa"/>
            <w:vAlign w:val="center"/>
          </w:tcPr>
          <w:p w14:paraId="59D070FE" w14:textId="361DE204" w:rsidR="2E3869B0" w:rsidRDefault="2E3869B0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Second Eigenvector</w:t>
            </w:r>
          </w:p>
        </w:tc>
        <w:tc>
          <w:tcPr>
            <w:tcW w:w="2160" w:type="dxa"/>
            <w:vAlign w:val="center"/>
          </w:tcPr>
          <w:p w14:paraId="5D01C89D" w14:textId="7033FA65" w:rsidR="3C99FC42" w:rsidRDefault="3C99FC42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Third</w:t>
            </w:r>
            <w:r w:rsidR="4C0BC667" w:rsidRPr="15724F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15724F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Eigenvector</w:t>
            </w:r>
          </w:p>
        </w:tc>
        <w:tc>
          <w:tcPr>
            <w:tcW w:w="2160" w:type="dxa"/>
            <w:vAlign w:val="center"/>
          </w:tcPr>
          <w:p w14:paraId="0F614B60" w14:textId="1560992A" w:rsidR="3C99FC42" w:rsidRDefault="3C99FC42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North American Industry Classification System</w:t>
            </w:r>
          </w:p>
        </w:tc>
      </w:tr>
      <w:tr w:rsidR="15724FE6" w14:paraId="04FA5362" w14:textId="77777777" w:rsidTr="003D142F">
        <w:trPr>
          <w:trHeight w:val="300"/>
          <w:jc w:val="center"/>
        </w:trPr>
        <w:tc>
          <w:tcPr>
            <w:tcW w:w="2160" w:type="dxa"/>
            <w:vAlign w:val="center"/>
          </w:tcPr>
          <w:p w14:paraId="5FCC861B" w14:textId="78CE6C22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EOG</w:t>
            </w:r>
          </w:p>
        </w:tc>
        <w:tc>
          <w:tcPr>
            <w:tcW w:w="2160" w:type="dxa"/>
            <w:vAlign w:val="center"/>
          </w:tcPr>
          <w:p w14:paraId="753B784B" w14:textId="5965F865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-0.450143</w:t>
            </w:r>
          </w:p>
        </w:tc>
        <w:tc>
          <w:tcPr>
            <w:tcW w:w="2160" w:type="dxa"/>
            <w:vAlign w:val="center"/>
          </w:tcPr>
          <w:p w14:paraId="3E891829" w14:textId="60FA85B6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-0.049374</w:t>
            </w:r>
          </w:p>
        </w:tc>
        <w:tc>
          <w:tcPr>
            <w:tcW w:w="2160" w:type="dxa"/>
            <w:vAlign w:val="center"/>
          </w:tcPr>
          <w:p w14:paraId="11F845B5" w14:textId="65CC0191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211120</w:t>
            </w:r>
          </w:p>
        </w:tc>
      </w:tr>
      <w:tr w:rsidR="15724FE6" w14:paraId="16A51A4F" w14:textId="77777777" w:rsidTr="003D142F">
        <w:trPr>
          <w:trHeight w:val="300"/>
          <w:jc w:val="center"/>
        </w:trPr>
        <w:tc>
          <w:tcPr>
            <w:tcW w:w="2160" w:type="dxa"/>
            <w:vAlign w:val="center"/>
          </w:tcPr>
          <w:p w14:paraId="7DC659A5" w14:textId="1377F015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SLB</w:t>
            </w:r>
          </w:p>
        </w:tc>
        <w:tc>
          <w:tcPr>
            <w:tcW w:w="2160" w:type="dxa"/>
            <w:vAlign w:val="center"/>
          </w:tcPr>
          <w:p w14:paraId="0F7CF6C7" w14:textId="324CBDC0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-0.423821</w:t>
            </w:r>
          </w:p>
        </w:tc>
        <w:tc>
          <w:tcPr>
            <w:tcW w:w="2160" w:type="dxa"/>
            <w:vAlign w:val="center"/>
          </w:tcPr>
          <w:p w14:paraId="06F948E9" w14:textId="0DC9A5FA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-0.103848</w:t>
            </w:r>
          </w:p>
        </w:tc>
        <w:tc>
          <w:tcPr>
            <w:tcW w:w="2160" w:type="dxa"/>
            <w:vAlign w:val="center"/>
          </w:tcPr>
          <w:p w14:paraId="5CE8CAAB" w14:textId="22D92F77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213112</w:t>
            </w:r>
          </w:p>
        </w:tc>
      </w:tr>
      <w:tr w:rsidR="15724FE6" w14:paraId="45954BB0" w14:textId="77777777" w:rsidTr="003D142F">
        <w:trPr>
          <w:trHeight w:val="300"/>
          <w:jc w:val="center"/>
        </w:trPr>
        <w:tc>
          <w:tcPr>
            <w:tcW w:w="2160" w:type="dxa"/>
            <w:vAlign w:val="center"/>
          </w:tcPr>
          <w:p w14:paraId="215DAFF7" w14:textId="09141D89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XOM</w:t>
            </w:r>
          </w:p>
        </w:tc>
        <w:tc>
          <w:tcPr>
            <w:tcW w:w="2160" w:type="dxa"/>
            <w:vAlign w:val="center"/>
          </w:tcPr>
          <w:p w14:paraId="64C0DD33" w14:textId="4CB26B5E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-0.468001</w:t>
            </w:r>
          </w:p>
        </w:tc>
        <w:tc>
          <w:tcPr>
            <w:tcW w:w="2160" w:type="dxa"/>
            <w:vAlign w:val="center"/>
          </w:tcPr>
          <w:p w14:paraId="699DE958" w14:textId="24C0A7FD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-0.032569</w:t>
            </w:r>
          </w:p>
        </w:tc>
        <w:tc>
          <w:tcPr>
            <w:tcW w:w="2160" w:type="dxa"/>
            <w:vAlign w:val="center"/>
          </w:tcPr>
          <w:p w14:paraId="4E86C788" w14:textId="5143328C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324110</w:t>
            </w:r>
          </w:p>
        </w:tc>
      </w:tr>
      <w:tr w:rsidR="15724FE6" w14:paraId="6439DE6E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FFE599" w:themeFill="accent4" w:themeFillTint="66"/>
            <w:vAlign w:val="center"/>
          </w:tcPr>
          <w:p w14:paraId="47B159C1" w14:textId="7C0A8FDC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AMD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07BED31E" w14:textId="70D4CF17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0.073633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7BF64B77" w14:textId="0117DA6B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0.412608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54C2D351" w14:textId="3988C0F5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334413</w:t>
            </w:r>
          </w:p>
        </w:tc>
      </w:tr>
      <w:tr w:rsidR="15724FE6" w14:paraId="4F5110DE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FFE599" w:themeFill="accent4" w:themeFillTint="66"/>
            <w:vAlign w:val="center"/>
          </w:tcPr>
          <w:p w14:paraId="2A8EEB0C" w14:textId="24F51DBB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AVGO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7C40D604" w14:textId="7BD2E21B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0.069199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0BE684BB" w14:textId="39036D07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0.376026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248CE1A7" w14:textId="3B3579F4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334413</w:t>
            </w:r>
          </w:p>
        </w:tc>
      </w:tr>
      <w:tr w:rsidR="15724FE6" w14:paraId="4C1C2FCF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FFE599" w:themeFill="accent4" w:themeFillTint="66"/>
            <w:vAlign w:val="center"/>
          </w:tcPr>
          <w:p w14:paraId="64B07C97" w14:textId="1DFEFC0F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INTC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3F4279FF" w14:textId="6FCF999C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0.034908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0591EABD" w14:textId="58207404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0.417784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22ED7F31" w14:textId="5414EBF0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334413</w:t>
            </w:r>
          </w:p>
        </w:tc>
      </w:tr>
      <w:tr w:rsidR="15724FE6" w14:paraId="7971D3F4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FFE599" w:themeFill="accent4" w:themeFillTint="66"/>
            <w:vAlign w:val="center"/>
          </w:tcPr>
          <w:p w14:paraId="1DC9F476" w14:textId="35C9DE25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NVDA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3F61FD01" w14:textId="4B9491BE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0.098801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6CF7F79C" w14:textId="0422C663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0.420549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3E6CA8DC" w14:textId="77942835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334413</w:t>
            </w:r>
          </w:p>
        </w:tc>
      </w:tr>
      <w:tr w:rsidR="15724FE6" w14:paraId="40F1A1EB" w14:textId="77777777" w:rsidTr="003D142F">
        <w:trPr>
          <w:trHeight w:val="300"/>
          <w:jc w:val="center"/>
        </w:trPr>
        <w:tc>
          <w:tcPr>
            <w:tcW w:w="2160" w:type="dxa"/>
            <w:vAlign w:val="center"/>
          </w:tcPr>
          <w:p w14:paraId="627EA662" w14:textId="5E02335D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CVX</w:t>
            </w:r>
          </w:p>
        </w:tc>
        <w:tc>
          <w:tcPr>
            <w:tcW w:w="2160" w:type="dxa"/>
            <w:vAlign w:val="center"/>
          </w:tcPr>
          <w:p w14:paraId="6059C578" w14:textId="782D8DAC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0.451722</w:t>
            </w:r>
          </w:p>
        </w:tc>
        <w:tc>
          <w:tcPr>
            <w:tcW w:w="2160" w:type="dxa"/>
            <w:vAlign w:val="center"/>
          </w:tcPr>
          <w:p w14:paraId="58720BB4" w14:textId="2686E1ED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0.026942</w:t>
            </w:r>
          </w:p>
        </w:tc>
        <w:tc>
          <w:tcPr>
            <w:tcW w:w="2160" w:type="dxa"/>
            <w:vAlign w:val="center"/>
          </w:tcPr>
          <w:p w14:paraId="27210C3E" w14:textId="7127DF37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447190</w:t>
            </w:r>
          </w:p>
        </w:tc>
      </w:tr>
      <w:tr w:rsidR="15724FE6" w14:paraId="3C27C30B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BDD6EE" w:themeFill="accent5" w:themeFillTint="66"/>
            <w:vAlign w:val="center"/>
          </w:tcPr>
          <w:p w14:paraId="5F66A440" w14:textId="23B43467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AAL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197830C3" w14:textId="6F91BA97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0.218933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1CCFABB6" w14:textId="12747577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0.210610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5465BEA3" w14:textId="0A670B61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481111</w:t>
            </w:r>
          </w:p>
        </w:tc>
      </w:tr>
      <w:tr w:rsidR="15724FE6" w14:paraId="5AC72F4C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BDD6EE" w:themeFill="accent5" w:themeFillTint="66"/>
            <w:vAlign w:val="center"/>
          </w:tcPr>
          <w:p w14:paraId="527F2836" w14:textId="293FD15A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DAL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0C566D15" w14:textId="4F8AC190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0.203492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3A36ABC8" w14:textId="2D61BDD9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0.259594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06F9BAAC" w14:textId="249BE9DE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481111</w:t>
            </w:r>
          </w:p>
        </w:tc>
      </w:tr>
      <w:tr w:rsidR="15724FE6" w14:paraId="32BC2CA9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BDD6EE" w:themeFill="accent5" w:themeFillTint="66"/>
            <w:vAlign w:val="center"/>
          </w:tcPr>
          <w:p w14:paraId="129E05C8" w14:textId="422DBC2E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LUV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2E1D9775" w14:textId="04EAAF90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0.174883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65A1D5B2" w14:textId="0C1ED48D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0.220278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1F1B66AA" w14:textId="4E48413A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481111</w:t>
            </w:r>
          </w:p>
        </w:tc>
      </w:tr>
      <w:tr w:rsidR="15724FE6" w14:paraId="5D67276A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BDD6EE" w:themeFill="accent5" w:themeFillTint="66"/>
            <w:vAlign w:val="center"/>
          </w:tcPr>
          <w:p w14:paraId="700F2A15" w14:textId="09523C03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UAL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660F5112" w14:textId="4B992360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0.218353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62EE33EA" w14:textId="58031F08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0.266802</w:t>
            </w:r>
          </w:p>
        </w:tc>
        <w:tc>
          <w:tcPr>
            <w:tcW w:w="2160" w:type="dxa"/>
            <w:shd w:val="clear" w:color="auto" w:fill="BDD6EE" w:themeFill="accent5" w:themeFillTint="66"/>
            <w:vAlign w:val="center"/>
          </w:tcPr>
          <w:p w14:paraId="68256BD9" w14:textId="129D555F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481111</w:t>
            </w:r>
          </w:p>
        </w:tc>
      </w:tr>
      <w:tr w:rsidR="15724FE6" w14:paraId="16D735F2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A8D08D" w:themeFill="accent6" w:themeFillTint="99"/>
            <w:vAlign w:val="center"/>
          </w:tcPr>
          <w:p w14:paraId="306E4B75" w14:textId="2EAFDF81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3E2539CD" w14:textId="6FE6FA94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0.000662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16711531" w14:textId="63CD5BC5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0.165386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02FE9B56" w14:textId="5D0E9274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522110</w:t>
            </w:r>
          </w:p>
        </w:tc>
      </w:tr>
      <w:tr w:rsidR="15724FE6" w14:paraId="3D79D9EE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A8D08D" w:themeFill="accent6" w:themeFillTint="99"/>
            <w:vAlign w:val="center"/>
          </w:tcPr>
          <w:p w14:paraId="69A49CFA" w14:textId="78E30A05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JPM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0996BCC6" w14:textId="6B771D0B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0.025836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2898D892" w14:textId="0C714DC1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0.158595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4AE73FD8" w14:textId="62684AD0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522110</w:t>
            </w:r>
          </w:p>
        </w:tc>
      </w:tr>
      <w:tr w:rsidR="15724FE6" w14:paraId="12A9D472" w14:textId="77777777" w:rsidTr="003D142F">
        <w:trPr>
          <w:trHeight w:val="300"/>
          <w:jc w:val="center"/>
        </w:trPr>
        <w:tc>
          <w:tcPr>
            <w:tcW w:w="2160" w:type="dxa"/>
            <w:shd w:val="clear" w:color="auto" w:fill="A8D08D" w:themeFill="accent6" w:themeFillTint="99"/>
            <w:vAlign w:val="center"/>
          </w:tcPr>
          <w:p w14:paraId="0DAD08E0" w14:textId="4310EC75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WFC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02458B8B" w14:textId="7979043C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0.032731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02F73C1B" w14:textId="01AEBC8D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0.194900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529105A4" w14:textId="15611218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522110</w:t>
            </w:r>
          </w:p>
        </w:tc>
      </w:tr>
      <w:tr w:rsidR="15724FE6" w14:paraId="38E99F2F" w14:textId="77777777" w:rsidTr="003D142F">
        <w:trPr>
          <w:trHeight w:val="300"/>
          <w:jc w:val="center"/>
        </w:trPr>
        <w:tc>
          <w:tcPr>
            <w:tcW w:w="2160" w:type="dxa"/>
            <w:vAlign w:val="center"/>
          </w:tcPr>
          <w:p w14:paraId="1730DD8F" w14:textId="1FC6725C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BRK</w:t>
            </w:r>
          </w:p>
        </w:tc>
        <w:tc>
          <w:tcPr>
            <w:tcW w:w="2160" w:type="dxa"/>
            <w:vAlign w:val="center"/>
          </w:tcPr>
          <w:p w14:paraId="24AC60C2" w14:textId="042463CF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0.064327</w:t>
            </w:r>
          </w:p>
        </w:tc>
        <w:tc>
          <w:tcPr>
            <w:tcW w:w="2160" w:type="dxa"/>
            <w:vAlign w:val="center"/>
          </w:tcPr>
          <w:p w14:paraId="16F81C4B" w14:textId="08D17FC3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0.001756</w:t>
            </w:r>
          </w:p>
        </w:tc>
        <w:tc>
          <w:tcPr>
            <w:tcW w:w="2160" w:type="dxa"/>
            <w:vAlign w:val="center"/>
          </w:tcPr>
          <w:p w14:paraId="30E68D06" w14:textId="48A17D79" w:rsidR="74FFEFB8" w:rsidRDefault="74FFEFB8" w:rsidP="15724F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5724F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524126</w:t>
            </w:r>
          </w:p>
        </w:tc>
      </w:tr>
    </w:tbl>
    <w:p w14:paraId="49F49D37" w14:textId="77306D2A" w:rsidR="5A2DBDD7" w:rsidRDefault="5A2DBDD7" w:rsidP="003D142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63C082E0" w:rsidRPr="15724FE6">
        <w:rPr>
          <w:rFonts w:ascii="Times New Roman" w:eastAsia="Times New Roman" w:hAnsi="Times New Roman" w:cs="Times New Roman"/>
          <w:sz w:val="24"/>
          <w:szCs w:val="24"/>
        </w:rPr>
        <w:t>the table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 above, we can see that stocks in the same industry have </w:t>
      </w:r>
      <w:r w:rsidR="30212F3E" w:rsidRPr="15724FE6">
        <w:rPr>
          <w:rFonts w:ascii="Times New Roman" w:eastAsia="Times New Roman" w:hAnsi="Times New Roman" w:cs="Times New Roman"/>
          <w:sz w:val="24"/>
          <w:szCs w:val="24"/>
        </w:rPr>
        <w:t>the same</w:t>
      </w: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 signs of the second and third eigenvectors</w:t>
      </w:r>
      <w:r w:rsidR="301DA8CE" w:rsidRPr="15724F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6B66C" w14:textId="6B47034E" w:rsidR="4FF9FE16" w:rsidRPr="003D142F" w:rsidRDefault="4FF9FE16" w:rsidP="003D142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1618D3C5" w14:textId="313DCA4E" w:rsidR="3E5C0004" w:rsidRDefault="3E5C0004" w:rsidP="15724F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724FE6">
        <w:rPr>
          <w:rFonts w:ascii="Times New Roman" w:eastAsia="Times New Roman" w:hAnsi="Times New Roman" w:cs="Times New Roman"/>
          <w:sz w:val="24"/>
          <w:szCs w:val="24"/>
        </w:rPr>
        <w:t xml:space="preserve">Through replication of the original results using a smaller dataset, our project aimed to </w:t>
      </w:r>
      <w:r w:rsidR="02E34978" w:rsidRPr="15724FE6">
        <w:rPr>
          <w:rFonts w:ascii="Times New Roman" w:eastAsia="Times New Roman" w:hAnsi="Times New Roman" w:cs="Times New Roman"/>
          <w:sz w:val="24"/>
          <w:szCs w:val="24"/>
        </w:rPr>
        <w:t xml:space="preserve">validate the robustness and generalizability of the findings </w:t>
      </w:r>
      <w:r w:rsidR="012E47C1" w:rsidRPr="15724FE6">
        <w:rPr>
          <w:rFonts w:ascii="Times New Roman" w:eastAsia="Times New Roman" w:hAnsi="Times New Roman" w:cs="Times New Roman"/>
          <w:sz w:val="24"/>
          <w:szCs w:val="24"/>
        </w:rPr>
        <w:t>to a more constrained context. Despite the scale reduction, our results closely mirror those reported in the original paper</w:t>
      </w:r>
      <w:r w:rsidR="47EEC50D" w:rsidRPr="15724FE6">
        <w:rPr>
          <w:rFonts w:ascii="Times New Roman" w:eastAsia="Times New Roman" w:hAnsi="Times New Roman" w:cs="Times New Roman"/>
          <w:sz w:val="24"/>
          <w:szCs w:val="24"/>
        </w:rPr>
        <w:t xml:space="preserve">, demonstrating the consistency of PCA and </w:t>
      </w:r>
      <w:r w:rsidR="6D6E1C72" w:rsidRPr="15724FE6">
        <w:rPr>
          <w:rFonts w:ascii="Times New Roman" w:eastAsia="Times New Roman" w:hAnsi="Times New Roman" w:cs="Times New Roman"/>
          <w:sz w:val="24"/>
          <w:szCs w:val="24"/>
        </w:rPr>
        <w:t>its ability to group</w:t>
      </w:r>
      <w:r w:rsidR="42B056F0" w:rsidRPr="15724FE6">
        <w:rPr>
          <w:rFonts w:ascii="Times New Roman" w:eastAsia="Times New Roman" w:hAnsi="Times New Roman" w:cs="Times New Roman"/>
          <w:sz w:val="24"/>
          <w:szCs w:val="24"/>
        </w:rPr>
        <w:t xml:space="preserve"> stoc</w:t>
      </w:r>
      <w:r w:rsidR="0FA85E17" w:rsidRPr="15724FE6">
        <w:rPr>
          <w:rFonts w:ascii="Times New Roman" w:eastAsia="Times New Roman" w:hAnsi="Times New Roman" w:cs="Times New Roman"/>
          <w:sz w:val="24"/>
          <w:szCs w:val="24"/>
        </w:rPr>
        <w:t>ks in a matter that corresponds to industries.</w:t>
      </w:r>
    </w:p>
    <w:p w14:paraId="6A265394" w14:textId="44B75D81" w:rsidR="37C9D09C" w:rsidRPr="003D142F" w:rsidRDefault="37C9D09C" w:rsidP="003D142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5617C06C" w14:textId="64C5AA7B" w:rsidR="4C304CD9" w:rsidRPr="003D142F" w:rsidRDefault="4C304CD9" w:rsidP="003D14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sz w:val="24"/>
          <w:szCs w:val="24"/>
        </w:rPr>
        <w:t>Marco Avellaneda &amp; Jeong-Hyun Lee (2010) Statistical arbitrage in the US</w:t>
      </w:r>
      <w:r w:rsidR="003D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42F">
        <w:rPr>
          <w:rFonts w:ascii="Times New Roman" w:eastAsia="Times New Roman" w:hAnsi="Times New Roman" w:cs="Times New Roman"/>
          <w:sz w:val="24"/>
          <w:szCs w:val="24"/>
        </w:rPr>
        <w:t>equities market, Quantitative Finance, 10:7, 761-782, DOI: 10.1080/14697680903124632</w:t>
      </w:r>
    </w:p>
    <w:p w14:paraId="786006FF" w14:textId="24A3FE5F" w:rsidR="4C304CD9" w:rsidRPr="003D142F" w:rsidRDefault="4C304CD9" w:rsidP="003D14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Wharton Research Data Services. (2022). Wharton Financial Data Services. Retrieved from </w:t>
      </w:r>
      <w:hyperlink r:id="rId13">
        <w:r w:rsidRPr="003D142F">
          <w:rPr>
            <w:rStyle w:val="a5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https://wrds-www.wharton.upenn.edu/</w:t>
        </w:r>
      </w:hyperlink>
    </w:p>
    <w:p w14:paraId="19599759" w14:textId="33806755" w:rsidR="3769370F" w:rsidRPr="003D142F" w:rsidRDefault="3769370F" w:rsidP="003D14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sz w:val="24"/>
          <w:szCs w:val="24"/>
        </w:rPr>
        <w:t xml:space="preserve">Pandas Development Team. (2023). pandas (1.3.3). Retrieved from </w:t>
      </w:r>
      <w:hyperlink r:id="rId14">
        <w:r w:rsidRPr="003D142F">
          <w:rPr>
            <w:rStyle w:val="a5"/>
            <w:rFonts w:ascii="Times New Roman" w:eastAsia="Times New Roman" w:hAnsi="Times New Roman" w:cs="Times New Roman"/>
            <w:color w:val="auto"/>
            <w:sz w:val="24"/>
            <w:szCs w:val="24"/>
          </w:rPr>
          <w:t>https://pandas.pydata.org/</w:t>
        </w:r>
      </w:hyperlink>
    </w:p>
    <w:p w14:paraId="261D586C" w14:textId="79C61061" w:rsidR="3769370F" w:rsidRPr="003D142F" w:rsidRDefault="3769370F" w:rsidP="003D14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sz w:val="24"/>
          <w:szCs w:val="24"/>
        </w:rPr>
        <w:t xml:space="preserve">NumPy Community. (2023). NumPy (1.21.2). Retrieved from </w:t>
      </w:r>
      <w:hyperlink r:id="rId15">
        <w:r w:rsidRPr="003D142F">
          <w:rPr>
            <w:rStyle w:val="a5"/>
            <w:rFonts w:ascii="Times New Roman" w:eastAsia="Times New Roman" w:hAnsi="Times New Roman" w:cs="Times New Roman"/>
            <w:color w:val="auto"/>
            <w:sz w:val="24"/>
            <w:szCs w:val="24"/>
          </w:rPr>
          <w:t>https://numpy.org/</w:t>
        </w:r>
      </w:hyperlink>
    </w:p>
    <w:p w14:paraId="74BF0AF4" w14:textId="1961416C" w:rsidR="3769370F" w:rsidRPr="003D142F" w:rsidRDefault="3769370F" w:rsidP="003D14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sz w:val="24"/>
          <w:szCs w:val="24"/>
        </w:rPr>
        <w:t xml:space="preserve">Matplotlib Development Team. (2023). Matplotlib (3.4.3). Retrieved from </w:t>
      </w:r>
      <w:hyperlink r:id="rId16">
        <w:r w:rsidRPr="003D142F">
          <w:rPr>
            <w:rStyle w:val="a5"/>
            <w:rFonts w:ascii="Times New Roman" w:eastAsia="Times New Roman" w:hAnsi="Times New Roman" w:cs="Times New Roman"/>
            <w:color w:val="auto"/>
            <w:sz w:val="24"/>
            <w:szCs w:val="24"/>
          </w:rPr>
          <w:t>https://matplotlib.org/</w:t>
        </w:r>
      </w:hyperlink>
    </w:p>
    <w:p w14:paraId="242B9574" w14:textId="467737C6" w:rsidR="3769370F" w:rsidRPr="003D142F" w:rsidRDefault="3769370F" w:rsidP="003D14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2F">
        <w:rPr>
          <w:rFonts w:ascii="Times New Roman" w:eastAsia="Times New Roman" w:hAnsi="Times New Roman" w:cs="Times New Roman"/>
          <w:sz w:val="24"/>
          <w:szCs w:val="24"/>
        </w:rPr>
        <w:t xml:space="preserve">Scikit-learn Developers. (2023). scikit-learn (0.24.2). Retrieved from </w:t>
      </w:r>
      <w:hyperlink r:id="rId17">
        <w:r w:rsidRPr="003D142F">
          <w:rPr>
            <w:rStyle w:val="a5"/>
            <w:rFonts w:ascii="Times New Roman" w:eastAsia="Times New Roman" w:hAnsi="Times New Roman" w:cs="Times New Roman"/>
            <w:color w:val="auto"/>
            <w:sz w:val="24"/>
            <w:szCs w:val="24"/>
          </w:rPr>
          <w:t>https://scikit-learn.org/</w:t>
        </w:r>
      </w:hyperlink>
    </w:p>
    <w:sectPr w:rsidR="3769370F" w:rsidRPr="003D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15D0" w14:textId="77777777" w:rsidR="00594170" w:rsidRDefault="00594170" w:rsidP="00594170">
      <w:pPr>
        <w:spacing w:after="0" w:line="240" w:lineRule="auto"/>
      </w:pPr>
      <w:r>
        <w:separator/>
      </w:r>
    </w:p>
  </w:endnote>
  <w:endnote w:type="continuationSeparator" w:id="0">
    <w:p w14:paraId="67AF7DFA" w14:textId="77777777" w:rsidR="00594170" w:rsidRDefault="00594170" w:rsidP="0059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5420" w14:textId="77777777" w:rsidR="00594170" w:rsidRDefault="00594170" w:rsidP="00594170">
      <w:pPr>
        <w:spacing w:after="0" w:line="240" w:lineRule="auto"/>
      </w:pPr>
      <w:r>
        <w:separator/>
      </w:r>
    </w:p>
  </w:footnote>
  <w:footnote w:type="continuationSeparator" w:id="0">
    <w:p w14:paraId="7C0FD716" w14:textId="77777777" w:rsidR="00594170" w:rsidRDefault="00594170" w:rsidP="00594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0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CDD20BD"/>
    <w:multiLevelType w:val="hybridMultilevel"/>
    <w:tmpl w:val="61DA5E88"/>
    <w:lvl w:ilvl="0" w:tplc="355A2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02E4D2"/>
    <w:multiLevelType w:val="multilevel"/>
    <w:tmpl w:val="AF001C5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)"/>
      <w:lvlJc w:val="right"/>
      <w:pPr>
        <w:ind w:left="1260" w:hanging="420"/>
      </w:pPr>
    </w:lvl>
    <w:lvl w:ilvl="3">
      <w:start w:val="1"/>
      <w:numFmt w:val="decimal"/>
      <w:lvlText w:val="(%4)"/>
      <w:lvlJc w:val="left"/>
      <w:pPr>
        <w:ind w:left="1680" w:hanging="420"/>
      </w:pPr>
    </w:lvl>
    <w:lvl w:ilvl="4">
      <w:start w:val="1"/>
      <w:numFmt w:val="lowerLetter"/>
      <w:lvlText w:val="(%5)"/>
      <w:lvlJc w:val="left"/>
      <w:pPr>
        <w:ind w:left="2100" w:hanging="420"/>
      </w:pPr>
    </w:lvl>
    <w:lvl w:ilvl="5">
      <w:start w:val="1"/>
      <w:numFmt w:val="lowerRoman"/>
      <w:lvlText w:val="(%6)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834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99ABC8E"/>
    <w:multiLevelType w:val="multilevel"/>
    <w:tmpl w:val="41EC8A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5" w15:restartNumberingAfterBreak="0">
    <w:nsid w:val="67033966"/>
    <w:multiLevelType w:val="multilevel"/>
    <w:tmpl w:val="7B922A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)"/>
      <w:lvlJc w:val="right"/>
      <w:pPr>
        <w:ind w:left="1260" w:hanging="420"/>
      </w:pPr>
    </w:lvl>
    <w:lvl w:ilvl="3">
      <w:start w:val="1"/>
      <w:numFmt w:val="decimal"/>
      <w:lvlText w:val="(%4)"/>
      <w:lvlJc w:val="left"/>
      <w:pPr>
        <w:ind w:left="1680" w:hanging="420"/>
      </w:pPr>
    </w:lvl>
    <w:lvl w:ilvl="4">
      <w:start w:val="1"/>
      <w:numFmt w:val="lowerLetter"/>
      <w:lvlText w:val="(%5)"/>
      <w:lvlJc w:val="left"/>
      <w:pPr>
        <w:ind w:left="2100" w:hanging="420"/>
      </w:pPr>
    </w:lvl>
    <w:lvl w:ilvl="5">
      <w:start w:val="1"/>
      <w:numFmt w:val="lowerRoman"/>
      <w:lvlText w:val="(%6)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31644"/>
    <w:multiLevelType w:val="multilevel"/>
    <w:tmpl w:val="B33EF1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 w16cid:durableId="1090388438">
    <w:abstractNumId w:val="2"/>
  </w:num>
  <w:num w:numId="2" w16cid:durableId="1329289754">
    <w:abstractNumId w:val="5"/>
  </w:num>
  <w:num w:numId="3" w16cid:durableId="142627649">
    <w:abstractNumId w:val="4"/>
  </w:num>
  <w:num w:numId="4" w16cid:durableId="63964380">
    <w:abstractNumId w:val="1"/>
  </w:num>
  <w:num w:numId="5" w16cid:durableId="1447775438">
    <w:abstractNumId w:val="3"/>
  </w:num>
  <w:num w:numId="6" w16cid:durableId="1548688956">
    <w:abstractNumId w:val="6"/>
  </w:num>
  <w:num w:numId="7" w16cid:durableId="54895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9C8020"/>
    <w:rsid w:val="001A9A5E"/>
    <w:rsid w:val="002D13DB"/>
    <w:rsid w:val="003D142F"/>
    <w:rsid w:val="0058696D"/>
    <w:rsid w:val="00587386"/>
    <w:rsid w:val="00594170"/>
    <w:rsid w:val="005D83AE"/>
    <w:rsid w:val="00724EAE"/>
    <w:rsid w:val="00AE65F9"/>
    <w:rsid w:val="00E317AF"/>
    <w:rsid w:val="012E47C1"/>
    <w:rsid w:val="022F4504"/>
    <w:rsid w:val="0243A0E8"/>
    <w:rsid w:val="027F8E10"/>
    <w:rsid w:val="02E34978"/>
    <w:rsid w:val="0313B94B"/>
    <w:rsid w:val="036B637D"/>
    <w:rsid w:val="041B5E71"/>
    <w:rsid w:val="08461F1B"/>
    <w:rsid w:val="08D45CCF"/>
    <w:rsid w:val="09650DD9"/>
    <w:rsid w:val="097E4185"/>
    <w:rsid w:val="09E1EF7C"/>
    <w:rsid w:val="0A42446F"/>
    <w:rsid w:val="0B1A11E6"/>
    <w:rsid w:val="0B4C122E"/>
    <w:rsid w:val="0BA54A6E"/>
    <w:rsid w:val="0CB5E247"/>
    <w:rsid w:val="0CE7E28F"/>
    <w:rsid w:val="0CF488FB"/>
    <w:rsid w:val="0D1C775C"/>
    <w:rsid w:val="0D8B67A8"/>
    <w:rsid w:val="0FA85E17"/>
    <w:rsid w:val="101F8351"/>
    <w:rsid w:val="10419D45"/>
    <w:rsid w:val="10A01221"/>
    <w:rsid w:val="1187AEB0"/>
    <w:rsid w:val="11BB53B2"/>
    <w:rsid w:val="11C34138"/>
    <w:rsid w:val="11CC8E89"/>
    <w:rsid w:val="11FABE6A"/>
    <w:rsid w:val="1222F320"/>
    <w:rsid w:val="12309412"/>
    <w:rsid w:val="13818747"/>
    <w:rsid w:val="13C7EB45"/>
    <w:rsid w:val="14FAE1FA"/>
    <w:rsid w:val="15042F4B"/>
    <w:rsid w:val="155A93E2"/>
    <w:rsid w:val="15724FE6"/>
    <w:rsid w:val="160EF47B"/>
    <w:rsid w:val="1696B25B"/>
    <w:rsid w:val="169FFFAC"/>
    <w:rsid w:val="16F419EA"/>
    <w:rsid w:val="16F66443"/>
    <w:rsid w:val="170F8CA0"/>
    <w:rsid w:val="179C8020"/>
    <w:rsid w:val="183BD00D"/>
    <w:rsid w:val="189234A4"/>
    <w:rsid w:val="18E8703E"/>
    <w:rsid w:val="19495C3A"/>
    <w:rsid w:val="19C66597"/>
    <w:rsid w:val="1AE9DDFB"/>
    <w:rsid w:val="1B3302CF"/>
    <w:rsid w:val="1B7370CF"/>
    <w:rsid w:val="1BC9D566"/>
    <w:rsid w:val="1C44BE14"/>
    <w:rsid w:val="1C4C8785"/>
    <w:rsid w:val="1CB5AAD3"/>
    <w:rsid w:val="1D0090F3"/>
    <w:rsid w:val="1D5AB04E"/>
    <w:rsid w:val="1E217EBD"/>
    <w:rsid w:val="1E6AA391"/>
    <w:rsid w:val="1FAC142F"/>
    <w:rsid w:val="203AF8B2"/>
    <w:rsid w:val="2046E1F2"/>
    <w:rsid w:val="20F8B40A"/>
    <w:rsid w:val="210B1115"/>
    <w:rsid w:val="22F12E4F"/>
    <w:rsid w:val="236D47DD"/>
    <w:rsid w:val="2387DAD5"/>
    <w:rsid w:val="238DBAB5"/>
    <w:rsid w:val="25695386"/>
    <w:rsid w:val="26018347"/>
    <w:rsid w:val="26C55B77"/>
    <w:rsid w:val="283386C2"/>
    <w:rsid w:val="2859E15D"/>
    <w:rsid w:val="2981743B"/>
    <w:rsid w:val="29AD5638"/>
    <w:rsid w:val="29E476E7"/>
    <w:rsid w:val="2A636EF3"/>
    <w:rsid w:val="2AA5E920"/>
    <w:rsid w:val="2B2FFE3C"/>
    <w:rsid w:val="2CADA2E0"/>
    <w:rsid w:val="2CD3BC23"/>
    <w:rsid w:val="2E3869B0"/>
    <w:rsid w:val="2E6F8C84"/>
    <w:rsid w:val="2E80C75B"/>
    <w:rsid w:val="2EC70227"/>
    <w:rsid w:val="2EC922E1"/>
    <w:rsid w:val="2ED06D5C"/>
    <w:rsid w:val="2F795A43"/>
    <w:rsid w:val="2F7F067A"/>
    <w:rsid w:val="301DA8CE"/>
    <w:rsid w:val="30212F3E"/>
    <w:rsid w:val="3028941C"/>
    <w:rsid w:val="31152AA4"/>
    <w:rsid w:val="3200C3A3"/>
    <w:rsid w:val="32C40EAD"/>
    <w:rsid w:val="3342FDA7"/>
    <w:rsid w:val="353FAEE0"/>
    <w:rsid w:val="3601C424"/>
    <w:rsid w:val="3769370F"/>
    <w:rsid w:val="37A1A751"/>
    <w:rsid w:val="37C9D09C"/>
    <w:rsid w:val="38D28605"/>
    <w:rsid w:val="3951EA38"/>
    <w:rsid w:val="3A0BF6AD"/>
    <w:rsid w:val="3B96AB64"/>
    <w:rsid w:val="3C7105A8"/>
    <w:rsid w:val="3C99FC42"/>
    <w:rsid w:val="3CCF928B"/>
    <w:rsid w:val="3E255B5B"/>
    <w:rsid w:val="3E5C0004"/>
    <w:rsid w:val="3FECE7C5"/>
    <w:rsid w:val="42B056F0"/>
    <w:rsid w:val="43DACB40"/>
    <w:rsid w:val="447C178D"/>
    <w:rsid w:val="45E0C73F"/>
    <w:rsid w:val="45F92553"/>
    <w:rsid w:val="47EEC50D"/>
    <w:rsid w:val="481B57BD"/>
    <w:rsid w:val="49680E02"/>
    <w:rsid w:val="4BC15C8D"/>
    <w:rsid w:val="4C0BC667"/>
    <w:rsid w:val="4C304CD9"/>
    <w:rsid w:val="4C388951"/>
    <w:rsid w:val="4D18E02C"/>
    <w:rsid w:val="4DDA9E4D"/>
    <w:rsid w:val="4DDF6269"/>
    <w:rsid w:val="4FF9FE16"/>
    <w:rsid w:val="510378E5"/>
    <w:rsid w:val="51123F0F"/>
    <w:rsid w:val="5126BF0B"/>
    <w:rsid w:val="51BAB97A"/>
    <w:rsid w:val="521EA21B"/>
    <w:rsid w:val="52AE0F70"/>
    <w:rsid w:val="52C737CD"/>
    <w:rsid w:val="52F66AF6"/>
    <w:rsid w:val="53C98639"/>
    <w:rsid w:val="545152C7"/>
    <w:rsid w:val="5463082E"/>
    <w:rsid w:val="5500CF5A"/>
    <w:rsid w:val="56F76B77"/>
    <w:rsid w:val="584F34B8"/>
    <w:rsid w:val="59367951"/>
    <w:rsid w:val="5A092661"/>
    <w:rsid w:val="5A2DBDD7"/>
    <w:rsid w:val="5A2F0C39"/>
    <w:rsid w:val="5A483496"/>
    <w:rsid w:val="5AB92155"/>
    <w:rsid w:val="5AB98414"/>
    <w:rsid w:val="5AF16CB6"/>
    <w:rsid w:val="5B21EFB3"/>
    <w:rsid w:val="5BCADC9A"/>
    <w:rsid w:val="5C272EA5"/>
    <w:rsid w:val="5DA7A253"/>
    <w:rsid w:val="5E3FD214"/>
    <w:rsid w:val="5F1BA5B9"/>
    <w:rsid w:val="5FF560D6"/>
    <w:rsid w:val="609E4DBD"/>
    <w:rsid w:val="60B7761A"/>
    <w:rsid w:val="61961380"/>
    <w:rsid w:val="61A72898"/>
    <w:rsid w:val="6235BC10"/>
    <w:rsid w:val="623A1E1E"/>
    <w:rsid w:val="6253467B"/>
    <w:rsid w:val="62662BE3"/>
    <w:rsid w:val="6299D006"/>
    <w:rsid w:val="63C082E0"/>
    <w:rsid w:val="63C816FB"/>
    <w:rsid w:val="644C491D"/>
    <w:rsid w:val="656F9EF4"/>
    <w:rsid w:val="65D170C8"/>
    <w:rsid w:val="65E61CD7"/>
    <w:rsid w:val="67516C4B"/>
    <w:rsid w:val="6D6E1C72"/>
    <w:rsid w:val="6DA550A9"/>
    <w:rsid w:val="6E08BDAE"/>
    <w:rsid w:val="6E23EBAB"/>
    <w:rsid w:val="6E7C1594"/>
    <w:rsid w:val="6EE18077"/>
    <w:rsid w:val="6F31C983"/>
    <w:rsid w:val="70B47187"/>
    <w:rsid w:val="70C5AC5E"/>
    <w:rsid w:val="7149E31E"/>
    <w:rsid w:val="71CFFC65"/>
    <w:rsid w:val="72617CBF"/>
    <w:rsid w:val="7281EF97"/>
    <w:rsid w:val="72BD7E83"/>
    <w:rsid w:val="73CB2B2D"/>
    <w:rsid w:val="73F95B0A"/>
    <w:rsid w:val="73FD4D20"/>
    <w:rsid w:val="7404979B"/>
    <w:rsid w:val="74053AA6"/>
    <w:rsid w:val="746F5412"/>
    <w:rsid w:val="74FFEFB8"/>
    <w:rsid w:val="7555E262"/>
    <w:rsid w:val="75D0937A"/>
    <w:rsid w:val="76523B6B"/>
    <w:rsid w:val="768A452B"/>
    <w:rsid w:val="7734EDE2"/>
    <w:rsid w:val="773CDB68"/>
    <w:rsid w:val="77B81F5E"/>
    <w:rsid w:val="78B0DBDE"/>
    <w:rsid w:val="79C1E5ED"/>
    <w:rsid w:val="7A476DDA"/>
    <w:rsid w:val="7A747C2A"/>
    <w:rsid w:val="7A8D017C"/>
    <w:rsid w:val="7B67117B"/>
    <w:rsid w:val="7CE2F99B"/>
    <w:rsid w:val="7D4A9909"/>
    <w:rsid w:val="7D63C166"/>
    <w:rsid w:val="7DAC1CEC"/>
    <w:rsid w:val="7DC4A23E"/>
    <w:rsid w:val="7DF51710"/>
    <w:rsid w:val="7F60729F"/>
    <w:rsid w:val="7FFB9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C8020"/>
  <w15:chartTrackingRefBased/>
  <w15:docId w15:val="{1064D030-F003-475E-A9DA-E9EF95D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9417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41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41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4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rds-www.wharton.upenn.ed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ikit-lear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plotlib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umpy.org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947</Words>
  <Characters>5271</Characters>
  <Application>Microsoft Office Word</Application>
  <DocSecurity>0</DocSecurity>
  <Lines>170</Lines>
  <Paragraphs>138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Noah</dc:creator>
  <cp:keywords/>
  <dc:description/>
  <cp:lastModifiedBy>Shi, Chunlin</cp:lastModifiedBy>
  <cp:revision>9</cp:revision>
  <dcterms:created xsi:type="dcterms:W3CDTF">2023-12-05T01:25:00Z</dcterms:created>
  <dcterms:modified xsi:type="dcterms:W3CDTF">2023-12-05T02:57:00Z</dcterms:modified>
</cp:coreProperties>
</file>