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0"/>
        <w:jc w:val="center"/>
      </w:pPr>
      <w:r>
        <w:rPr>
          <w:rFonts w:ascii="Times New Roman" w:hAnsi="Times New Roman" w:eastAsia="Times New Roman"/>
          <w:b/>
          <w:i w:val="0"/>
          <w:sz w:val="24"/>
        </w:rPr>
        <w:t>ФЕДЕРАЛЬНОЕ ГОСУДАРСТВЕННОЕ БЮДЖЕТНОЕ</w:t>
      </w:r>
    </w:p>
    <w:p>
      <w:pPr>
        <w:spacing w:line="240" w:lineRule="auto" w:after="0" w:before="0"/>
        <w:ind w:firstLine="0"/>
        <w:jc w:val="center"/>
      </w:pPr>
      <w:r>
        <w:rPr>
          <w:rFonts w:ascii="Times New Roman" w:hAnsi="Times New Roman" w:eastAsia="Times New Roman"/>
          <w:b/>
          <w:i w:val="0"/>
          <w:sz w:val="24"/>
        </w:rPr>
        <w:t>ОБРАЗОВАТЕЛЬНОЕ УЧРЕЖДЕНИЕ ВЫСШЕГО ОБРАЗОВАНИЯ</w:t>
      </w:r>
    </w:p>
    <w:p>
      <w:pPr>
        <w:spacing w:line="240" w:lineRule="auto" w:after="0" w:before="0"/>
        <w:ind w:firstLine="0"/>
        <w:jc w:val="center"/>
      </w:pPr>
      <w:r>
        <w:rPr>
          <w:rFonts w:ascii="Times New Roman" w:hAnsi="Times New Roman" w:eastAsia="Times New Roman"/>
          <w:b/>
          <w:i w:val="0"/>
          <w:sz w:val="24"/>
        </w:rPr>
        <w:t>«МОСКОВСКИЙ ГОСУДАРСТВЕННЫЙ ЮРИДИЧЕСКИЙ УНИВЕРСИТЕТ</w:t>
      </w:r>
    </w:p>
    <w:p>
      <w:pPr>
        <w:spacing w:line="240" w:lineRule="auto" w:after="0" w:before="0"/>
        <w:ind w:firstLine="0"/>
        <w:jc w:val="center"/>
      </w:pPr>
      <w:r>
        <w:rPr>
          <w:rFonts w:ascii="Times New Roman" w:hAnsi="Times New Roman" w:eastAsia="Times New Roman"/>
          <w:b/>
          <w:i w:val="0"/>
          <w:sz w:val="24"/>
        </w:rPr>
        <w:t>ИМЕНИ О.Е. КУТАФИНА (МГЮА)»</w:t>
      </w:r>
    </w:p>
    <w:p>
      <w:pPr>
        <w:spacing w:line="240" w:lineRule="auto" w:after="0" w:before="0"/>
        <w:ind w:firstLine="0"/>
        <w:jc w:val="center"/>
      </w:pPr>
      <w:r>
        <w:rPr>
          <w:rFonts w:ascii="Times New Roman" w:hAnsi="Times New Roman" w:eastAsia="Times New Roman"/>
          <w:b/>
          <w:i w:val="0"/>
          <w:sz w:val="24"/>
        </w:rPr>
        <w:t>Колледж</w:t>
      </w:r>
    </w:p>
    <w:p>
      <w:pPr>
        <w:spacing w:line="240" w:lineRule="auto" w:after="0" w:before="0"/>
        <w:ind w:firstLine="0"/>
        <w:jc w:val="center"/>
      </w:pPr>
      <w:r>
        <w:rPr>
          <w:rFonts w:ascii="Times New Roman" w:hAnsi="Times New Roman" w:eastAsia="Times New Roman"/>
          <w:b/>
          <w:i w:val="0"/>
          <w:sz w:val="24"/>
        </w:rPr>
        <w:t>Кафедра гражданского права</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i w:val="0"/>
          <w:sz w:val="24"/>
        </w:rPr>
        <w:t>Дроздецкая ___________________________</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i w:val="0"/>
          <w:sz w:val="24"/>
        </w:rPr>
        <w:t>ПРАВОВОЙ РЕЖИМ НЕДВИЖИМОГО ИМУЩЕСТВА</w:t>
      </w:r>
    </w:p>
    <w:p>
      <w:pPr>
        <w:spacing w:line="240" w:lineRule="auto" w:after="0" w:before="0"/>
        <w:ind w:firstLine="0"/>
        <w:jc w:val="center"/>
      </w:pPr>
      <w:r>
        <w:rPr>
          <w:rFonts w:ascii="Times New Roman" w:hAnsi="Times New Roman" w:eastAsia="Times New Roman"/>
          <w:b/>
          <w:i w:val="0"/>
          <w:sz w:val="24"/>
        </w:rPr>
        <w:t>Курсовая работа</w:t>
      </w:r>
    </w:p>
    <w:p>
      <w:pPr>
        <w:spacing w:line="240" w:lineRule="auto" w:after="0" w:before="0"/>
        <w:ind w:firstLine="0"/>
        <w:jc w:val="center"/>
      </w:pPr>
      <w:r>
        <w:rPr>
          <w:rFonts w:ascii="Times New Roman" w:hAnsi="Times New Roman" w:eastAsia="Times New Roman"/>
          <w:b/>
          <w:i w:val="0"/>
          <w:sz w:val="24"/>
        </w:rPr>
        <w:t>по дисциплине «Гражданское право»</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i w:val="0"/>
          <w:sz w:val="24"/>
        </w:rPr>
        <w:t>обучающейся 4 КП24-ПО-О-5 группы, 2 курса</w:t>
      </w:r>
    </w:p>
    <w:p>
      <w:pPr>
        <w:spacing w:line="240" w:lineRule="auto" w:after="0" w:before="0"/>
        <w:ind w:firstLine="0"/>
        <w:jc w:val="center"/>
      </w:pPr>
      <w:r>
        <w:rPr>
          <w:rFonts w:ascii="Times New Roman" w:hAnsi="Times New Roman" w:eastAsia="Times New Roman"/>
          <w:b/>
          <w:i w:val="0"/>
          <w:sz w:val="24"/>
        </w:rPr>
        <w:t>очной формы обучения</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i w:val="0"/>
          <w:sz w:val="28"/>
        </w:rPr>
        <w:t>Научный руководитель:</w:t>
      </w:r>
    </w:p>
    <w:p>
      <w:pPr>
        <w:spacing w:line="240" w:lineRule="auto" w:after="0" w:before="0"/>
        <w:ind w:firstLine="0"/>
        <w:jc w:val="center"/>
      </w:pPr>
      <w:r>
        <w:rPr>
          <w:rFonts w:ascii="Times New Roman" w:hAnsi="Times New Roman" w:eastAsia="Times New Roman"/>
          <w:b/>
          <w:i w:val="0"/>
          <w:sz w:val="28"/>
        </w:rPr>
        <w:t>Якупов Валерий Рамилевич</w:t>
      </w:r>
    </w:p>
    <w:p>
      <w:pPr>
        <w:spacing w:line="240" w:lineRule="auto" w:after="0" w:before="0"/>
        <w:ind w:firstLine="0"/>
        <w:jc w:val="center"/>
      </w:pPr>
    </w:p>
    <w:p>
      <w:pPr>
        <w:spacing w:line="240" w:lineRule="auto" w:after="0" w:before="0"/>
        <w:ind w:firstLine="0"/>
        <w:jc w:val="center"/>
      </w:pPr>
      <w:r>
        <w:rPr>
          <w:rFonts w:ascii="Times New Roman" w:hAnsi="Times New Roman" w:eastAsia="Times New Roman"/>
          <w:b w:val="0"/>
          <w:i w:val="0"/>
          <w:sz w:val="28"/>
        </w:rPr>
        <w:t>Дата сдачи: ____________________</w:t>
      </w:r>
    </w:p>
    <w:p>
      <w:pPr>
        <w:spacing w:line="240" w:lineRule="auto" w:after="0" w:before="0"/>
        <w:ind w:firstLine="0"/>
        <w:jc w:val="center"/>
      </w:pPr>
      <w:r>
        <w:rPr>
          <w:rFonts w:ascii="Times New Roman" w:hAnsi="Times New Roman" w:eastAsia="Times New Roman"/>
          <w:b w:val="0"/>
          <w:i w:val="0"/>
          <w:sz w:val="28"/>
        </w:rPr>
        <w:t>Дата рецензирования: ____________</w:t>
      </w:r>
    </w:p>
    <w:p>
      <w:pPr>
        <w:spacing w:line="240" w:lineRule="auto" w:after="0" w:before="0"/>
        <w:ind w:firstLine="0"/>
        <w:jc w:val="center"/>
      </w:pPr>
      <w:r>
        <w:rPr>
          <w:rFonts w:ascii="Times New Roman" w:hAnsi="Times New Roman" w:eastAsia="Times New Roman"/>
          <w:b w:val="0"/>
          <w:i w:val="0"/>
          <w:sz w:val="28"/>
        </w:rPr>
        <w:t>Дата защиты: ____________________</w:t>
      </w:r>
    </w:p>
    <w:p>
      <w:pPr>
        <w:spacing w:line="240" w:lineRule="auto" w:after="0" w:before="0"/>
        <w:ind w:firstLine="0"/>
        <w:jc w:val="center"/>
      </w:pPr>
      <w:r>
        <w:rPr>
          <w:rFonts w:ascii="Times New Roman" w:hAnsi="Times New Roman" w:eastAsia="Times New Roman"/>
          <w:b w:val="0"/>
          <w:i w:val="0"/>
          <w:sz w:val="28"/>
        </w:rPr>
        <w:t>Оценка: _________________________</w:t>
      </w:r>
    </w:p>
    <w:p>
      <w:pPr>
        <w:spacing w:line="240" w:lineRule="auto" w:after="0" w:before="0"/>
        <w:ind w:firstLine="0"/>
        <w:jc w:val="center"/>
      </w:pPr>
      <w:r>
        <w:rPr>
          <w:rFonts w:ascii="Times New Roman" w:hAnsi="Times New Roman" w:eastAsia="Times New Roman"/>
          <w:b w:val="0"/>
          <w:i w:val="0"/>
          <w:sz w:val="28"/>
        </w:rPr>
        <w:t>Москва</w:t>
      </w:r>
    </w:p>
    <w:p>
      <w:pPr>
        <w:spacing w:line="240" w:lineRule="auto" w:after="0" w:before="0"/>
        <w:ind w:firstLine="0"/>
        <w:jc w:val="center"/>
      </w:pPr>
      <w:r>
        <w:rPr>
          <w:rFonts w:ascii="Times New Roman" w:hAnsi="Times New Roman" w:eastAsia="Times New Roman"/>
          <w:b w:val="0"/>
          <w:i w:val="0"/>
          <w:sz w:val="28"/>
        </w:rPr>
        <w:t>2026</w:t>
      </w:r>
    </w:p>
    <w:p>
      <w:pPr>
        <w:spacing w:line="240" w:lineRule="auto" w:before="0" w:after="0"/>
        <w:ind w:firstLine="0"/>
        <w:jc w:val="center"/>
      </w:pPr>
      <w:r>
        <w:rPr>
          <w:rFonts w:ascii="Times New Roman" w:hAnsi="Times New Roman" w:eastAsia="Times New Roman"/>
          <w:sz w:val="28"/>
        </w:rPr>
        <w:br w:type="page"/>
      </w:r>
    </w:p>
    <w:p>
      <w:pPr>
        <w:pStyle w:val="Heading1"/>
        <w:spacing w:line="360" w:lineRule="auto"/>
        <w:ind w:firstLine="0"/>
        <w:jc w:val="center"/>
      </w:pPr>
      <w:r>
        <w:rPr>
          <w:rFonts w:ascii="Times New Roman" w:hAnsi="Times New Roman" w:eastAsia="Times New Roman"/>
          <w:b/>
          <w:i w:val="0"/>
          <w:sz w:val="28"/>
        </w:rPr>
        <w:t>СОДЕРЖАНИЕ</w:t>
      </w:r>
    </w:p>
    <w:p>
      <w:pPr>
        <w:spacing w:line="360" w:lineRule="auto" w:after="0" w:before="0"/>
        <w:ind w:firstLine="0"/>
      </w:pPr>
      <w:r>
        <w:rPr>
          <w:rFonts w:ascii="Times New Roman" w:hAnsi="Times New Roman" w:eastAsia="Times New Roman"/>
          <w:sz w:val="28"/>
        </w:rPr>
        <w:t>Введение    3</w:t>
      </w:r>
    </w:p>
    <w:p>
      <w:pPr>
        <w:spacing w:line="360" w:lineRule="auto" w:after="0" w:before="0"/>
        <w:ind w:firstLine="0"/>
      </w:pPr>
      <w:r>
        <w:rPr>
          <w:rFonts w:ascii="Times New Roman" w:hAnsi="Times New Roman" w:eastAsia="Times New Roman"/>
          <w:sz w:val="28"/>
        </w:rPr>
        <w:t>Глава 1. Общие положения о недвижимом имуществе в гражданском праве    5</w:t>
      </w:r>
    </w:p>
    <w:p>
      <w:pPr>
        <w:spacing w:line="360" w:lineRule="auto" w:after="0" w:before="0"/>
        <w:ind w:firstLine="0"/>
      </w:pPr>
      <w:r>
        <w:rPr>
          <w:rFonts w:ascii="Times New Roman" w:hAnsi="Times New Roman" w:eastAsia="Times New Roman"/>
          <w:sz w:val="28"/>
        </w:rPr>
        <w:t>1.1. Понятие и признаки недвижимого имущества    5</w:t>
      </w:r>
    </w:p>
    <w:p>
      <w:pPr>
        <w:spacing w:line="360" w:lineRule="auto" w:after="0" w:before="0"/>
        <w:ind w:firstLine="0"/>
      </w:pPr>
      <w:r>
        <w:rPr>
          <w:rFonts w:ascii="Times New Roman" w:hAnsi="Times New Roman" w:eastAsia="Times New Roman"/>
          <w:sz w:val="28"/>
        </w:rPr>
        <w:t>1.2. Классификация объектов недвижимости и их правовая характеристика    8</w:t>
      </w:r>
    </w:p>
    <w:p>
      <w:pPr>
        <w:spacing w:line="360" w:lineRule="auto" w:after="0" w:before="0"/>
        <w:ind w:firstLine="0"/>
      </w:pPr>
      <w:r>
        <w:rPr>
          <w:rFonts w:ascii="Times New Roman" w:hAnsi="Times New Roman" w:eastAsia="Times New Roman"/>
          <w:sz w:val="28"/>
        </w:rPr>
        <w:t>Глава 2. Особенности правового режима недвижимого имущества    14</w:t>
      </w:r>
    </w:p>
    <w:p>
      <w:pPr>
        <w:spacing w:line="360" w:lineRule="auto" w:after="0" w:before="0"/>
        <w:ind w:firstLine="0"/>
      </w:pPr>
      <w:r>
        <w:rPr>
          <w:rFonts w:ascii="Times New Roman" w:hAnsi="Times New Roman" w:eastAsia="Times New Roman"/>
          <w:sz w:val="28"/>
        </w:rPr>
        <w:t>2.1. Государственная регистрация прав на недвижимое имущество    14</w:t>
      </w:r>
    </w:p>
    <w:p>
      <w:pPr>
        <w:spacing w:line="360" w:lineRule="auto" w:after="0" w:before="0"/>
        <w:ind w:firstLine="0"/>
      </w:pPr>
      <w:r>
        <w:rPr>
          <w:rFonts w:ascii="Times New Roman" w:hAnsi="Times New Roman" w:eastAsia="Times New Roman"/>
          <w:sz w:val="28"/>
        </w:rPr>
        <w:t>2.2. Отдельные основания возникновения, перехода и прекращения прав на недвижимость    18</w:t>
      </w:r>
    </w:p>
    <w:p>
      <w:pPr>
        <w:spacing w:line="360" w:lineRule="auto" w:after="0" w:before="0"/>
        <w:ind w:firstLine="0"/>
      </w:pPr>
      <w:r>
        <w:rPr>
          <w:rFonts w:ascii="Times New Roman" w:hAnsi="Times New Roman" w:eastAsia="Times New Roman"/>
          <w:sz w:val="28"/>
        </w:rPr>
        <w:t>Заключение    25</w:t>
      </w:r>
    </w:p>
    <w:p>
      <w:pPr>
        <w:spacing w:line="360" w:lineRule="auto" w:after="0" w:before="0"/>
        <w:ind w:firstLine="0"/>
      </w:pPr>
      <w:r>
        <w:rPr>
          <w:rFonts w:ascii="Times New Roman" w:hAnsi="Times New Roman" w:eastAsia="Times New Roman"/>
          <w:sz w:val="28"/>
        </w:rPr>
        <w:t>Список использованных источников    28</w:t>
      </w:r>
    </w:p>
    <w:p>
      <w:r>
        <w:br w:type="page"/>
      </w:r>
    </w:p>
    <w:p>
      <w:pPr>
        <w:pStyle w:val="Heading1"/>
        <w:spacing w:line="360" w:lineRule="auto"/>
        <w:ind w:firstLine="0"/>
        <w:jc w:val="center"/>
      </w:pPr>
      <w:r>
        <w:rPr>
          <w:rFonts w:ascii="Times New Roman" w:hAnsi="Times New Roman" w:eastAsia="Times New Roman"/>
          <w:b/>
          <w:i w:val="0"/>
          <w:sz w:val="28"/>
        </w:rPr>
        <w:t>ВВЕДЕНИЕ</w:t>
      </w:r>
    </w:p>
    <w:p>
      <w:pPr>
        <w:spacing w:line="360" w:lineRule="auto" w:after="0" w:before="0"/>
        <w:ind w:firstLine="709"/>
      </w:pPr>
      <w:r>
        <w:rPr>
          <w:rFonts w:ascii="Times New Roman" w:hAnsi="Times New Roman" w:eastAsia="Times New Roman"/>
          <w:b w:val="0"/>
          <w:i w:val="0"/>
          <w:sz w:val="28"/>
        </w:rPr>
        <w:t>Недвижимое имущество занимает особое место в системе объектов гражданских прав. В отличие от движимых вещей оно связано не только с имущественной ценностью, но и с территорией, публичным учетом, государственной регистрацией прав, градостроительными, земельными и жилищными ограничениями. Через правовой режим недвижимости государство обеспечивает устойчивость оборота, защиту собственников, безопасность участников сделок и баланс частных и публичных интересов.</w:t>
      </w:r>
    </w:p>
    <w:p>
      <w:pPr>
        <w:spacing w:line="360" w:lineRule="auto" w:after="0" w:before="0"/>
        <w:ind w:firstLine="709"/>
      </w:pPr>
      <w:r>
        <w:rPr>
          <w:rFonts w:ascii="Times New Roman" w:hAnsi="Times New Roman" w:eastAsia="Times New Roman"/>
          <w:b w:val="0"/>
          <w:i w:val="0"/>
          <w:sz w:val="28"/>
        </w:rPr>
        <w:t>Гражданское законодательство относит к недвижимым вещам земельные участки, участки недр и все, что прочно связано с землей, то есть объекты, перемещение которых без несоразмерного ущерба их назначению невозможно, в том числе здания, сооружения и объекты незавершенного строительства. Законом к недвижимым вещам могут быть отнесены и иные объекты. На практике такое определение требует конкретизации: не всякий объект, физически расположенный на земле, является недвижимостью, и не всякое отсутствие регистрации автоматически означает отсутствие правового значения объекта.</w:t>
      </w:r>
    </w:p>
    <w:p>
      <w:pPr>
        <w:spacing w:line="360" w:lineRule="auto" w:after="0" w:before="0"/>
        <w:ind w:firstLine="709"/>
      </w:pPr>
      <w:r>
        <w:rPr>
          <w:rFonts w:ascii="Times New Roman" w:hAnsi="Times New Roman" w:eastAsia="Times New Roman"/>
          <w:b w:val="0"/>
          <w:i w:val="0"/>
          <w:sz w:val="28"/>
        </w:rPr>
        <w:t>Актуальность темы объясняется тем, что недвижимость является одним из наиболее значимых имущественных активов граждан и организаций. Право собственности на земельный участок, жилой дом, квартиру, нежилое помещение или иной объект недвижимости напрямую влияет на возможность пользоваться имуществом, распоряжаться им, сдавать его в аренду, передавать в ипотеку, наследовать, отчуждать по договору. Ошибки при квалификации объекта, регистрации права или оформлении сделки часто приводят к судебным спорам, утрате имущества либо невозможности полноценно реализовать право.</w:t>
      </w:r>
    </w:p>
    <w:p>
      <w:pPr>
        <w:spacing w:line="360" w:lineRule="auto" w:after="0" w:before="0"/>
        <w:ind w:firstLine="709"/>
      </w:pPr>
      <w:r>
        <w:rPr>
          <w:rFonts w:ascii="Times New Roman" w:hAnsi="Times New Roman" w:eastAsia="Times New Roman"/>
          <w:b w:val="0"/>
          <w:i w:val="0"/>
          <w:sz w:val="28"/>
        </w:rPr>
        <w:t>Особое значение для темы имеет судебная практика последних лет. Суды рассматривают споры о достоверности сведений Единого государственного реестра недвижимости, о добросовестности приобретателя, о самовольных постройках, о границах земельных участков и о последствиях недействительности сделок с недвижимостью. Это показывает, что правовой режим недвижимости не сводится только к нормам Гражданского кодекса Российской Федерации, а представляет собой сложную систему гражданско-правовых, земельных, регистрационных и процессуальных правил.</w:t>
      </w:r>
    </w:p>
    <w:p>
      <w:pPr>
        <w:spacing w:line="360" w:lineRule="auto" w:after="0" w:before="0"/>
        <w:ind w:firstLine="709"/>
      </w:pPr>
      <w:r>
        <w:rPr>
          <w:rFonts w:ascii="Times New Roman" w:hAnsi="Times New Roman" w:eastAsia="Times New Roman"/>
          <w:b w:val="0"/>
          <w:i w:val="0"/>
          <w:sz w:val="28"/>
        </w:rPr>
        <w:t>Объектом исследования являются общественные отношения, возникающие в связи с приобретением, осуществлением, переходом, ограничением и прекращением прав на недвижимое имущество.</w:t>
      </w:r>
    </w:p>
    <w:p>
      <w:pPr>
        <w:spacing w:line="360" w:lineRule="auto" w:after="0" w:before="0"/>
        <w:ind w:firstLine="709"/>
      </w:pPr>
      <w:r>
        <w:rPr>
          <w:rFonts w:ascii="Times New Roman" w:hAnsi="Times New Roman" w:eastAsia="Times New Roman"/>
          <w:b w:val="0"/>
          <w:i w:val="0"/>
          <w:sz w:val="28"/>
        </w:rPr>
        <w:t>Предметом исследования выступают нормы гражданского законодательства Российской Федерации о недвижимом имуществе, положения специального законодательства о государственной регистрации недвижимости, судебная практика по вопросам правового режима недвижимости, а также научная и учебная литература по данной теме.</w:t>
      </w:r>
    </w:p>
    <w:p>
      <w:pPr>
        <w:spacing w:line="360" w:lineRule="auto" w:after="0" w:before="0"/>
        <w:ind w:firstLine="709"/>
      </w:pPr>
      <w:r>
        <w:rPr>
          <w:rFonts w:ascii="Times New Roman" w:hAnsi="Times New Roman" w:eastAsia="Times New Roman"/>
          <w:b w:val="0"/>
          <w:i w:val="0"/>
          <w:sz w:val="28"/>
        </w:rPr>
        <w:t>Цель исследования состоит в том, чтобы на основе анализа законодательства, судебной практики и научных подходов раскрыть содержание правового режима недвижимого имущества, выявить его особенности и сформулировать выводы о проблемах его применения.</w:t>
      </w:r>
    </w:p>
    <w:p>
      <w:pPr>
        <w:spacing w:line="360" w:lineRule="auto" w:after="0" w:before="0"/>
        <w:ind w:firstLine="709"/>
      </w:pPr>
      <w:r>
        <w:rPr>
          <w:rFonts w:ascii="Times New Roman" w:hAnsi="Times New Roman" w:eastAsia="Times New Roman"/>
          <w:b w:val="0"/>
          <w:i w:val="0"/>
          <w:sz w:val="28"/>
        </w:rPr>
        <w:t>Для достижения указанной цели необходимо решить следующие задачи: рассмотреть понятие и признаки недвижимого имущества; охарактеризовать основные виды объектов недвижимости; определить значение государственной регистрации прав; проанализировать основания возникновения, перехода и прекращения прав на недвижимость; изучить отдельные проблемы правоприменительной практики; предложить возможные направления совершенствования правового регулирования.</w:t>
      </w:r>
    </w:p>
    <w:p>
      <w:pPr>
        <w:spacing w:line="360" w:lineRule="auto" w:after="0" w:before="0"/>
        <w:ind w:firstLine="709"/>
      </w:pPr>
      <w:r>
        <w:rPr>
          <w:rFonts w:ascii="Times New Roman" w:hAnsi="Times New Roman" w:eastAsia="Times New Roman"/>
          <w:b w:val="0"/>
          <w:i w:val="0"/>
          <w:sz w:val="28"/>
        </w:rPr>
        <w:t>Методологическую основу работы составляют формально-юридический, системный, сравнительно-правовой и аналитический методы. Их использование позволяет рассмотреть недвижимое имущество как гражданско-правовую категорию, сопоставить общие нормы Гражданского кодекса Российской Федерации со специальными правилами регистрации и оценить практическое значение судебных актов.</w:t>
      </w:r>
    </w:p>
    <w:p>
      <w:r>
        <w:br w:type="page"/>
      </w:r>
    </w:p>
    <w:p>
      <w:pPr>
        <w:pStyle w:val="Heading1"/>
        <w:spacing w:line="360" w:lineRule="auto"/>
        <w:ind w:firstLine="0"/>
        <w:jc w:val="center"/>
      </w:pPr>
      <w:r>
        <w:rPr>
          <w:rFonts w:ascii="Times New Roman" w:hAnsi="Times New Roman" w:eastAsia="Times New Roman"/>
          <w:b/>
          <w:i w:val="0"/>
          <w:sz w:val="28"/>
        </w:rPr>
        <w:t>ГЛАВА 1. ОБЩИЕ ПОЛОЖЕНИЯ О НЕДВИЖИМОМ ИМУЩЕСТВЕ В ГРАЖДАНСКОМ ПРАВЕ</w:t>
      </w:r>
    </w:p>
    <w:p>
      <w:pPr>
        <w:pStyle w:val="Heading2"/>
        <w:spacing w:line="360" w:lineRule="auto"/>
        <w:ind w:firstLine="0"/>
        <w:jc w:val="center"/>
      </w:pPr>
      <w:r>
        <w:rPr>
          <w:rFonts w:ascii="Times New Roman" w:hAnsi="Times New Roman" w:eastAsia="Times New Roman"/>
          <w:b/>
          <w:i w:val="0"/>
          <w:sz w:val="28"/>
        </w:rPr>
        <w:t>1.1. Понятие и признаки недвижимого имущества</w:t>
      </w:r>
    </w:p>
    <w:p>
      <w:pPr>
        <w:spacing w:line="360" w:lineRule="auto" w:after="0" w:before="0"/>
        <w:ind w:firstLine="709"/>
      </w:pPr>
      <w:r>
        <w:rPr>
          <w:rFonts w:ascii="Times New Roman" w:hAnsi="Times New Roman" w:eastAsia="Times New Roman"/>
          <w:b w:val="0"/>
          <w:i w:val="0"/>
          <w:sz w:val="28"/>
        </w:rPr>
        <w:t>Понятие недвижимого имущества является базовым для гражданского права, поскольку от правильной квалификации объекта зависит применимый правовой режим. Вещь может участвовать в гражданском обороте как объект права собственности, предмет договора, объект залога, наследования, аренды или иных правоотношений. Однако недвижимость отличается от иных вещей тем, что ее оборот связан с повышенными требованиями к определенности объекта и публичности прав.</w:t>
      </w:r>
    </w:p>
    <w:p>
      <w:pPr>
        <w:spacing w:line="360" w:lineRule="auto" w:after="0" w:before="0"/>
        <w:ind w:firstLine="709"/>
      </w:pPr>
      <w:r>
        <w:rPr>
          <w:rFonts w:ascii="Times New Roman" w:hAnsi="Times New Roman" w:eastAsia="Times New Roman"/>
          <w:b w:val="0"/>
          <w:i w:val="0"/>
          <w:sz w:val="28"/>
        </w:rPr>
        <w:t>В соответствии со статьей 130 Гражданского кодекса Российской Федерации к недвижимым вещам относятся земельные участки, участки недр и все, что прочно связано с землей. Закон прямо называет здания, сооружения, объекты незавершенного строительства. Также к недвижимости относятся жилые и нежилые помещения, машино-места, если границы таких объектов описаны в установленном законодательством порядке и сведения внесены в Единый государственный реестр недвижимости [2].</w:t>
      </w:r>
    </w:p>
    <w:p>
      <w:pPr>
        <w:spacing w:line="360" w:lineRule="auto" w:after="0" w:before="0"/>
        <w:ind w:firstLine="709"/>
      </w:pPr>
      <w:r>
        <w:rPr>
          <w:rFonts w:ascii="Times New Roman" w:hAnsi="Times New Roman" w:eastAsia="Times New Roman"/>
          <w:b w:val="0"/>
          <w:i w:val="0"/>
          <w:sz w:val="28"/>
        </w:rPr>
        <w:t>Из данного определения следует, что законодатель использует два подхода к определению недвижимости. Первый подход является физическим и связан с прочной связью объекта с землей. Второй подход является юридическим: закон может признать недвижимостью отдельные объекты, для которых установлен специальный порядок учета и регистрации. Поэтому понятие недвижимости нельзя объяснять только техническими характеристиками объекта. Оно имеет одновременно материальное и правовое содержание.</w:t>
      </w:r>
    </w:p>
    <w:p>
      <w:pPr>
        <w:spacing w:line="360" w:lineRule="auto" w:after="0" w:before="0"/>
        <w:ind w:firstLine="709"/>
      </w:pPr>
      <w:r>
        <w:rPr>
          <w:rFonts w:ascii="Times New Roman" w:hAnsi="Times New Roman" w:eastAsia="Times New Roman"/>
          <w:b w:val="0"/>
          <w:i w:val="0"/>
          <w:sz w:val="28"/>
        </w:rPr>
        <w:t>Первым признаком недвижимого имущества является прочная связь с землей. Она проявляется в том, что объект не существует в гражданском обороте отдельно от конкретного земельного участка либо его перемещение приведет к утрате назначения. Для здания или сооружения такая связь обычно выражается в наличии фундамента, инженерных сетей, конструктивной устойчивости, привязки к адресу и земельному участку. Однако сама по себе физическая связь с землей не всегда достаточна: временный павильон, киоск, сборная конструкция или оборудование могут быть демонтированы без утраты назначения, поэтому в конкретном споре требуется оценка всех обстоятельств.</w:t>
      </w:r>
    </w:p>
    <w:p>
      <w:pPr>
        <w:spacing w:line="360" w:lineRule="auto" w:after="0" w:before="0"/>
        <w:ind w:firstLine="709"/>
      </w:pPr>
      <w:r>
        <w:rPr>
          <w:rFonts w:ascii="Times New Roman" w:hAnsi="Times New Roman" w:eastAsia="Times New Roman"/>
          <w:b w:val="0"/>
          <w:i w:val="0"/>
          <w:sz w:val="28"/>
        </w:rPr>
        <w:t>Вторым признаком является невозможность перемещения объекта без несоразмерного ущерба его назначению. Важно, что речь идет не об абсолютной невозможности перемещения, а о юридически значимой несоразмерности ущерба. Современные технологии позволяют физически переместить многие объекты, но если такое перемещение уничтожает функциональное назначение, требует чрезмерных затрат, разрушает конструкцию или лишает объект экономического смысла, объект должен рассматриваться как недвижимый.</w:t>
      </w:r>
    </w:p>
    <w:p>
      <w:pPr>
        <w:spacing w:line="360" w:lineRule="auto" w:after="0" w:before="0"/>
        <w:ind w:firstLine="709"/>
      </w:pPr>
      <w:r>
        <w:rPr>
          <w:rFonts w:ascii="Times New Roman" w:hAnsi="Times New Roman" w:eastAsia="Times New Roman"/>
          <w:b w:val="0"/>
          <w:i w:val="0"/>
          <w:sz w:val="28"/>
        </w:rPr>
        <w:t>Третьим признаком является индивидуальная определенность недвижимости. Каждый объект должен быть описан таким образом, чтобы его можно было отличить от любого другого объекта. Для земельного участка такими характеристиками являются кадастровый номер, площадь, местоположение, границы, категория земель, вид разрешенного использования. Для здания или помещения важны адрес, площадь, этажность, назначение, кадастровый номер и иные сведения. Без индивидуализации объекта невозможно совершать сделки, регистрировать права и защищать имущество в суде.</w:t>
      </w:r>
    </w:p>
    <w:p>
      <w:pPr>
        <w:spacing w:line="360" w:lineRule="auto" w:after="0" w:before="0"/>
        <w:ind w:firstLine="709"/>
      </w:pPr>
      <w:r>
        <w:rPr>
          <w:rFonts w:ascii="Times New Roman" w:hAnsi="Times New Roman" w:eastAsia="Times New Roman"/>
          <w:b w:val="0"/>
          <w:i w:val="0"/>
          <w:sz w:val="28"/>
        </w:rPr>
        <w:t>Четвертый признак недвижимого имущества состоит в публичности правового режима. Права на недвижимость подлежат государственной регистрации, а сведения о зарегистрированных правах включаются в Единый государственный реестр недвижимости. Публичность означает, что участники гражданского оборота могут получить информацию о правообладателе, обременениях, характеристиках объекта и иных юридически значимых обстоятельствах. Именно это отличает недвижимость от большинства движимых вещей, права на которые обычно не требуют регистрации.</w:t>
      </w:r>
    </w:p>
    <w:p>
      <w:pPr>
        <w:spacing w:line="360" w:lineRule="auto" w:after="0" w:before="0"/>
        <w:ind w:firstLine="709"/>
      </w:pPr>
      <w:r>
        <w:rPr>
          <w:rFonts w:ascii="Times New Roman" w:hAnsi="Times New Roman" w:eastAsia="Times New Roman"/>
          <w:b w:val="0"/>
          <w:i w:val="0"/>
          <w:sz w:val="28"/>
        </w:rPr>
        <w:t>Пятый признак выражается в повышенной стоимости и социальной значимости недвижимости. Жилые помещения связаны с реализацией жилищных прав граждан, земельные участки являются основой хозяйственной деятельности и градостроительного развития, коммерческие здания используются в предпринимательстве, а объекты незавершенного строительства вовлекают значительные инвестиции. Поэтому государство устанавливает особые требования к возникновению, переходу и прекращению прав на недвижимое имущество.</w:t>
      </w:r>
    </w:p>
    <w:p>
      <w:pPr>
        <w:spacing w:line="360" w:lineRule="auto" w:after="0" w:before="0"/>
        <w:ind w:firstLine="709"/>
      </w:pPr>
      <w:r>
        <w:rPr>
          <w:rFonts w:ascii="Times New Roman" w:hAnsi="Times New Roman" w:eastAsia="Times New Roman"/>
          <w:b w:val="0"/>
          <w:i w:val="0"/>
          <w:sz w:val="28"/>
        </w:rPr>
        <w:t>Правовой режим недвижимости является комплексным. Его основу составляют нормы Гражданского кодекса Российской Федерации, но они применяются совместно с Земельным кодексом Российской Федерации, Жилищным кодексом Российской Федерации, Градостроительным кодексом Российской Федерации, Федеральным законом «О государственной регистрации недвижимости», законодательством об ипотеке и иными актами. Такая межотраслевая связь объясняется тем, что недвижимость одновременно является объектом частного оборота и элементом публичного пространства.</w:t>
      </w:r>
    </w:p>
    <w:p>
      <w:pPr>
        <w:spacing w:line="360" w:lineRule="auto" w:after="0" w:before="0"/>
        <w:ind w:firstLine="709"/>
      </w:pPr>
      <w:r>
        <w:rPr>
          <w:rFonts w:ascii="Times New Roman" w:hAnsi="Times New Roman" w:eastAsia="Times New Roman"/>
          <w:b w:val="0"/>
          <w:i w:val="0"/>
          <w:sz w:val="28"/>
        </w:rPr>
        <w:t>В научной литературе недвижимость рассматривается как объект, правовой режим которого определяется сочетанием вещно-правовых и публично-правовых элементов. Например, собственник жилого дома не только владеет, пользуется и распоряжается имуществом, но и обязан соблюдать требования градостроительного, санитарного, противопожарного и земельного законодательства. Собственник земельного участка не может использовать участок произвольно: он связан категорией земель, видом разрешенного использования, охранными зонами и иными ограничениями.</w:t>
      </w:r>
    </w:p>
    <w:p>
      <w:pPr>
        <w:spacing w:line="360" w:lineRule="auto" w:after="0" w:before="0"/>
        <w:ind w:firstLine="709"/>
      </w:pPr>
      <w:r>
        <w:rPr>
          <w:rFonts w:ascii="Times New Roman" w:hAnsi="Times New Roman" w:eastAsia="Times New Roman"/>
          <w:b w:val="0"/>
          <w:i w:val="0"/>
          <w:sz w:val="28"/>
        </w:rPr>
        <w:t>Особую роль в понимании недвижимости играет статья 8.1 Гражданского кодекса Российской Федерации, закрепляющая общие правила государственной регистрации прав на имущество. Права, подлежащие государственной регистрации, возникают, изменяются и прекращаются с момента внесения записи в соответствующий реестр, если иное не установлено законом [2]. Это означает, что для недвижимости юридическое значение имеет не только наличие договора или фактическое владение, но и регистрационная запись.</w:t>
      </w:r>
    </w:p>
    <w:p>
      <w:pPr>
        <w:spacing w:line="360" w:lineRule="auto" w:after="0" w:before="0"/>
        <w:ind w:firstLine="709"/>
      </w:pPr>
      <w:r>
        <w:rPr>
          <w:rFonts w:ascii="Times New Roman" w:hAnsi="Times New Roman" w:eastAsia="Times New Roman"/>
          <w:b w:val="0"/>
          <w:i w:val="0"/>
          <w:sz w:val="28"/>
        </w:rPr>
        <w:t>Вместе с тем государственная регистрация не создает объект недвижимости сама по себе. Если объект не обладает признаками недвижимости, ошибочное внесение сведений в реестр не должно превращать его в недвижимую вещь. На практике такие ситуации возникают при регистрации временных строений, вспомогательных сооружений или объектов, которые могут быть перемещены без утраты назначения. В таком случае суды оценивают технические характеристики, назначение объекта, связь с земельным участком и законность регистрационных действий.</w:t>
      </w:r>
    </w:p>
    <w:p>
      <w:pPr>
        <w:spacing w:line="360" w:lineRule="auto" w:after="0" w:before="0"/>
        <w:ind w:firstLine="709"/>
      </w:pPr>
      <w:r>
        <w:rPr>
          <w:rFonts w:ascii="Times New Roman" w:hAnsi="Times New Roman" w:eastAsia="Times New Roman"/>
          <w:b w:val="0"/>
          <w:i w:val="0"/>
          <w:sz w:val="28"/>
        </w:rPr>
        <w:t>Таким образом, недвижимое имущество можно определить как индивидуально-определенную вещь, прочно связанную с землей либо отнесенную законом к недвижимости, права на которую подлежат специальному публичному учету и государственной регистрации. Данное определение позволяет учитывать как материальные свойства объекта, так и юридические особенности его участия в гражданском обороте.</w:t>
      </w:r>
    </w:p>
    <w:p>
      <w:pPr>
        <w:spacing w:line="360" w:lineRule="auto" w:after="0" w:before="0"/>
        <w:ind w:firstLine="709"/>
      </w:pPr>
      <w:r>
        <w:rPr>
          <w:rFonts w:ascii="Times New Roman" w:hAnsi="Times New Roman" w:eastAsia="Times New Roman"/>
          <w:b w:val="0"/>
          <w:i w:val="0"/>
          <w:sz w:val="28"/>
        </w:rPr>
        <w:t>Практическое значение признаков недвижимости состоит в том, что от них зависит выбор способа защиты права. Если спор касается зарегистрированного права на недвижимость, применяются правила об оспаривании зарегистрированного права, виндикации, признании права отсутствующим, исправлении реестровой ошибки. Если же объект является движимым, используются иные способы защиты, а государственная регистрация не имеет такого правопорождающего значения.</w:t>
      </w:r>
    </w:p>
    <w:p>
      <w:pPr>
        <w:spacing w:line="360" w:lineRule="auto" w:after="0" w:before="0"/>
        <w:ind w:firstLine="709"/>
      </w:pPr>
      <w:r>
        <w:rPr>
          <w:rFonts w:ascii="Times New Roman" w:hAnsi="Times New Roman" w:eastAsia="Times New Roman"/>
          <w:b w:val="0"/>
          <w:i w:val="0"/>
          <w:sz w:val="28"/>
        </w:rPr>
        <w:t>Следовательно, понятие и признаки недвижимого имущества имеют не только теоретическое, но и прикладное значение. Они позволяют правильно определить объект гражданских прав, выбрать применимое законодательство, оформить сделку, провести регистрацию и защитить нарушенное право. Ошибка на этом этапе способна повлечь недействительность сделки, отказ в регистрации или невозможность доказать право в суде.</w:t>
      </w:r>
    </w:p>
    <w:p>
      <w:pPr>
        <w:pStyle w:val="Heading2"/>
        <w:spacing w:line="360" w:lineRule="auto"/>
        <w:ind w:firstLine="0"/>
        <w:jc w:val="center"/>
      </w:pPr>
      <w:r>
        <w:rPr>
          <w:rFonts w:ascii="Times New Roman" w:hAnsi="Times New Roman" w:eastAsia="Times New Roman"/>
          <w:b/>
          <w:i w:val="0"/>
          <w:sz w:val="28"/>
        </w:rPr>
        <w:t>1.2. Классификация объектов недвижимости и их правовая характеристика</w:t>
      </w:r>
    </w:p>
    <w:p>
      <w:pPr>
        <w:spacing w:line="360" w:lineRule="auto" w:after="0" w:before="0"/>
        <w:ind w:firstLine="709"/>
      </w:pPr>
      <w:r>
        <w:rPr>
          <w:rFonts w:ascii="Times New Roman" w:hAnsi="Times New Roman" w:eastAsia="Times New Roman"/>
          <w:b w:val="0"/>
          <w:i w:val="0"/>
          <w:sz w:val="28"/>
        </w:rPr>
        <w:t>Классификация объектов недвижимости необходима для определения особенностей их правового режима. Недвижимость не является однородной категорией: земельный участок, жилое помещение, нежилое здание, сооружение, объект незавершенного строительства и машино-место имеют разные характеристики, порядок использования, ограничения и правила оборота.</w:t>
      </w:r>
    </w:p>
    <w:p>
      <w:pPr>
        <w:spacing w:line="360" w:lineRule="auto" w:after="0" w:before="0"/>
        <w:ind w:firstLine="709"/>
      </w:pPr>
      <w:r>
        <w:rPr>
          <w:rFonts w:ascii="Times New Roman" w:hAnsi="Times New Roman" w:eastAsia="Times New Roman"/>
          <w:b w:val="0"/>
          <w:i w:val="0"/>
          <w:sz w:val="28"/>
        </w:rPr>
        <w:t>Первую группу образуют земельные участки. Земельный участок является базовым объектом недвижимости, поскольку именно с ним связаны здания, сооружения и иные объекты. Правовой режим земельного участка определяется не только гражданским, но и земельным законодательством. Существенное значение имеют категория земель, вид разрешенного использования, границы, кадастровый номер и наличие ограничений. Земельный участок может находиться в частной, государственной или муниципальной собственности, но его использование не должно нарушать требования закона.</w:t>
      </w:r>
    </w:p>
    <w:p>
      <w:pPr>
        <w:spacing w:line="360" w:lineRule="auto" w:after="0" w:before="0"/>
        <w:ind w:firstLine="709"/>
      </w:pPr>
      <w:r>
        <w:rPr>
          <w:rFonts w:ascii="Times New Roman" w:hAnsi="Times New Roman" w:eastAsia="Times New Roman"/>
          <w:b w:val="0"/>
          <w:i w:val="0"/>
          <w:sz w:val="28"/>
        </w:rPr>
        <w:t>Особенность земельного участка состоит в том, что права на него часто связаны с правами на расположенные на нем здания и сооружения. При продаже здания покупатель обычно приобретает права на земельный участок в объеме, необходимом для использования объекта. Такая связь направлена на предотвращение ситуаций, когда здание принадлежит одному лицу, а земельный участок используется без правового основания. Однако на практике подобные споры продолжают возникать, особенно при старых документах на землю, изменении границ и расхождении сведений ЕГРН с фактическим пользованием.</w:t>
      </w:r>
    </w:p>
    <w:p>
      <w:pPr>
        <w:spacing w:line="360" w:lineRule="auto" w:after="0" w:before="0"/>
        <w:ind w:firstLine="709"/>
      </w:pPr>
      <w:r>
        <w:rPr>
          <w:rFonts w:ascii="Times New Roman" w:hAnsi="Times New Roman" w:eastAsia="Times New Roman"/>
          <w:b w:val="0"/>
          <w:i w:val="0"/>
          <w:sz w:val="28"/>
        </w:rPr>
        <w:t>Вторую группу составляют здания и сооружения. Здание обычно предназначено для пребывания людей, размещения организаций, проживания или иной деятельности. Сооружение чаще выполняет техническую, производственную, транспортную или инфраструктурную функцию. Для гражданского оборота важно, что такие объекты имеют самостоятельное значение, могут быть предметом купли-продажи, аренды, ипотеки, наследования, вклада в уставный капитал и других сделок.</w:t>
      </w:r>
    </w:p>
    <w:p>
      <w:pPr>
        <w:spacing w:line="360" w:lineRule="auto" w:after="0" w:before="0"/>
        <w:ind w:firstLine="709"/>
      </w:pPr>
      <w:r>
        <w:rPr>
          <w:rFonts w:ascii="Times New Roman" w:hAnsi="Times New Roman" w:eastAsia="Times New Roman"/>
          <w:b w:val="0"/>
          <w:i w:val="0"/>
          <w:sz w:val="28"/>
        </w:rPr>
        <w:t>Правовой режим зданий и сооружений зависит от их назначения. Жилой дом регулируется с учетом жилищного законодательства и требований пригодности для проживания. Нежилое здание может использоваться для предпринимательской, производственной, складской или иной деятельности. Сооружения, например инженерные сети, дороги, линейные объекты, имеют специальные правила учета и эксплуатации. Поэтому при классификации объекта необходимо учитывать не только его наименование, но и фактическое назначение.</w:t>
      </w:r>
    </w:p>
    <w:p>
      <w:pPr>
        <w:spacing w:line="360" w:lineRule="auto" w:after="0" w:before="0"/>
        <w:ind w:firstLine="709"/>
      </w:pPr>
      <w:r>
        <w:rPr>
          <w:rFonts w:ascii="Times New Roman" w:hAnsi="Times New Roman" w:eastAsia="Times New Roman"/>
          <w:b w:val="0"/>
          <w:i w:val="0"/>
          <w:sz w:val="28"/>
        </w:rPr>
        <w:t>Третью группу образуют жилые помещения. К ним относятся квартиры, комнаты, жилые дома и части жилых домов, отвечающие требованиям жилищного законодательства. Жилые помещения обладают особым социальным значением, поскольку связаны с правом граждан на жилище. Их правовой режим предусматривает ограничения использования: жилое помещение предназначено для проживания, а перевод его в нежилое допускается только при соблюдении установленной процедуры.</w:t>
      </w:r>
    </w:p>
    <w:p>
      <w:pPr>
        <w:spacing w:line="360" w:lineRule="auto" w:after="0" w:before="0"/>
        <w:ind w:firstLine="709"/>
      </w:pPr>
      <w:r>
        <w:rPr>
          <w:rFonts w:ascii="Times New Roman" w:hAnsi="Times New Roman" w:eastAsia="Times New Roman"/>
          <w:b w:val="0"/>
          <w:i w:val="0"/>
          <w:sz w:val="28"/>
        </w:rPr>
        <w:t>Особенности жилых помещений проявляются и в сделках. Например, при отчуждении доли в праве общей собственности на жилое помещение необходимо соблюдать преимущественное право покупки других сособственников. В ряде случаев требуется нотариальное удостоверение сделки. Также при совершении сделок с жилыми помещениями учитываются права несовершеннолетних, супругов, зарегистрированных лиц и иных субъектов, чьи интересы могут быть затронуты.</w:t>
      </w:r>
    </w:p>
    <w:p>
      <w:pPr>
        <w:spacing w:line="360" w:lineRule="auto" w:after="0" w:before="0"/>
        <w:ind w:firstLine="709"/>
      </w:pPr>
      <w:r>
        <w:rPr>
          <w:rFonts w:ascii="Times New Roman" w:hAnsi="Times New Roman" w:eastAsia="Times New Roman"/>
          <w:b w:val="0"/>
          <w:i w:val="0"/>
          <w:sz w:val="28"/>
        </w:rPr>
        <w:t>Четвертую группу составляют нежилые помещения. Они используются для офисов, магазинов, складов, производственных и иных целей. Нежилое помещение может быть самостоятельным объектом недвижимости, если оно индивидуализировано и поставлено на кадастровый учет. В отличие от жилого помещения, его использование связано с предпринимательским оборотом и договорными отношениями, прежде всего арендой, куплей-продажей и ипотекой.</w:t>
      </w:r>
    </w:p>
    <w:p>
      <w:pPr>
        <w:spacing w:line="360" w:lineRule="auto" w:after="0" w:before="0"/>
        <w:ind w:firstLine="709"/>
      </w:pPr>
      <w:r>
        <w:rPr>
          <w:rFonts w:ascii="Times New Roman" w:hAnsi="Times New Roman" w:eastAsia="Times New Roman"/>
          <w:b w:val="0"/>
          <w:i w:val="0"/>
          <w:sz w:val="28"/>
        </w:rPr>
        <w:t>Пятую группу образуют объекты незавершенного строительства. Их особенность заключается в том, что объект еще не введен в эксплуатацию, но уже может иметь признаки недвижимости и участвовать в гражданском обороте. Закон признает такие объекты недвижимыми, поскольку они связаны с землей и представляют имущественную ценность. Однако их правовой режим осложнен тем, что необходимо учитывать степень готовности, наличие разрешительной документации, права на земельный участок и возможность завершения строительства.</w:t>
      </w:r>
    </w:p>
    <w:p>
      <w:pPr>
        <w:spacing w:line="360" w:lineRule="auto" w:after="0" w:before="0"/>
        <w:ind w:firstLine="709"/>
      </w:pPr>
      <w:r>
        <w:rPr>
          <w:rFonts w:ascii="Times New Roman" w:hAnsi="Times New Roman" w:eastAsia="Times New Roman"/>
          <w:b w:val="0"/>
          <w:i w:val="0"/>
          <w:sz w:val="28"/>
        </w:rPr>
        <w:t>Шестую группу составляют машино-места. Законодательное признание машино-места объектом недвижимости связано с развитием рынка парковочных пространств. Машино-место не является помещением в классическом смысле, но может быть самостоятельным объектом, если его границы описаны в установленном порядке и сведения внесены в ЕГРН. Это показывает, что классификация недвижимости изменяется под влиянием экономических и социальных потребностей.</w:t>
      </w:r>
    </w:p>
    <w:p>
      <w:pPr>
        <w:spacing w:line="360" w:lineRule="auto" w:after="0" w:before="0"/>
        <w:ind w:firstLine="709"/>
      </w:pPr>
      <w:r>
        <w:rPr>
          <w:rFonts w:ascii="Times New Roman" w:hAnsi="Times New Roman" w:eastAsia="Times New Roman"/>
          <w:b w:val="0"/>
          <w:i w:val="0"/>
          <w:sz w:val="28"/>
        </w:rPr>
        <w:t>Отдельно следует выделить единый недвижимый комплекс. Он представляет собой совокупность объединенных единым назначением зданий, сооружений и иных вещей, неразрывно связанных физически или технологически. Такой объект может участвовать в обороте как единая вещь. Примером может быть промышленный комплекс, инфраструктурный объект или производственная площадка. Правовое значение данной конструкции состоит в упрощении оборота сложных объектов, которые фактически функционируют как единое целое.</w:t>
      </w:r>
    </w:p>
    <w:p>
      <w:pPr>
        <w:spacing w:line="360" w:lineRule="auto" w:after="0" w:before="0"/>
        <w:ind w:firstLine="709"/>
      </w:pPr>
      <w:r>
        <w:rPr>
          <w:rFonts w:ascii="Times New Roman" w:hAnsi="Times New Roman" w:eastAsia="Times New Roman"/>
          <w:b w:val="0"/>
          <w:i w:val="0"/>
          <w:sz w:val="28"/>
        </w:rPr>
        <w:t>Классификация недвижимости может проводиться и по критерию оборотоспособности. Одни объекты свободно участвуют в гражданском обороте, другие ограничены в обороте, третьи изъяты из оборота. Например, отдельные земельные участки, связанные с особо охраняемыми территориями, объектами обороны, лесным фондом или водными объектами, имеют специальные ограничения. В таких случаях частноправовой оборот недвижимости подчиняется публичным интересам.</w:t>
      </w:r>
    </w:p>
    <w:p>
      <w:pPr>
        <w:spacing w:line="360" w:lineRule="auto" w:after="0" w:before="0"/>
        <w:ind w:firstLine="709"/>
      </w:pPr>
      <w:r>
        <w:rPr>
          <w:rFonts w:ascii="Times New Roman" w:hAnsi="Times New Roman" w:eastAsia="Times New Roman"/>
          <w:b w:val="0"/>
          <w:i w:val="0"/>
          <w:sz w:val="28"/>
        </w:rPr>
        <w:t>По функциональному назначению недвижимость можно разделить на жилую, коммерческую, производственную, социальную, инфраструктурную и земельную. Такая классификация полезна для практики, поскольку помогает определить, какие нормы применяются к конкретному объекту. Например, к жилой недвижимости применяются нормы о защите жилищных прав, к коммерческой - правила предпринимательского оборота, к земельным участкам - нормы о разрешенном использовании и категории земель.</w:t>
      </w:r>
    </w:p>
    <w:p>
      <w:pPr>
        <w:spacing w:line="360" w:lineRule="auto" w:after="0" w:before="0"/>
        <w:ind w:firstLine="709"/>
      </w:pPr>
      <w:r>
        <w:rPr>
          <w:rFonts w:ascii="Times New Roman" w:hAnsi="Times New Roman" w:eastAsia="Times New Roman"/>
          <w:b w:val="0"/>
          <w:i w:val="0"/>
          <w:sz w:val="28"/>
        </w:rPr>
        <w:t>По субъектному составу можно выделить недвижимость, находящуюся в собственности граждан, юридических лиц, Российской Федерации, субъектов Российской Федерации и муниципальных образований. Субъектный состав влияет на порядок распоряжения имуществом. Государственная и муниципальная недвижимость отчуждается с учетом специальных процедур, в том числе приватизации, торгов и ограничений публичного права.</w:t>
      </w:r>
    </w:p>
    <w:p>
      <w:pPr>
        <w:spacing w:line="360" w:lineRule="auto" w:after="0" w:before="0"/>
        <w:ind w:firstLine="709"/>
      </w:pPr>
      <w:r>
        <w:rPr>
          <w:rFonts w:ascii="Times New Roman" w:hAnsi="Times New Roman" w:eastAsia="Times New Roman"/>
          <w:b w:val="0"/>
          <w:i w:val="0"/>
          <w:sz w:val="28"/>
        </w:rPr>
        <w:t>Для наглядности основные виды объектов недвижимости и особенности их правового режима можно представить следующим образом.</w:t>
      </w:r>
    </w:p>
    <w:tbl>
      <w:tblPr>
        <w:tblStyle w:val="TableGrid"/>
        <w:tblW w:type="auto" w:w="0"/>
        <w:jc w:val="center"/>
        <w:tblLook w:firstColumn="1" w:firstRow="1" w:lastColumn="0" w:lastRow="0" w:noHBand="0" w:noVBand="1" w:val="04A0"/>
      </w:tblPr>
      <w:tblGrid>
        <w:gridCol w:w="4819"/>
        <w:gridCol w:w="4819"/>
      </w:tblGrid>
      <w:tr>
        <w:tc>
          <w:tcPr>
            <w:tcW w:type="dxa" w:w="4819"/>
            <w:vAlign w:val="center"/>
          </w:tcPr>
          <w:p>
            <w:pPr>
              <w:spacing w:line="240" w:lineRule="auto" w:after="0" w:before="0"/>
              <w:ind w:firstLine="0"/>
              <w:jc w:val="center"/>
            </w:pPr>
            <w:r>
              <w:rPr>
                <w:rFonts w:ascii="Times New Roman" w:hAnsi="Times New Roman" w:eastAsia="Times New Roman"/>
                <w:b/>
                <w:i w:val="0"/>
                <w:sz w:val="24"/>
              </w:rPr>
              <w:t>Вид объекта</w:t>
            </w:r>
          </w:p>
        </w:tc>
        <w:tc>
          <w:tcPr>
            <w:tcW w:type="dxa" w:w="4819"/>
            <w:vAlign w:val="center"/>
          </w:tcPr>
          <w:p>
            <w:pPr>
              <w:spacing w:line="240" w:lineRule="auto" w:after="0" w:before="0"/>
              <w:ind w:firstLine="0"/>
              <w:jc w:val="center"/>
            </w:pPr>
            <w:r>
              <w:rPr>
                <w:rFonts w:ascii="Times New Roman" w:hAnsi="Times New Roman" w:eastAsia="Times New Roman"/>
                <w:b/>
                <w:i w:val="0"/>
                <w:sz w:val="24"/>
              </w:rPr>
              <w:t>Ключевые особенности правового режима</w:t>
            </w:r>
          </w:p>
        </w:tc>
      </w:tr>
      <w:tr>
        <w:tc>
          <w:tcPr>
            <w:tcW w:type="dxa" w:w="4819"/>
            <w:vAlign w:val="center"/>
          </w:tcPr>
          <w:p>
            <w:pPr>
              <w:spacing w:line="240" w:lineRule="auto" w:after="0" w:before="0"/>
              <w:ind w:firstLine="0"/>
              <w:jc w:val="left"/>
            </w:pPr>
            <w:r>
              <w:rPr>
                <w:rFonts w:ascii="Times New Roman" w:hAnsi="Times New Roman" w:eastAsia="Times New Roman"/>
                <w:b w:val="0"/>
                <w:i w:val="0"/>
                <w:sz w:val="24"/>
              </w:rPr>
              <w:t>Земельный участок</w:t>
            </w:r>
          </w:p>
        </w:tc>
        <w:tc>
          <w:tcPr>
            <w:tcW w:type="dxa" w:w="4819"/>
            <w:vAlign w:val="center"/>
          </w:tcPr>
          <w:p>
            <w:pPr>
              <w:spacing w:line="240" w:lineRule="auto" w:after="0" w:before="0"/>
              <w:ind w:firstLine="0"/>
              <w:jc w:val="left"/>
            </w:pPr>
            <w:r>
              <w:rPr>
                <w:rFonts w:ascii="Times New Roman" w:hAnsi="Times New Roman" w:eastAsia="Times New Roman"/>
                <w:b w:val="0"/>
                <w:i w:val="0"/>
                <w:sz w:val="24"/>
              </w:rPr>
              <w:t>Категория земель, вид разрешенного использования, границы, кадастровый учет, связь с расположенными объектами</w:t>
            </w:r>
          </w:p>
        </w:tc>
      </w:tr>
      <w:tr>
        <w:tc>
          <w:tcPr>
            <w:tcW w:type="dxa" w:w="4819"/>
            <w:vAlign w:val="center"/>
          </w:tcPr>
          <w:p>
            <w:pPr>
              <w:spacing w:line="240" w:lineRule="auto" w:after="0" w:before="0"/>
              <w:ind w:firstLine="0"/>
              <w:jc w:val="left"/>
            </w:pPr>
            <w:r>
              <w:rPr>
                <w:rFonts w:ascii="Times New Roman" w:hAnsi="Times New Roman" w:eastAsia="Times New Roman"/>
                <w:b w:val="0"/>
                <w:i w:val="0"/>
                <w:sz w:val="24"/>
              </w:rPr>
              <w:t>Здание</w:t>
            </w:r>
          </w:p>
        </w:tc>
        <w:tc>
          <w:tcPr>
            <w:tcW w:type="dxa" w:w="4819"/>
            <w:vAlign w:val="center"/>
          </w:tcPr>
          <w:p>
            <w:pPr>
              <w:spacing w:line="240" w:lineRule="auto" w:after="0" w:before="0"/>
              <w:ind w:firstLine="0"/>
              <w:jc w:val="left"/>
            </w:pPr>
            <w:r>
              <w:rPr>
                <w:rFonts w:ascii="Times New Roman" w:hAnsi="Times New Roman" w:eastAsia="Times New Roman"/>
                <w:b w:val="0"/>
                <w:i w:val="0"/>
                <w:sz w:val="24"/>
              </w:rPr>
              <w:t>Прочная связь с землей, самостоятельное назначение, регистрация права, возможность отчуждения и ипотеки</w:t>
            </w:r>
          </w:p>
        </w:tc>
      </w:tr>
      <w:tr>
        <w:tc>
          <w:tcPr>
            <w:tcW w:type="dxa" w:w="4819"/>
            <w:vAlign w:val="center"/>
          </w:tcPr>
          <w:p>
            <w:pPr>
              <w:spacing w:line="240" w:lineRule="auto" w:after="0" w:before="0"/>
              <w:ind w:firstLine="0"/>
              <w:jc w:val="left"/>
            </w:pPr>
            <w:r>
              <w:rPr>
                <w:rFonts w:ascii="Times New Roman" w:hAnsi="Times New Roman" w:eastAsia="Times New Roman"/>
                <w:b w:val="0"/>
                <w:i w:val="0"/>
                <w:sz w:val="24"/>
              </w:rPr>
              <w:t>Жилое помещение</w:t>
            </w:r>
          </w:p>
        </w:tc>
        <w:tc>
          <w:tcPr>
            <w:tcW w:type="dxa" w:w="4819"/>
            <w:vAlign w:val="center"/>
          </w:tcPr>
          <w:p>
            <w:pPr>
              <w:spacing w:line="240" w:lineRule="auto" w:after="0" w:before="0"/>
              <w:ind w:firstLine="0"/>
              <w:jc w:val="left"/>
            </w:pPr>
            <w:r>
              <w:rPr>
                <w:rFonts w:ascii="Times New Roman" w:hAnsi="Times New Roman" w:eastAsia="Times New Roman"/>
                <w:b w:val="0"/>
                <w:i w:val="0"/>
                <w:sz w:val="24"/>
              </w:rPr>
              <w:t>Использование для проживания, жилищные гарантии, особые требования к сделкам и защите прав граждан</w:t>
            </w:r>
          </w:p>
        </w:tc>
      </w:tr>
      <w:tr>
        <w:tc>
          <w:tcPr>
            <w:tcW w:type="dxa" w:w="4819"/>
            <w:vAlign w:val="center"/>
          </w:tcPr>
          <w:p>
            <w:pPr>
              <w:spacing w:line="240" w:lineRule="auto" w:after="0" w:before="0"/>
              <w:ind w:firstLine="0"/>
              <w:jc w:val="left"/>
            </w:pPr>
            <w:r>
              <w:rPr>
                <w:rFonts w:ascii="Times New Roman" w:hAnsi="Times New Roman" w:eastAsia="Times New Roman"/>
                <w:b w:val="0"/>
                <w:i w:val="0"/>
                <w:sz w:val="24"/>
              </w:rPr>
              <w:t>Нежилое помещение</w:t>
            </w:r>
          </w:p>
        </w:tc>
        <w:tc>
          <w:tcPr>
            <w:tcW w:type="dxa" w:w="4819"/>
            <w:vAlign w:val="center"/>
          </w:tcPr>
          <w:p>
            <w:pPr>
              <w:spacing w:line="240" w:lineRule="auto" w:after="0" w:before="0"/>
              <w:ind w:firstLine="0"/>
              <w:jc w:val="left"/>
            </w:pPr>
            <w:r>
              <w:rPr>
                <w:rFonts w:ascii="Times New Roman" w:hAnsi="Times New Roman" w:eastAsia="Times New Roman"/>
                <w:b w:val="0"/>
                <w:i w:val="0"/>
                <w:sz w:val="24"/>
              </w:rPr>
              <w:t>Коммерческое или иное использование, активное участие в аренде, купле-продаже и предпринимательском обороте</w:t>
            </w:r>
          </w:p>
        </w:tc>
      </w:tr>
      <w:tr>
        <w:tc>
          <w:tcPr>
            <w:tcW w:type="dxa" w:w="4819"/>
            <w:vAlign w:val="center"/>
          </w:tcPr>
          <w:p>
            <w:pPr>
              <w:spacing w:line="240" w:lineRule="auto" w:after="0" w:before="0"/>
              <w:ind w:firstLine="0"/>
              <w:jc w:val="left"/>
            </w:pPr>
            <w:r>
              <w:rPr>
                <w:rFonts w:ascii="Times New Roman" w:hAnsi="Times New Roman" w:eastAsia="Times New Roman"/>
                <w:b w:val="0"/>
                <w:i w:val="0"/>
                <w:sz w:val="24"/>
              </w:rPr>
              <w:t>Объект незавершенного строительства</w:t>
            </w:r>
          </w:p>
        </w:tc>
        <w:tc>
          <w:tcPr>
            <w:tcW w:type="dxa" w:w="4819"/>
            <w:vAlign w:val="center"/>
          </w:tcPr>
          <w:p>
            <w:pPr>
              <w:spacing w:line="240" w:lineRule="auto" w:after="0" w:before="0"/>
              <w:ind w:firstLine="0"/>
              <w:jc w:val="left"/>
            </w:pPr>
            <w:r>
              <w:rPr>
                <w:rFonts w:ascii="Times New Roman" w:hAnsi="Times New Roman" w:eastAsia="Times New Roman"/>
                <w:b w:val="0"/>
                <w:i w:val="0"/>
                <w:sz w:val="24"/>
              </w:rPr>
              <w:t>Наличие признаков недвижимости при незавершенности работ, зависимость от прав на земельный участок и разрешительной документации</w:t>
            </w:r>
          </w:p>
        </w:tc>
      </w:tr>
      <w:tr>
        <w:tc>
          <w:tcPr>
            <w:tcW w:type="dxa" w:w="4819"/>
            <w:vAlign w:val="center"/>
          </w:tcPr>
          <w:p>
            <w:pPr>
              <w:spacing w:line="240" w:lineRule="auto" w:after="0" w:before="0"/>
              <w:ind w:firstLine="0"/>
              <w:jc w:val="left"/>
            </w:pPr>
            <w:r>
              <w:rPr>
                <w:rFonts w:ascii="Times New Roman" w:hAnsi="Times New Roman" w:eastAsia="Times New Roman"/>
                <w:b w:val="0"/>
                <w:i w:val="0"/>
                <w:sz w:val="24"/>
              </w:rPr>
              <w:t>Машино-место</w:t>
            </w:r>
          </w:p>
        </w:tc>
        <w:tc>
          <w:tcPr>
            <w:tcW w:type="dxa" w:w="4819"/>
            <w:vAlign w:val="center"/>
          </w:tcPr>
          <w:p>
            <w:pPr>
              <w:spacing w:line="240" w:lineRule="auto" w:after="0" w:before="0"/>
              <w:ind w:firstLine="0"/>
              <w:jc w:val="left"/>
            </w:pPr>
            <w:r>
              <w:rPr>
                <w:rFonts w:ascii="Times New Roman" w:hAnsi="Times New Roman" w:eastAsia="Times New Roman"/>
                <w:b w:val="0"/>
                <w:i w:val="0"/>
                <w:sz w:val="24"/>
              </w:rPr>
              <w:t>Самостоятельный объект при описании границ и внесении сведений в ЕГРН</w:t>
            </w:r>
          </w:p>
        </w:tc>
      </w:tr>
    </w:tbl>
    <w:p>
      <w:pPr>
        <w:spacing w:line="360" w:lineRule="auto" w:after="0" w:before="0"/>
        <w:ind w:firstLine="709"/>
      </w:pPr>
      <w:r>
        <w:rPr>
          <w:rFonts w:ascii="Times New Roman" w:hAnsi="Times New Roman" w:eastAsia="Times New Roman"/>
          <w:b w:val="0"/>
          <w:i w:val="0"/>
          <w:sz w:val="28"/>
        </w:rPr>
        <w:t>Данная таблица показывает, что каждый вид недвижимости имеет общую правовую основу, но отличается специальными правилами. Поэтому в гражданском обороте недостаточно указать, что объект относится к недвижимости. Необходимо определить его конкретный вид, назначение, регистрационный статус, правовой титул правообладателя и наличие ограничений.</w:t>
      </w:r>
    </w:p>
    <w:p>
      <w:pPr>
        <w:spacing w:line="360" w:lineRule="auto" w:after="0" w:before="0"/>
        <w:ind w:firstLine="709"/>
      </w:pPr>
      <w:r>
        <w:rPr>
          <w:rFonts w:ascii="Times New Roman" w:hAnsi="Times New Roman" w:eastAsia="Times New Roman"/>
          <w:b w:val="0"/>
          <w:i w:val="0"/>
          <w:sz w:val="28"/>
        </w:rPr>
        <w:t>Судебная практика подтверждает важность правильной классификации недвижимости. Например, споры о самовольных постройках часто связаны с тем, является ли объект капитальным, возможно ли его сохранить, допущены ли нарушения градостроительных требований и соразмерен ли снос выявленному нарушению. Постановление Пленума Верховного Суда Российской Федерации от 12.12.2023 № 44 обращает внимание на необходимость учитывать не только факт нарушения, но и возможность приведения объекта в соответствие с требованиями закона [14].</w:t>
      </w:r>
    </w:p>
    <w:p>
      <w:pPr>
        <w:spacing w:line="360" w:lineRule="auto" w:after="0" w:before="0"/>
        <w:ind w:firstLine="709"/>
      </w:pPr>
      <w:r>
        <w:rPr>
          <w:rFonts w:ascii="Times New Roman" w:hAnsi="Times New Roman" w:eastAsia="Times New Roman"/>
          <w:b w:val="0"/>
          <w:i w:val="0"/>
          <w:sz w:val="28"/>
        </w:rPr>
        <w:t>Проблемы классификации возникают также при расхождении фактического состояния объекта и сведений ЕГРН. Например, в реестре может быть указано одно назначение помещения, а фактически оно используется иначе. В таком случае правовой режим определяется не только записью в реестре, но и нормами, регулирующими допустимое использование объекта. Для устранения противоречия требуется изменение сведений ЕГРН, перевод помещения, реконструкция или иной законный механизм.</w:t>
      </w:r>
    </w:p>
    <w:p>
      <w:pPr>
        <w:spacing w:line="360" w:lineRule="auto" w:after="0" w:before="0"/>
        <w:ind w:firstLine="709"/>
      </w:pPr>
      <w:r>
        <w:rPr>
          <w:rFonts w:ascii="Times New Roman" w:hAnsi="Times New Roman" w:eastAsia="Times New Roman"/>
          <w:b w:val="0"/>
          <w:i w:val="0"/>
          <w:sz w:val="28"/>
        </w:rPr>
        <w:t>Отдельная проблема связана с объектами незавершенного строительства. Они могут использоваться для инвестиций, залога, наследования, но при этом не всегда ясно, обладает ли объект достаточной степенью готовности и законными основаниями строительства. Если объект создан без необходимых разрешений или на земельном участке, не предназначенном для такого строительства, возникает риск признания его самовольной постройкой.</w:t>
      </w:r>
    </w:p>
    <w:p>
      <w:pPr>
        <w:spacing w:line="360" w:lineRule="auto" w:after="0" w:before="0"/>
        <w:ind w:firstLine="709"/>
      </w:pPr>
      <w:r>
        <w:rPr>
          <w:rFonts w:ascii="Times New Roman" w:hAnsi="Times New Roman" w:eastAsia="Times New Roman"/>
          <w:b w:val="0"/>
          <w:i w:val="0"/>
          <w:sz w:val="28"/>
        </w:rPr>
        <w:t>Таким образом, классификация недвижимости имеет практическое значение для регистрации прав, заключения сделок, налогообложения, оценки, использования объекта и судебной защиты. Чем точнее определен вид объекта, тем ниже риск правовой неопределенности.</w:t>
      </w:r>
    </w:p>
    <w:p>
      <w:r>
        <w:br w:type="page"/>
      </w:r>
    </w:p>
    <w:p>
      <w:pPr>
        <w:pStyle w:val="Heading1"/>
        <w:spacing w:line="360" w:lineRule="auto"/>
        <w:ind w:firstLine="0"/>
        <w:jc w:val="center"/>
      </w:pPr>
      <w:r>
        <w:rPr>
          <w:rFonts w:ascii="Times New Roman" w:hAnsi="Times New Roman" w:eastAsia="Times New Roman"/>
          <w:b/>
          <w:i w:val="0"/>
          <w:sz w:val="28"/>
        </w:rPr>
        <w:t>ГЛАВА 2. ОСОБЕННОСТИ ПРАВОВОГО РЕЖИМА НЕДВИЖИМОГО ИМУЩЕСТВА</w:t>
      </w:r>
    </w:p>
    <w:p>
      <w:pPr>
        <w:pStyle w:val="Heading2"/>
        <w:spacing w:line="360" w:lineRule="auto"/>
        <w:ind w:firstLine="0"/>
        <w:jc w:val="center"/>
      </w:pPr>
      <w:r>
        <w:rPr>
          <w:rFonts w:ascii="Times New Roman" w:hAnsi="Times New Roman" w:eastAsia="Times New Roman"/>
          <w:b/>
          <w:i w:val="0"/>
          <w:sz w:val="28"/>
        </w:rPr>
        <w:t>2.1. Государственная регистрация прав на недвижимое имущество</w:t>
      </w:r>
    </w:p>
    <w:p>
      <w:pPr>
        <w:spacing w:line="360" w:lineRule="auto" w:after="0" w:before="0"/>
        <w:ind w:firstLine="709"/>
      </w:pPr>
      <w:r>
        <w:rPr>
          <w:rFonts w:ascii="Times New Roman" w:hAnsi="Times New Roman" w:eastAsia="Times New Roman"/>
          <w:b w:val="0"/>
          <w:i w:val="0"/>
          <w:sz w:val="28"/>
        </w:rPr>
        <w:t>Государственная регистрация прав на недвижимое имущество является центральным элементом правового режима недвижимости. Она обеспечивает публичное подтверждение прав, фиксирует юридически значимые сведения об объекте и правообладателе, а также позволяет участникам оборота проверять правовой статус имущества перед совершением сделки.</w:t>
      </w:r>
    </w:p>
    <w:p>
      <w:pPr>
        <w:spacing w:line="360" w:lineRule="auto" w:after="0" w:before="0"/>
        <w:ind w:firstLine="709"/>
      </w:pPr>
      <w:r>
        <w:rPr>
          <w:rFonts w:ascii="Times New Roman" w:hAnsi="Times New Roman" w:eastAsia="Times New Roman"/>
          <w:b w:val="0"/>
          <w:i w:val="0"/>
          <w:sz w:val="28"/>
        </w:rPr>
        <w:t>В соответствии с Федеральным законом от 13.07.2015 № 218-ФЗ «О государственной регистрации недвижимости» государственная регистрация прав представляет собой юридический акт признания и подтверждения возникновения, изменения, перехода, прекращения права определенного лица на недвижимое имущество, а также ограничения права или обременения недвижимости [7]. Следовательно, регистрация имеет не только технический, но и правовой характер.</w:t>
      </w:r>
    </w:p>
    <w:p>
      <w:pPr>
        <w:spacing w:line="360" w:lineRule="auto" w:after="0" w:before="0"/>
        <w:ind w:firstLine="709"/>
      </w:pPr>
      <w:r>
        <w:rPr>
          <w:rFonts w:ascii="Times New Roman" w:hAnsi="Times New Roman" w:eastAsia="Times New Roman"/>
          <w:b w:val="0"/>
          <w:i w:val="0"/>
          <w:sz w:val="28"/>
        </w:rPr>
        <w:t>Значение регистрации проявляется в нескольких функциях. Во-первых, она выполняет правоподтверждающую функцию: запись в ЕГРН подтверждает существование зарегистрированного права. Во-вторых, регистрация выполняет правопорождающую функцию в тех случаях, когда право возникает только после внесения записи. В-третьих, она выполняет информационную функцию, поскольку сведения ЕГРН позволяют участникам оборота оценить риски сделки. В-четвертых, регистрация имеет охранительную функцию, так как защищает добросовестных участников оборота и создает презумпцию достоверности зарегистрированного права.</w:t>
      </w:r>
    </w:p>
    <w:p>
      <w:pPr>
        <w:spacing w:line="360" w:lineRule="auto" w:after="0" w:before="0"/>
        <w:ind w:firstLine="709"/>
      </w:pPr>
      <w:r>
        <w:rPr>
          <w:rFonts w:ascii="Times New Roman" w:hAnsi="Times New Roman" w:eastAsia="Times New Roman"/>
          <w:b w:val="0"/>
          <w:i w:val="0"/>
          <w:sz w:val="28"/>
        </w:rPr>
        <w:t>Основными принципами государственной регистрации являются законность, публичность, достоверность реестра, единство системы учета и регистрации, а также заявительный характер процедуры. Законность означает, что регистрирующий орган проверяет представленные документы и основания регистрации. Публичность выражается в возможности получить сведения из ЕГРН. Достоверность предполагает, что участники оборота вправе полагаться на сведения реестра, пока они не оспорены в установленном порядке.</w:t>
      </w:r>
    </w:p>
    <w:p>
      <w:pPr>
        <w:spacing w:line="360" w:lineRule="auto" w:after="0" w:before="0"/>
        <w:ind w:firstLine="709"/>
      </w:pPr>
      <w:r>
        <w:rPr>
          <w:rFonts w:ascii="Times New Roman" w:hAnsi="Times New Roman" w:eastAsia="Times New Roman"/>
          <w:b w:val="0"/>
          <w:i w:val="0"/>
          <w:sz w:val="28"/>
        </w:rPr>
        <w:t>Процедура регистрации включает подачу заявления, представление документов, правовую экспертизу, внесение записи в ЕГРН либо принятие решения о приостановлении или отказе. На практике особое значение имеет правовая экспертиза документов. Именно на этом этапе проверяется наличие полномочий, действительность основания, соответствие объекта сведениям кадастра, отсутствие противоречий между заявленными правами и уже зарегистрированными правами.</w:t>
      </w:r>
    </w:p>
    <w:p>
      <w:pPr>
        <w:spacing w:line="360" w:lineRule="auto" w:after="0" w:before="0"/>
        <w:ind w:firstLine="709"/>
      </w:pPr>
      <w:r>
        <w:rPr>
          <w:rFonts w:ascii="Times New Roman" w:hAnsi="Times New Roman" w:eastAsia="Times New Roman"/>
          <w:b w:val="0"/>
          <w:i w:val="0"/>
          <w:sz w:val="28"/>
        </w:rPr>
        <w:t>Для регистрации права собственности по договору купли-продажи недвижимости требуется надлежащее оформление договора, наличие прав продавца, согласие необходимых лиц, соблюдение формы сделки и отсутствие запретов или арестов. При ипотеке важны сведения об обеспечиваемом обязательстве, предмете залога и условиях обременения. При наследовании необходимы документы, подтверждающие переход имущества к наследнику, а при судебном признании права - судебный акт, содержащий вывод о наличии права.</w:t>
      </w:r>
    </w:p>
    <w:p>
      <w:pPr>
        <w:spacing w:line="360" w:lineRule="auto" w:after="0" w:before="0"/>
        <w:ind w:firstLine="709"/>
      </w:pPr>
      <w:r>
        <w:rPr>
          <w:rFonts w:ascii="Times New Roman" w:hAnsi="Times New Roman" w:eastAsia="Times New Roman"/>
          <w:b w:val="0"/>
          <w:i w:val="0"/>
          <w:sz w:val="28"/>
        </w:rPr>
        <w:t>Регистрация прав тесно связана с кадастровым учетом. Нельзя зарегистрировать право на объект, который не индивидуализирован. Поэтому для большинства объектов требуется кадастровый номер и сведения о характеристиках. Государственный кадастровый учет и государственная регистрация прав объединены в единую систему, что направлено на уменьшение разрыва между фактическим существованием объекта и юридическим оформлением прав на него.</w:t>
      </w:r>
    </w:p>
    <w:p>
      <w:pPr>
        <w:spacing w:line="360" w:lineRule="auto" w:after="0" w:before="0"/>
        <w:ind w:firstLine="709"/>
      </w:pPr>
      <w:r>
        <w:rPr>
          <w:rFonts w:ascii="Times New Roman" w:hAnsi="Times New Roman" w:eastAsia="Times New Roman"/>
          <w:b w:val="0"/>
          <w:i w:val="0"/>
          <w:sz w:val="28"/>
        </w:rPr>
        <w:t>Вместе с тем регистрационная система не исключает споров. Ошибки в ЕГРН, наложение границ земельных участков, регистрация права на основании подложных документов, неверное указание площади или назначения объекта могут нарушать права собственников. Поэтому законодательство предусматривает механизмы исправления реестровых ошибок, оспаривания зарегистрированного права, признания права отсутствующим, признания сделки недействительной и иные способы защиты.</w:t>
      </w:r>
    </w:p>
    <w:p>
      <w:pPr>
        <w:spacing w:line="360" w:lineRule="auto" w:after="0" w:before="0"/>
        <w:ind w:firstLine="709"/>
      </w:pPr>
      <w:r>
        <w:rPr>
          <w:rFonts w:ascii="Times New Roman" w:hAnsi="Times New Roman" w:eastAsia="Times New Roman"/>
          <w:b w:val="0"/>
          <w:i w:val="0"/>
          <w:sz w:val="28"/>
        </w:rPr>
        <w:t>Особое значение имеет вопрос о добросовестности лица, которое приобретает недвижимость, полагаясь на ЕГРН. Верховный Суд Российской Федерации указывает, что лицо, указанное в государственном реестре в качестве правообладателя, признается таковым, пока в установленном порядке в реестр не внесена запись об ином. Поэтому покупатель, который полагается на данные ЕГРН, в общем случае действует добросовестно, если не доказано, что он знал или должен был знать о недостоверности сведений.</w:t>
      </w:r>
    </w:p>
    <w:p>
      <w:pPr>
        <w:spacing w:line="360" w:lineRule="auto" w:after="0" w:before="0"/>
        <w:ind w:firstLine="709"/>
      </w:pPr>
      <w:r>
        <w:rPr>
          <w:rFonts w:ascii="Times New Roman" w:hAnsi="Times New Roman" w:eastAsia="Times New Roman"/>
          <w:b w:val="0"/>
          <w:i w:val="0"/>
          <w:sz w:val="28"/>
        </w:rPr>
        <w:t>Показательным является Определение Судебной коллегии по гражданским делам Верховного Суда Российской Федерации от 18.04.2025 № 18-КГ25-43-К4. В деле рассматривался спор о зарегистрированном праве на земельный участок. Верховный Суд отметил, что при оспаривании зарегистрированного права действует презумпция достоверности государственной регистрации, а обязанность доказать отсутствие права возлагается на лицо, которое это право оспаривает [17]. Практическое значение данного вывода состоит в защите устойчивости реестра и недопустимости произвольного отрицания зарегистрированных прав.</w:t>
      </w:r>
    </w:p>
    <w:p>
      <w:pPr>
        <w:spacing w:line="360" w:lineRule="auto" w:after="0" w:before="0"/>
        <w:ind w:firstLine="709"/>
      </w:pPr>
      <w:r>
        <w:rPr>
          <w:rFonts w:ascii="Times New Roman" w:hAnsi="Times New Roman" w:eastAsia="Times New Roman"/>
          <w:b w:val="0"/>
          <w:i w:val="0"/>
          <w:sz w:val="28"/>
        </w:rPr>
        <w:t>В другом деле, рассмотренном в Определении Верховного Суда Российской Федерации от 16.05.2025 № 18-КГ25-13-К4, также подчеркивалось, что государственная регистрация является единственным доказательством существования зарегистрированного права, а зарегистрированное право может быть оспорено только в судебном порядке [18]. Такой подход показывает, что ЕГРН выполняет роль публичного юридического источника информации, а спор о праве на недвижимость не может разрешаться путем простой административной переоценки сведений.</w:t>
      </w:r>
    </w:p>
    <w:p>
      <w:pPr>
        <w:spacing w:line="360" w:lineRule="auto" w:after="0" w:before="0"/>
        <w:ind w:firstLine="709"/>
      </w:pPr>
      <w:r>
        <w:rPr>
          <w:rFonts w:ascii="Times New Roman" w:hAnsi="Times New Roman" w:eastAsia="Times New Roman"/>
          <w:b w:val="0"/>
          <w:i w:val="0"/>
          <w:sz w:val="28"/>
        </w:rPr>
        <w:t>Однако принцип достоверности реестра не является абсолютным. Если запись внесена на основании подложных документов, ошибочных данных или недействительной сделки, заинтересованное лицо вправе обратиться в суд. При этом важно правильно выбрать способ защиты. Например, если имущество находится во владении другого лица, может потребоваться виндикационный иск. Если запись нарушает право истца, но объект не находится во владении ответчика, возможен иск о признании права отсутствующим. Если основанием записи была сделка, может заявляться требование о признании сделки недействительной и применении последствий ее недействительности.</w:t>
      </w:r>
    </w:p>
    <w:p>
      <w:pPr>
        <w:spacing w:line="360" w:lineRule="auto" w:after="0" w:before="0"/>
        <w:ind w:firstLine="709"/>
      </w:pPr>
      <w:r>
        <w:rPr>
          <w:rFonts w:ascii="Times New Roman" w:hAnsi="Times New Roman" w:eastAsia="Times New Roman"/>
          <w:b w:val="0"/>
          <w:i w:val="0"/>
          <w:sz w:val="28"/>
        </w:rPr>
        <w:t>Проблема выбора способа защиты проявилась в Определении Судебной коллегии по гражданским делам Верховного Суда Российской Федерации от 29.07.2025 № 18-КГ25-74-К4. В деле первоначальный собственник оспаривал договор купли-продажи недвижимости, который, по его утверждению, он не заключал. Верховный Суд указал, что последствия недействительности сделки применяются к сторонам этой сделки, а право последующего приобретателя не может быть прекращено в порядке реституции по сделке, в которой он не участвовал [19]. Этот вывод важен для понимания того, что регистрационная запись должна оспариваться с учетом конкретного материально-правового основания.</w:t>
      </w:r>
    </w:p>
    <w:p>
      <w:pPr>
        <w:spacing w:line="360" w:lineRule="auto" w:after="0" w:before="0"/>
        <w:ind w:firstLine="709"/>
      </w:pPr>
      <w:r>
        <w:rPr>
          <w:rFonts w:ascii="Times New Roman" w:hAnsi="Times New Roman" w:eastAsia="Times New Roman"/>
          <w:b w:val="0"/>
          <w:i w:val="0"/>
          <w:sz w:val="28"/>
        </w:rPr>
        <w:t>С практической точки зрения государственная регистрация позволяет снизить риски оборота, но не освобождает участников сделки от проверки. Покупатель должен получить выписку из ЕГРН, проверить наличие обременений, полномочия продавца, историю перехода прав, согласия супругов или сособственников, судебные споры и фактическое состояние объекта. Чем выше стоимость объекта, тем более тщательной должна быть проверка.</w:t>
      </w:r>
    </w:p>
    <w:p>
      <w:pPr>
        <w:spacing w:line="360" w:lineRule="auto" w:after="0" w:before="0"/>
        <w:ind w:firstLine="709"/>
      </w:pPr>
      <w:r>
        <w:rPr>
          <w:rFonts w:ascii="Times New Roman" w:hAnsi="Times New Roman" w:eastAsia="Times New Roman"/>
          <w:b w:val="0"/>
          <w:i w:val="0"/>
          <w:sz w:val="28"/>
        </w:rPr>
        <w:t>Наиболее распространенные проблемы регистрации можно сгруппировать следующим образом.</w:t>
      </w:r>
    </w:p>
    <w:tbl>
      <w:tblPr>
        <w:tblStyle w:val="TableGrid"/>
        <w:tblW w:type="auto" w:w="0"/>
        <w:jc w:val="center"/>
        <w:tblLook w:firstColumn="1" w:firstRow="1" w:lastColumn="0" w:lastRow="0" w:noHBand="0" w:noVBand="1" w:val="04A0"/>
      </w:tblPr>
      <w:tblGrid>
        <w:gridCol w:w="3213"/>
        <w:gridCol w:w="3213"/>
        <w:gridCol w:w="3213"/>
      </w:tblGrid>
      <w:tr>
        <w:tc>
          <w:tcPr>
            <w:tcW w:type="dxa" w:w="3213"/>
            <w:vAlign w:val="center"/>
          </w:tcPr>
          <w:p>
            <w:pPr>
              <w:spacing w:line="240" w:lineRule="auto" w:after="0" w:before="0"/>
              <w:ind w:firstLine="0"/>
              <w:jc w:val="center"/>
            </w:pPr>
            <w:r>
              <w:rPr>
                <w:rFonts w:ascii="Times New Roman" w:hAnsi="Times New Roman" w:eastAsia="Times New Roman"/>
                <w:b/>
                <w:i w:val="0"/>
                <w:sz w:val="24"/>
              </w:rPr>
              <w:t>Проблема</w:t>
            </w:r>
          </w:p>
        </w:tc>
        <w:tc>
          <w:tcPr>
            <w:tcW w:type="dxa" w:w="3213"/>
            <w:vAlign w:val="center"/>
          </w:tcPr>
          <w:p>
            <w:pPr>
              <w:spacing w:line="240" w:lineRule="auto" w:after="0" w:before="0"/>
              <w:ind w:firstLine="0"/>
              <w:jc w:val="center"/>
            </w:pPr>
            <w:r>
              <w:rPr>
                <w:rFonts w:ascii="Times New Roman" w:hAnsi="Times New Roman" w:eastAsia="Times New Roman"/>
                <w:b/>
                <w:i w:val="0"/>
                <w:sz w:val="24"/>
              </w:rPr>
              <w:t>Проявление на практике</w:t>
            </w:r>
          </w:p>
        </w:tc>
        <w:tc>
          <w:tcPr>
            <w:tcW w:type="dxa" w:w="3213"/>
            <w:vAlign w:val="center"/>
          </w:tcPr>
          <w:p>
            <w:pPr>
              <w:spacing w:line="240" w:lineRule="auto" w:after="0" w:before="0"/>
              <w:ind w:firstLine="0"/>
              <w:jc w:val="center"/>
            </w:pPr>
            <w:r>
              <w:rPr>
                <w:rFonts w:ascii="Times New Roman" w:hAnsi="Times New Roman" w:eastAsia="Times New Roman"/>
                <w:b/>
                <w:i w:val="0"/>
                <w:sz w:val="24"/>
              </w:rPr>
              <w:t>Возможное решение</w:t>
            </w:r>
          </w:p>
        </w:tc>
      </w:tr>
      <w:tr>
        <w:tc>
          <w:tcPr>
            <w:tcW w:type="dxa" w:w="3213"/>
            <w:vAlign w:val="center"/>
          </w:tcPr>
          <w:p>
            <w:pPr>
              <w:spacing w:line="240" w:lineRule="auto" w:after="0" w:before="0"/>
              <w:ind w:firstLine="0"/>
              <w:jc w:val="left"/>
            </w:pPr>
            <w:r>
              <w:rPr>
                <w:rFonts w:ascii="Times New Roman" w:hAnsi="Times New Roman" w:eastAsia="Times New Roman"/>
                <w:b w:val="0"/>
                <w:i w:val="0"/>
                <w:sz w:val="24"/>
              </w:rPr>
              <w:t>Реестровая ошибка</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Неверные границы, площадь, адрес, назначение объекта</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Исправление ошибки в административном или судебном порядке</w:t>
            </w:r>
          </w:p>
        </w:tc>
      </w:tr>
      <w:tr>
        <w:tc>
          <w:tcPr>
            <w:tcW w:type="dxa" w:w="3213"/>
            <w:vAlign w:val="center"/>
          </w:tcPr>
          <w:p>
            <w:pPr>
              <w:spacing w:line="240" w:lineRule="auto" w:after="0" w:before="0"/>
              <w:ind w:firstLine="0"/>
              <w:jc w:val="left"/>
            </w:pPr>
            <w:r>
              <w:rPr>
                <w:rFonts w:ascii="Times New Roman" w:hAnsi="Times New Roman" w:eastAsia="Times New Roman"/>
                <w:b w:val="0"/>
                <w:i w:val="0"/>
                <w:sz w:val="24"/>
              </w:rPr>
              <w:t>Подложные документы</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Регистрация перехода права без действительного волеизъявления собственника</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Оспаривание сделки, заявление о преступлении, судебная защита права</w:t>
            </w:r>
          </w:p>
        </w:tc>
      </w:tr>
      <w:tr>
        <w:tc>
          <w:tcPr>
            <w:tcW w:type="dxa" w:w="3213"/>
            <w:vAlign w:val="center"/>
          </w:tcPr>
          <w:p>
            <w:pPr>
              <w:spacing w:line="240" w:lineRule="auto" w:after="0" w:before="0"/>
              <w:ind w:firstLine="0"/>
              <w:jc w:val="left"/>
            </w:pPr>
            <w:r>
              <w:rPr>
                <w:rFonts w:ascii="Times New Roman" w:hAnsi="Times New Roman" w:eastAsia="Times New Roman"/>
                <w:b w:val="0"/>
                <w:i w:val="0"/>
                <w:sz w:val="24"/>
              </w:rPr>
              <w:t>Неверный способ защиты</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Истец требует аннулировать запись без учета владения и основания перехода права</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Правильный выбор иска: виндикация, признание права, признание права отсутствующим, недействительность сделки</w:t>
            </w:r>
          </w:p>
        </w:tc>
      </w:tr>
      <w:tr>
        <w:tc>
          <w:tcPr>
            <w:tcW w:type="dxa" w:w="3213"/>
            <w:vAlign w:val="center"/>
          </w:tcPr>
          <w:p>
            <w:pPr>
              <w:spacing w:line="240" w:lineRule="auto" w:after="0" w:before="0"/>
              <w:ind w:firstLine="0"/>
              <w:jc w:val="left"/>
            </w:pPr>
            <w:r>
              <w:rPr>
                <w:rFonts w:ascii="Times New Roman" w:hAnsi="Times New Roman" w:eastAsia="Times New Roman"/>
                <w:b w:val="0"/>
                <w:i w:val="0"/>
                <w:sz w:val="24"/>
              </w:rPr>
              <w:t>Разрыв между фактом и реестром</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Объект существует фактически, но не поставлен на учет или сведения устарели</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Кадастровые работы, актуализация сведений ЕГРН, регистрация права</w:t>
            </w:r>
          </w:p>
        </w:tc>
      </w:tr>
      <w:tr>
        <w:tc>
          <w:tcPr>
            <w:tcW w:type="dxa" w:w="3213"/>
            <w:vAlign w:val="center"/>
          </w:tcPr>
          <w:p>
            <w:pPr>
              <w:spacing w:line="240" w:lineRule="auto" w:after="0" w:before="0"/>
              <w:ind w:firstLine="0"/>
              <w:jc w:val="left"/>
            </w:pPr>
            <w:r>
              <w:rPr>
                <w:rFonts w:ascii="Times New Roman" w:hAnsi="Times New Roman" w:eastAsia="Times New Roman"/>
                <w:b w:val="0"/>
                <w:i w:val="0"/>
                <w:sz w:val="24"/>
              </w:rPr>
              <w:t>Обременения</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Ипотека, аренда, арест или запрет ограничивают оборот</w:t>
            </w:r>
          </w:p>
        </w:tc>
        <w:tc>
          <w:tcPr>
            <w:tcW w:type="dxa" w:w="3213"/>
            <w:vAlign w:val="center"/>
          </w:tcPr>
          <w:p>
            <w:pPr>
              <w:spacing w:line="240" w:lineRule="auto" w:after="0" w:before="0"/>
              <w:ind w:firstLine="0"/>
              <w:jc w:val="left"/>
            </w:pPr>
            <w:r>
              <w:rPr>
                <w:rFonts w:ascii="Times New Roman" w:hAnsi="Times New Roman" w:eastAsia="Times New Roman"/>
                <w:b w:val="0"/>
                <w:i w:val="0"/>
                <w:sz w:val="24"/>
              </w:rPr>
              <w:t>Проверка выписки ЕГРН и документов до заключения сделки</w:t>
            </w:r>
          </w:p>
        </w:tc>
      </w:tr>
    </w:tbl>
    <w:p>
      <w:pPr>
        <w:spacing w:line="360" w:lineRule="auto" w:after="0" w:before="0"/>
        <w:ind w:firstLine="709"/>
      </w:pPr>
      <w:r>
        <w:rPr>
          <w:rFonts w:ascii="Times New Roman" w:hAnsi="Times New Roman" w:eastAsia="Times New Roman"/>
          <w:b w:val="0"/>
          <w:i w:val="0"/>
          <w:sz w:val="28"/>
        </w:rPr>
        <w:t>Таким образом, государственная регистрация является не формальностью, а ключевым юридическим механизмом правового режима недвижимости. Она обеспечивает публичность прав, определенность оборота и защиту участников сделок. Вместе с тем регистрация эффективна только при достоверности сведений, качественной правовой экспертизе и грамотном выборе способов защиты нарушенного права.</w:t>
      </w:r>
    </w:p>
    <w:p>
      <w:pPr>
        <w:pStyle w:val="Heading2"/>
        <w:spacing w:line="360" w:lineRule="auto"/>
        <w:ind w:firstLine="0"/>
        <w:jc w:val="center"/>
      </w:pPr>
      <w:r>
        <w:rPr>
          <w:rFonts w:ascii="Times New Roman" w:hAnsi="Times New Roman" w:eastAsia="Times New Roman"/>
          <w:b/>
          <w:i w:val="0"/>
          <w:sz w:val="28"/>
        </w:rPr>
        <w:t>2.2. Отдельные основания возникновения, перехода и прекращения прав на недвижимость</w:t>
      </w:r>
    </w:p>
    <w:p>
      <w:pPr>
        <w:spacing w:line="360" w:lineRule="auto" w:after="0" w:before="0"/>
        <w:ind w:firstLine="709"/>
      </w:pPr>
      <w:r>
        <w:rPr>
          <w:rFonts w:ascii="Times New Roman" w:hAnsi="Times New Roman" w:eastAsia="Times New Roman"/>
          <w:b w:val="0"/>
          <w:i w:val="0"/>
          <w:sz w:val="28"/>
        </w:rPr>
        <w:t>Основания возникновения, перехода и прекращения прав на недвижимость представляют собой юридические факты, с которыми закон связывает изменение принадлежности имущества или его правового состояния. Для недвижимости эти основания имеют особое значение, поскольку сами по себе фактические действия обычно недостаточны: требуется соблюдение формы, наличие правового основания и государственная регистрация.</w:t>
      </w:r>
    </w:p>
    <w:p>
      <w:pPr>
        <w:spacing w:line="360" w:lineRule="auto" w:after="0" w:before="0"/>
        <w:ind w:firstLine="709"/>
      </w:pPr>
      <w:r>
        <w:rPr>
          <w:rFonts w:ascii="Times New Roman" w:hAnsi="Times New Roman" w:eastAsia="Times New Roman"/>
          <w:b w:val="0"/>
          <w:i w:val="0"/>
          <w:sz w:val="28"/>
        </w:rPr>
        <w:t>К числу оснований возникновения права собственности на недвижимость относятся создание новой вещи, приобретение по договору, наследование, приватизация, судебное решение, приобретательная давность и иные юридические факты, предусмотренные законом. При этом в отношении недвижимости необходимо учитывать различие между основанием возникновения права и моментом его государственной регистрации. Договор или наследство могут создавать юридическую основу, но для полноценного участия права в обороте требуется внесение записи в ЕГРН.</w:t>
      </w:r>
    </w:p>
    <w:p>
      <w:pPr>
        <w:spacing w:line="360" w:lineRule="auto" w:after="0" w:before="0"/>
        <w:ind w:firstLine="709"/>
      </w:pPr>
      <w:r>
        <w:rPr>
          <w:rFonts w:ascii="Times New Roman" w:hAnsi="Times New Roman" w:eastAsia="Times New Roman"/>
          <w:b w:val="0"/>
          <w:i w:val="0"/>
          <w:sz w:val="28"/>
        </w:rPr>
        <w:t>Одним из наиболее распространенных оснований перехода прав является договор купли-продажи недвижимости. По такому договору продавец обязуется передать покупателю недвижимое имущество, а покупатель обязуется принять его и оплатить цену. Особенность договора состоит в необходимости письменной формы и государственной регистрации перехода права собственности. Сам договор, как правило, считается заключенным с момента подписания, но право собственности у покупателя возникает после регистрации перехода права, если иное не установлено законом.</w:t>
      </w:r>
    </w:p>
    <w:p>
      <w:pPr>
        <w:spacing w:line="360" w:lineRule="auto" w:after="0" w:before="0"/>
        <w:ind w:firstLine="709"/>
      </w:pPr>
      <w:r>
        <w:rPr>
          <w:rFonts w:ascii="Times New Roman" w:hAnsi="Times New Roman" w:eastAsia="Times New Roman"/>
          <w:b w:val="0"/>
          <w:i w:val="0"/>
          <w:sz w:val="28"/>
        </w:rPr>
        <w:t>При продаже недвижимости важны существенные условия договора. В договоре должен быть определен предмет: объект недвижимости должен быть описан так, чтобы его можно было индивидуализировать. Обычно указываются кадастровый номер, адрес, площадь, назначение и иные сведения. Цена также имеет существенное значение для договора продажи недвижимости. Ошибки в описании объекта или отсутствие согласия необходимых лиц могут привести к спору о заключенности или действительности договора.</w:t>
      </w:r>
    </w:p>
    <w:p>
      <w:pPr>
        <w:spacing w:line="360" w:lineRule="auto" w:after="0" w:before="0"/>
        <w:ind w:firstLine="709"/>
      </w:pPr>
      <w:r>
        <w:rPr>
          <w:rFonts w:ascii="Times New Roman" w:hAnsi="Times New Roman" w:eastAsia="Times New Roman"/>
          <w:b w:val="0"/>
          <w:i w:val="0"/>
          <w:sz w:val="28"/>
        </w:rPr>
        <w:t>Другим распространенным основанием является дарение недвижимости. Договор дарения также требует письменной формы и регистрации перехода права. Его особенность заключается в безвозмездности. Если фактически стороны прикрывают дарением куплю-продажу, такая сделка может быть признана притворной. Поэтому в судебных спорах суды оценивают не только название договора, но и действительную волю сторон, наличие расчетов, экономическую цель и поведение участников.</w:t>
      </w:r>
    </w:p>
    <w:p>
      <w:pPr>
        <w:spacing w:line="360" w:lineRule="auto" w:after="0" w:before="0"/>
        <w:ind w:firstLine="709"/>
      </w:pPr>
      <w:r>
        <w:rPr>
          <w:rFonts w:ascii="Times New Roman" w:hAnsi="Times New Roman" w:eastAsia="Times New Roman"/>
          <w:b w:val="0"/>
          <w:i w:val="0"/>
          <w:sz w:val="28"/>
        </w:rPr>
        <w:t>Права на недвижимость могут возникать в порядке наследования. Наследник приобретает имущество после принятия наследства, однако для распоряжения недвижимостью ему требуется оформить право и зарегистрировать его в ЕГРН. Наследственные споры часто связаны с составом наследственного имущества, действительностью завещания, пропуском срока принятия наследства, правами обязательных наследников и ранее возникшими правами на недвижимость.</w:t>
      </w:r>
    </w:p>
    <w:p>
      <w:pPr>
        <w:spacing w:line="360" w:lineRule="auto" w:after="0" w:before="0"/>
        <w:ind w:firstLine="709"/>
      </w:pPr>
      <w:r>
        <w:rPr>
          <w:rFonts w:ascii="Times New Roman" w:hAnsi="Times New Roman" w:eastAsia="Times New Roman"/>
          <w:b w:val="0"/>
          <w:i w:val="0"/>
          <w:sz w:val="28"/>
        </w:rPr>
        <w:t>Отдельное значение имеет создание объекта недвижимости. Лицо, построившее объект на принадлежащем ему земельном участке с соблюдением требований закона, может приобрести право собственности на созданную вещь. Однако если объект возведен без необходимых разрешений, с нарушением градостроительных или земельных требований либо на участке, не предоставленном для строительства, возникает вопрос о самовольной постройке.</w:t>
      </w:r>
    </w:p>
    <w:p>
      <w:pPr>
        <w:spacing w:line="360" w:lineRule="auto" w:after="0" w:before="0"/>
        <w:ind w:firstLine="709"/>
      </w:pPr>
      <w:r>
        <w:rPr>
          <w:rFonts w:ascii="Times New Roman" w:hAnsi="Times New Roman" w:eastAsia="Times New Roman"/>
          <w:b w:val="0"/>
          <w:i w:val="0"/>
          <w:sz w:val="28"/>
        </w:rPr>
        <w:t>Самовольная постройка является одной из наиболее сложных проблем правового режима недвижимости. По общему правилу лицо, осуществившее самовольную постройку, не приобретает на нее право собственности. Последствиями могут быть снос или приведение объекта в соответствие с установленными требованиями. Вместе с тем современная судебная практика исходит из необходимости пропорциональности: снос должен применяться как крайняя мера, если нарушения нельзя устранить и сохранение объекта нарушает публичные или частные интересы.</w:t>
      </w:r>
    </w:p>
    <w:p>
      <w:pPr>
        <w:spacing w:line="360" w:lineRule="auto" w:after="0" w:before="0"/>
        <w:ind w:firstLine="709"/>
      </w:pPr>
      <w:r>
        <w:rPr>
          <w:rFonts w:ascii="Times New Roman" w:hAnsi="Times New Roman" w:eastAsia="Times New Roman"/>
          <w:b w:val="0"/>
          <w:i w:val="0"/>
          <w:sz w:val="28"/>
        </w:rPr>
        <w:t>Такой подход отражен в Постановлении Пленума Верховного Суда Российской Федерации от 12.12.2023 № 44 и в последующей практике. Например, в Определении Судебной коллегии по гражданским делам Верховного Суда Российской Федерации от 25.02.2025 № 18-КГ24-279-К4 указано, что снос объекта самовольного строительства является крайней мерой государственного вмешательства, а устранение последствий нарушения должно быть соразмерно самому нарушению и не должно создавать дисбаланс публичного и частного интереса [16]. Данный вывод важен для защиты собственников и инвесторов от чрезмерных последствий при устранимых нарушениях.</w:t>
      </w:r>
    </w:p>
    <w:p>
      <w:pPr>
        <w:spacing w:line="360" w:lineRule="auto" w:after="0" w:before="0"/>
        <w:ind w:firstLine="709"/>
      </w:pPr>
      <w:r>
        <w:rPr>
          <w:rFonts w:ascii="Times New Roman" w:hAnsi="Times New Roman" w:eastAsia="Times New Roman"/>
          <w:b w:val="0"/>
          <w:i w:val="0"/>
          <w:sz w:val="28"/>
        </w:rPr>
        <w:t>Переход прав на недвижимость может быть связан не только с договорами, но и с судебными актами. Судебное решение может признавать право собственности, устанавливать обязанность заключить договор, применять последствия недействительности сделки, признавать право отсутствующим или служить основанием для внесения изменений в ЕГРН. Например, в Определении Верховного Суда Российской Федерации от 06.03.2025 № 308-ЭС24-22761 по делу № А32-64821/2023 указано, что судебный акт может выступать основанием для государственной регистрации перехода права собственности на нежилые здания [20].</w:t>
      </w:r>
    </w:p>
    <w:p>
      <w:pPr>
        <w:spacing w:line="360" w:lineRule="auto" w:after="0" w:before="0"/>
        <w:ind w:firstLine="709"/>
      </w:pPr>
      <w:r>
        <w:rPr>
          <w:rFonts w:ascii="Times New Roman" w:hAnsi="Times New Roman" w:eastAsia="Times New Roman"/>
          <w:b w:val="0"/>
          <w:i w:val="0"/>
          <w:sz w:val="28"/>
        </w:rPr>
        <w:t>Основания прекращения прав на недвижимость также разнообразны. Право может прекратиться в результате отчуждения объекта, отказа от права, гибели или уничтожения вещи, обращения взыскания, изъятия для государственных или муниципальных нужд, реквизиции, конфискации, прекращения права на самовольную постройку и иных оснований. Для недвижимости прекращение права также подлежит отражению в ЕГРН.</w:t>
      </w:r>
    </w:p>
    <w:p>
      <w:pPr>
        <w:spacing w:line="360" w:lineRule="auto" w:after="0" w:before="0"/>
        <w:ind w:firstLine="709"/>
      </w:pPr>
      <w:r>
        <w:rPr>
          <w:rFonts w:ascii="Times New Roman" w:hAnsi="Times New Roman" w:eastAsia="Times New Roman"/>
          <w:b w:val="0"/>
          <w:i w:val="0"/>
          <w:sz w:val="28"/>
        </w:rPr>
        <w:t>Особую проблему представляет прекращение права при уничтожении объекта. Если здание фактически снесено или разрушено, право собственности на него не может сохраняться как на существующий объект. Однако запись в ЕГРН может продолжать существовать, пока не будут представлены документы о прекращении существования объекта. Это создает риск расхождения между реестром и фактическим состоянием имущества.</w:t>
      </w:r>
    </w:p>
    <w:p>
      <w:pPr>
        <w:spacing w:line="360" w:lineRule="auto" w:after="0" w:before="0"/>
        <w:ind w:firstLine="709"/>
      </w:pPr>
      <w:r>
        <w:rPr>
          <w:rFonts w:ascii="Times New Roman" w:hAnsi="Times New Roman" w:eastAsia="Times New Roman"/>
          <w:b w:val="0"/>
          <w:i w:val="0"/>
          <w:sz w:val="28"/>
        </w:rPr>
        <w:t>Другой проблемой является прекращение прав в результате признания сделки недействительной. По общему правилу стороны возвращаются в первоначальное положение. Однако если недвижимость была перепродана третьему лицу, необходимо учитывать правила о добросовестном приобретателе и виндикации. Нельзя механически аннулировать право последующего приобретателя только потому, что первая сделка признана недействительной, если этот приобретатель не был стороной оспоренной сделки. Именно на это обратил внимание Верховный Суд Российской Федерации в деле от 29.07.2025 № 18-КГ25-74-К4 [19].</w:t>
      </w:r>
    </w:p>
    <w:p>
      <w:pPr>
        <w:spacing w:line="360" w:lineRule="auto" w:after="0" w:before="0"/>
        <w:ind w:firstLine="709"/>
      </w:pPr>
      <w:r>
        <w:rPr>
          <w:rFonts w:ascii="Times New Roman" w:hAnsi="Times New Roman" w:eastAsia="Times New Roman"/>
          <w:b w:val="0"/>
          <w:i w:val="0"/>
          <w:sz w:val="28"/>
        </w:rPr>
        <w:t>Практические проблемы возникновения и перехода прав на недвижимость можно свести к нескольким группам. Первая группа связана с недостаточной проверкой прав продавца и объекта. Вторая - с ошибками в форме сделки и отсутствием необходимых согласий. Третья - с несвоевременной регистрацией перехода права. Четвертая - с расхождением фактических характеристик объекта и данных ЕГРН. Пятая - с неправильным выбором способа судебной защиты.</w:t>
      </w:r>
    </w:p>
    <w:p>
      <w:pPr>
        <w:spacing w:line="360" w:lineRule="auto" w:after="0" w:before="0"/>
        <w:ind w:firstLine="709"/>
      </w:pPr>
      <w:r>
        <w:rPr>
          <w:rFonts w:ascii="Times New Roman" w:hAnsi="Times New Roman" w:eastAsia="Times New Roman"/>
          <w:b w:val="0"/>
          <w:i w:val="0"/>
          <w:sz w:val="28"/>
        </w:rPr>
        <w:t>Для снижения рисков при сделках с недвижимостью целесообразно использовать комплексную проверку. Она должна включать получение выписки из ЕГРН, проверку личности и полномочий продавца, анализ правоустанавливающих документов, проверку ограничений и обременений, изучение судебных споров и банкротных процедур, осмотр объекта, проверку фактических границ земельного участка и наличия зарегистрированных строений.</w:t>
      </w:r>
    </w:p>
    <w:p>
      <w:pPr>
        <w:spacing w:line="360" w:lineRule="auto" w:after="0" w:before="0"/>
        <w:ind w:firstLine="709"/>
      </w:pPr>
      <w:r>
        <w:rPr>
          <w:rFonts w:ascii="Times New Roman" w:hAnsi="Times New Roman" w:eastAsia="Times New Roman"/>
          <w:b w:val="0"/>
          <w:i w:val="0"/>
          <w:sz w:val="28"/>
        </w:rPr>
        <w:t>Важным направлением совершенствования регулирования является повышение достоверности ЕГРН. Для этого необходимо развивать межведомственный обмен сведениями, исправлять реестровые ошибки, совершенствовать кадастровые работы и усиливать ответственность за представление недостоверных документов. При этом регистрационная система должна не усложнять оборот чрезмерными формальностями, а обеспечивать разумный баланс между скоростью регистрации и качеством правовой экспертизы.</w:t>
      </w:r>
    </w:p>
    <w:p>
      <w:pPr>
        <w:spacing w:line="360" w:lineRule="auto" w:after="0" w:before="0"/>
        <w:ind w:firstLine="709"/>
      </w:pPr>
      <w:r>
        <w:rPr>
          <w:rFonts w:ascii="Times New Roman" w:hAnsi="Times New Roman" w:eastAsia="Times New Roman"/>
          <w:b w:val="0"/>
          <w:i w:val="0"/>
          <w:sz w:val="28"/>
        </w:rPr>
        <w:t>Еще одним направлением является развитие электронных сервисов. Электронная подача документов, дистанционное взаимодействие с Росреестром, цифровая проверка обременений и автоматизированное выявление противоречий позволяют сократить срок регистрации и уменьшить риск ошибок. Однако цифровизация не должна подменять правовую оценку, особенно в сложных случаях, связанных с долевой собственностью, наследованием, самовольными постройками и спорами о границах.</w:t>
      </w:r>
    </w:p>
    <w:p>
      <w:pPr>
        <w:spacing w:line="360" w:lineRule="auto" w:after="0" w:before="0"/>
        <w:ind w:firstLine="709"/>
      </w:pPr>
      <w:r>
        <w:rPr>
          <w:rFonts w:ascii="Times New Roman" w:hAnsi="Times New Roman" w:eastAsia="Times New Roman"/>
          <w:b w:val="0"/>
          <w:i w:val="0"/>
          <w:sz w:val="28"/>
        </w:rPr>
        <w:t>Таким образом, основания возникновения, перехода и прекращения прав на недвижимость образуют динамическую часть правового режима недвижимости. Они показывают, каким образом объект вовлекается в оборот, меняет правообладателя, обременяется или выбывает из гражданских правоотношений. Для законности таких процессов необходимо сочетание действительного юридического основания, надлежащей формы, государственной регистрации и эффективной судебной защиты.</w:t>
      </w:r>
    </w:p>
    <w:p>
      <w:r>
        <w:br w:type="page"/>
      </w:r>
    </w:p>
    <w:p>
      <w:pPr>
        <w:spacing w:line="360" w:lineRule="auto" w:after="0" w:before="0"/>
        <w:ind w:firstLine="709"/>
        <w:jc w:val="both"/>
      </w:pPr>
      <w:r>
        <w:rPr>
          <w:rFonts w:ascii="Times New Roman" w:hAnsi="Times New Roman" w:eastAsia="Times New Roman"/>
          <w:sz w:val="28"/>
        </w:rPr>
        <w:t>Таким образом, динамика прав на недвижимость показывает, что устойчивость гражданского оборота зависит от трех элементов: действительного основания, надлежащей регистрации и добросовестности участников. Если хотя бы один из этих элементов нарушен, возникает риск судебного спора. Поэтому правовой режим недвижимого имущества должен обеспечивать одновременно свободу оборота, защиту собственника и доверие к публичному реестру.</w:t>
      </w:r>
    </w:p>
    <w:p>
      <w:pPr>
        <w:spacing w:line="360" w:lineRule="auto" w:after="0" w:before="0"/>
        <w:ind w:firstLine="709"/>
        <w:jc w:val="both"/>
      </w:pPr>
      <w:r>
        <w:rPr>
          <w:rFonts w:ascii="Times New Roman" w:hAnsi="Times New Roman" w:eastAsia="Times New Roman"/>
          <w:sz w:val="28"/>
        </w:rPr>
        <w:t>Кроме того, целесообразно развивать практику предварительной правовой экспертизы сделок. Такая экспертиза должна включать анализ правоустанавливающих документов, сведений ЕГРН, кадастровых характеристик, истории переходов права, семейного статуса продавца, полномочий представителей и фактического состояния объекта. Для студентов-юристов изучение подобных алгоритмов особенно важно, поскольку гражданское право применяется не только в теории, но и в конкретных жизненных ситуациях.</w:t>
      </w:r>
    </w:p>
    <w:p>
      <w:pPr>
        <w:spacing w:line="360" w:lineRule="auto" w:after="0" w:before="0"/>
        <w:ind w:firstLine="709"/>
        <w:jc w:val="both"/>
      </w:pPr>
      <w:r>
        <w:rPr>
          <w:rFonts w:ascii="Times New Roman" w:hAnsi="Times New Roman" w:eastAsia="Times New Roman"/>
          <w:sz w:val="28"/>
        </w:rPr>
        <w:t>Представляется, что для повышения устойчивости оборота недвижимости необходимо закреплять в договорах более подробные заверения сторон об обстоятельствах. Продавец может подтвердить отсутствие судебных споров, арестов, прав третьих лиц, задолженности по обязательным платежам, скрытых ограничений и перепланировок. Если такие заверения окажутся недостоверными, покупатель получает дополнительные основания для защиты своих прав.</w:t>
      </w:r>
    </w:p>
    <w:p>
      <w:pPr>
        <w:spacing w:line="360" w:lineRule="auto" w:after="0" w:before="0"/>
        <w:ind w:firstLine="709"/>
        <w:jc w:val="both"/>
      </w:pPr>
      <w:r>
        <w:rPr>
          <w:rFonts w:ascii="Times New Roman" w:hAnsi="Times New Roman" w:eastAsia="Times New Roman"/>
          <w:sz w:val="28"/>
        </w:rPr>
        <w:t>При прекращении права на самовольную постройку важно учитывать принцип соразмерности. Если нарушение можно устранить путем приведения объекта в соответствие с требованиями закона, снос не должен применяться автоматически. Такой подход соответствует современной тенденции судебной практики, направленной на сохранение экономически значимого объекта при условии, что его сохранение не нарушает права третьих лиц и публичные интересы.</w:t>
      </w:r>
    </w:p>
    <w:p>
      <w:pPr>
        <w:spacing w:line="360" w:lineRule="auto" w:after="0" w:before="0"/>
        <w:ind w:firstLine="709"/>
        <w:jc w:val="both"/>
      </w:pPr>
      <w:r>
        <w:rPr>
          <w:rFonts w:ascii="Times New Roman" w:hAnsi="Times New Roman" w:eastAsia="Times New Roman"/>
          <w:sz w:val="28"/>
        </w:rPr>
        <w:t>Основания прекращения прав также требуют внимательной правовой оценки. Например, прекращение права в связи с изъятием земельного участка для государственных или муниципальных нужд допускается только при соблюдении установленной процедуры и предоставлении равноценного возмещения. Такой механизм направлен на баланс публичных задач и гарантий собственника. Если процедура нарушена, собственник вправе защищать свои права в судебном порядке.</w:t>
      </w:r>
    </w:p>
    <w:p>
      <w:pPr>
        <w:spacing w:line="360" w:lineRule="auto" w:after="0" w:before="0"/>
        <w:ind w:firstLine="709"/>
        <w:jc w:val="both"/>
      </w:pPr>
      <w:r>
        <w:rPr>
          <w:rFonts w:ascii="Times New Roman" w:hAnsi="Times New Roman" w:eastAsia="Times New Roman"/>
          <w:sz w:val="28"/>
        </w:rPr>
        <w:t>Важное значение имеет ипотека как способ обеспечения обязательств. Ипотека не лишает собственника права владения и пользования объектом, но ограничивает его распоряжение, поскольку недвижимость становится предметом залога. Сведения об ипотеке отражаются в ЕГРН, поэтому потенциальный покупатель или арендатор может увидеть наличие обременения. Наличие ипотеки показывает, что правовой режим недвижимости предполагает публичность не только права собственности, но и ограничений этого права.</w:t>
      </w:r>
    </w:p>
    <w:p>
      <w:pPr>
        <w:spacing w:line="360" w:lineRule="auto" w:after="0" w:before="0"/>
        <w:ind w:firstLine="709"/>
        <w:jc w:val="both"/>
      </w:pPr>
      <w:r>
        <w:rPr>
          <w:rFonts w:ascii="Times New Roman" w:hAnsi="Times New Roman" w:eastAsia="Times New Roman"/>
          <w:sz w:val="28"/>
        </w:rPr>
        <w:t>Отдельная проблема связана с общей долевой собственностью. При отчуждении доли в праве на недвижимость должны соблюдаться права других участников долевой собственности. Нарушение преимущественного права покупки не всегда влечет недействительность сделки, но может привести к переводу прав и обязанностей покупателя на другого сособственника. Для практики это означает, что правовой режим недвижимости включает не только правила о регистрации, но и специальные гарантии участников общей собственности.</w:t>
      </w:r>
    </w:p>
    <w:p>
      <w:pPr>
        <w:spacing w:line="360" w:lineRule="auto" w:after="0" w:before="0"/>
        <w:ind w:firstLine="709"/>
        <w:jc w:val="both"/>
      </w:pPr>
      <w:r>
        <w:rPr>
          <w:rFonts w:ascii="Times New Roman" w:hAnsi="Times New Roman" w:eastAsia="Times New Roman"/>
          <w:sz w:val="28"/>
        </w:rPr>
        <w:t>Практика показывает, что наиболее уязвимыми являются сделки, совершаемые без достаточной проверки документов. Например, риски возникают при продаже объекта по доверенности, при резком занижении цены, при наличии недавних переходов права, при продаже недвижимости пожилым собственником без проверки его действительного волеизъявления, а также при наличии судебных споров или исполнительных производств. Формально договор может соответствовать требованиям закона, но фактические обстоятельства будут свидетельствовать о повышенном риске.</w:t>
      </w:r>
    </w:p>
    <w:p>
      <w:pPr>
        <w:spacing w:line="360" w:lineRule="auto" w:after="0" w:before="0"/>
        <w:ind w:firstLine="709"/>
        <w:jc w:val="both"/>
      </w:pPr>
      <w:r>
        <w:rPr>
          <w:rFonts w:ascii="Times New Roman" w:hAnsi="Times New Roman" w:eastAsia="Times New Roman"/>
          <w:sz w:val="28"/>
        </w:rPr>
        <w:t>При производном приобретении недвижимости особое значение имеет принцип «никто не может передать больше прав, чем имеет сам». Если лицо не было собственником или его право было зарегистрировано на основании недействительного документа, последующие сделки становятся спорными. Вместе с тем гражданское право защищает добросовестного приобретателя, который полагался на сведения публичного реестра и не знал о нарушениях. Поэтому суд должен не только установить дефект первоначальной сделки, но и оценить поведение последующего приобретателя.</w:t>
      </w:r>
    </w:p>
    <w:p>
      <w:pPr>
        <w:spacing w:line="360" w:lineRule="auto" w:after="0" w:before="0"/>
        <w:ind w:firstLine="709"/>
        <w:jc w:val="both"/>
      </w:pPr>
      <w:r>
        <w:rPr>
          <w:rFonts w:ascii="Times New Roman" w:hAnsi="Times New Roman" w:eastAsia="Times New Roman"/>
          <w:sz w:val="28"/>
        </w:rPr>
        <w:t>При анализе оснований возникновения прав на недвижимость важно учитывать различие между первоначальными и производными способами приобретения права собственности. Первоначальные способы не зависят от права предыдущего собственника, например создание объекта с соблюдением требований закона. Производные способы предполагают переход права от одного лица к другому, например по договору купли-продажи, дарения, мены, наследования. Для недвижимости это разграничение имеет практическое значение, поскольку при производном приобретении покупатель зависит от действительности прав продавца и законности предыдущих переходов права.</w:t>
      </w:r>
    </w:p>
    <w:p>
      <w:pPr>
        <w:pStyle w:val="Heading1"/>
        <w:spacing w:line="360" w:lineRule="auto"/>
        <w:ind w:firstLine="0"/>
        <w:jc w:val="center"/>
      </w:pPr>
      <w:r>
        <w:rPr>
          <w:rFonts w:ascii="Times New Roman" w:hAnsi="Times New Roman" w:eastAsia="Times New Roman"/>
          <w:b/>
          <w:i w:val="0"/>
          <w:sz w:val="28"/>
        </w:rPr>
        <w:t>ЗАКЛЮЧЕНИЕ</w:t>
      </w:r>
    </w:p>
    <w:p>
      <w:pPr>
        <w:spacing w:line="360" w:lineRule="auto" w:after="0" w:before="0"/>
        <w:ind w:firstLine="709"/>
      </w:pPr>
      <w:r>
        <w:rPr>
          <w:rFonts w:ascii="Times New Roman" w:hAnsi="Times New Roman" w:eastAsia="Times New Roman"/>
          <w:b w:val="0"/>
          <w:i w:val="0"/>
          <w:sz w:val="28"/>
        </w:rPr>
        <w:t>В ходе исследования установлено, что недвижимое имущество представляет собой сложную гражданско-правовую категорию, сочетающую материальные и юридические признаки. К числу основных признаков недвижимости относятся прочная связь с землей, невозможность перемещения без несоразмерного ущерба назначению, индивидуальная определенность, обязательность публичного учета и государственной регистрации прав, а также повышенная социально-экономическая значимость.</w:t>
      </w:r>
    </w:p>
    <w:p>
      <w:pPr>
        <w:spacing w:line="360" w:lineRule="auto" w:after="0" w:before="0"/>
        <w:ind w:firstLine="709"/>
      </w:pPr>
      <w:r>
        <w:rPr>
          <w:rFonts w:ascii="Times New Roman" w:hAnsi="Times New Roman" w:eastAsia="Times New Roman"/>
          <w:b w:val="0"/>
          <w:i w:val="0"/>
          <w:sz w:val="28"/>
        </w:rPr>
        <w:t>Правовой режим недвижимости носит комплексный характер. Он формируется нормами гражданского, земельного, жилищного, градостроительного и регистрационного законодательства. Именно поэтому при решении вопросов, связанных с недвижимостью, необходимо учитывать не только положения Гражданского кодекса Российской Федерации, но и специальные нормы о государственной регистрации недвижимости, кадастровом учете, использовании земельных участков, самовольных постройках, ипотеке и иных обременениях.</w:t>
      </w:r>
    </w:p>
    <w:p>
      <w:pPr>
        <w:spacing w:line="360" w:lineRule="auto" w:after="0" w:before="0"/>
        <w:ind w:firstLine="709"/>
      </w:pPr>
      <w:r>
        <w:rPr>
          <w:rFonts w:ascii="Times New Roman" w:hAnsi="Times New Roman" w:eastAsia="Times New Roman"/>
          <w:b w:val="0"/>
          <w:i w:val="0"/>
          <w:sz w:val="28"/>
        </w:rPr>
        <w:t>Классификация объектов недвижимости имеет важное практическое значение. Земельные участки, здания, сооружения, жилые и нежилые помещения, объекты незавершенного строительства, машино-места и единые недвижимые комплексы отличаются по назначению, порядку использования, ограничениям и правилам оборота. Ошибка в определении вида объекта может привести к отказу в регистрации, спору о праве или неправильному выбору способа защиты.</w:t>
      </w:r>
    </w:p>
    <w:p>
      <w:pPr>
        <w:spacing w:line="360" w:lineRule="auto" w:after="0" w:before="0"/>
        <w:ind w:firstLine="709"/>
      </w:pPr>
      <w:r>
        <w:rPr>
          <w:rFonts w:ascii="Times New Roman" w:hAnsi="Times New Roman" w:eastAsia="Times New Roman"/>
          <w:b w:val="0"/>
          <w:i w:val="0"/>
          <w:sz w:val="28"/>
        </w:rPr>
        <w:t>Государственная регистрация прав является ключевым элементом правового режима недвижимости. Она обеспечивает публичность прав, подтверждает принадлежность имущества, защищает добросовестных участников оборота и снижает риски сделок. Вместе с тем регистрационная запись не является абсолютно неоспоримой: при наличии нарушений заинтересованное лицо вправе обратиться в суд. Судебная практика показывает, что при оспаривании зарегистрированного права действует презумпция достоверности ЕГРН, а обязанность доказывания возлагается на лицо, которое оспаривает право.</w:t>
      </w:r>
    </w:p>
    <w:p>
      <w:pPr>
        <w:spacing w:line="360" w:lineRule="auto" w:after="0" w:before="0"/>
        <w:ind w:firstLine="709"/>
      </w:pPr>
      <w:r>
        <w:rPr>
          <w:rFonts w:ascii="Times New Roman" w:hAnsi="Times New Roman" w:eastAsia="Times New Roman"/>
          <w:b w:val="0"/>
          <w:i w:val="0"/>
          <w:sz w:val="28"/>
        </w:rPr>
        <w:t>Основания возникновения, перехода и прекращения прав на недвижимость включают договоры, наследование, создание объекта, судебные решения, прекращение существования вещи и иные юридические факты. Для недвижимости важно сочетание материального основания и государственной регистрации. Сам по себе договор не всегда завершает переход права, а фактическое владение не всегда подтверждает наличие зарегистрированного права.</w:t>
      </w:r>
    </w:p>
    <w:p>
      <w:pPr>
        <w:spacing w:line="360" w:lineRule="auto" w:after="0" w:before="0"/>
        <w:ind w:firstLine="709"/>
      </w:pPr>
      <w:r>
        <w:rPr>
          <w:rFonts w:ascii="Times New Roman" w:hAnsi="Times New Roman" w:eastAsia="Times New Roman"/>
          <w:b w:val="0"/>
          <w:i w:val="0"/>
          <w:sz w:val="28"/>
        </w:rPr>
        <w:t>Анализ судебной практики 2024-2025 годов позволяет выделить несколько актуальных проблем: защита добросовестного приобретателя, правильный выбор способа защиты при оспаривании зарегистрированного права, соразмерность последствий при самовольной постройке, достоверность сведений ЕГРН и необходимость учета фактических обстоятельств при разрешении споров о земельных участках и объектах недвижимости.</w:t>
      </w:r>
    </w:p>
    <w:p>
      <w:pPr>
        <w:spacing w:line="360" w:lineRule="auto" w:after="0" w:before="0"/>
        <w:ind w:firstLine="709"/>
      </w:pPr>
      <w:r>
        <w:rPr>
          <w:rFonts w:ascii="Times New Roman" w:hAnsi="Times New Roman" w:eastAsia="Times New Roman"/>
          <w:b w:val="0"/>
          <w:i w:val="0"/>
          <w:sz w:val="28"/>
        </w:rPr>
        <w:t>Для совершенствования правового регулирования представляется необходимым повышать качество кадастрового учета и правовой экспертизы документов, развивать электронные сервисы регистрации, обеспечивать единообразие судебной практики, усиливать защиту добросовестных приобретателей и одновременно сохранять возможность восстановления прав собственников, пострадавших от подложных документов или реестровых ошибок.</w:t>
      </w:r>
    </w:p>
    <w:p>
      <w:pPr>
        <w:spacing w:line="360" w:lineRule="auto" w:after="0" w:before="0"/>
        <w:ind w:firstLine="709"/>
      </w:pPr>
      <w:r>
        <w:rPr>
          <w:rFonts w:ascii="Times New Roman" w:hAnsi="Times New Roman" w:eastAsia="Times New Roman"/>
          <w:b w:val="0"/>
          <w:i w:val="0"/>
          <w:sz w:val="28"/>
        </w:rPr>
        <w:t>Таким образом, цель курсовой работы достигнута: раскрыто содержание правового режима недвижимого имущества, рассмотрены признаки и виды недвижимости, проанализировано значение государственной регистрации прав, охарактеризованы основания возникновения, перехода и прекращения прав на недвижимость, а также сформулированы выводы о проблемах правоприменения и возможных направлениях их решения.</w:t>
      </w:r>
    </w:p>
    <w:p>
      <w:r>
        <w:br w:type="page"/>
      </w:r>
    </w:p>
    <w:p>
      <w:pPr>
        <w:pStyle w:val="Heading1"/>
        <w:spacing w:line="360" w:lineRule="auto"/>
        <w:ind w:firstLine="0"/>
        <w:jc w:val="center"/>
      </w:pPr>
      <w:r>
        <w:rPr>
          <w:rFonts w:ascii="Times New Roman" w:hAnsi="Times New Roman" w:eastAsia="Times New Roman"/>
          <w:b/>
          <w:i w:val="0"/>
          <w:sz w:val="28"/>
        </w:rPr>
        <w:t>СПИСОК ИСПОЛЬЗОВАННЫХ ИСТОЧНИКОВ</w:t>
      </w:r>
    </w:p>
    <w:p>
      <w:pPr>
        <w:spacing w:line="360" w:lineRule="auto" w:after="0" w:before="0"/>
        <w:ind w:firstLine="0"/>
      </w:pPr>
      <w:r>
        <w:rPr>
          <w:rFonts w:ascii="Times New Roman" w:hAnsi="Times New Roman" w:eastAsia="Times New Roman"/>
          <w:b/>
          <w:i w:val="0"/>
          <w:sz w:val="28"/>
        </w:rPr>
        <w:t>Нормативно-правовые акты</w:t>
      </w:r>
    </w:p>
    <w:p>
      <w:pPr>
        <w:spacing w:line="360" w:lineRule="auto" w:after="0" w:before="0"/>
        <w:ind w:firstLine="0"/>
      </w:pPr>
      <w:r>
        <w:rPr>
          <w:rFonts w:ascii="Times New Roman" w:hAnsi="Times New Roman" w:eastAsia="Times New Roman"/>
          <w:b w:val="0"/>
          <w:i w:val="0"/>
          <w:sz w:val="28"/>
        </w:rPr>
        <w:t>1. Конституция Российской Федерации : принята всенародным голосованием 12 декабря 1993 года : с изменениями, одобренными в ходе общероссийского голосования 1 июля 2020 года // Официальный интернет-портал правовой информации. – URL: http://pravo.gov.ru.</w:t>
      </w:r>
    </w:p>
    <w:p>
      <w:pPr>
        <w:spacing w:line="360" w:lineRule="auto" w:after="0" w:before="0"/>
        <w:ind w:firstLine="0"/>
      </w:pPr>
      <w:r>
        <w:rPr>
          <w:rFonts w:ascii="Times New Roman" w:hAnsi="Times New Roman" w:eastAsia="Times New Roman"/>
          <w:b w:val="0"/>
          <w:i w:val="0"/>
          <w:sz w:val="28"/>
        </w:rPr>
        <w:t>2. Гражданский кодекс Российской Федерации : часть первая : Федеральный закон от 30.11.1994 № 51-ФЗ // Собрание законодательства Российской Федерации. – 1994. – № 32. – Ст. 3301.</w:t>
      </w:r>
    </w:p>
    <w:p>
      <w:pPr>
        <w:spacing w:line="360" w:lineRule="auto" w:after="0" w:before="0"/>
        <w:ind w:firstLine="0"/>
      </w:pPr>
      <w:r>
        <w:rPr>
          <w:rFonts w:ascii="Times New Roman" w:hAnsi="Times New Roman" w:eastAsia="Times New Roman"/>
          <w:b w:val="0"/>
          <w:i w:val="0"/>
          <w:sz w:val="28"/>
        </w:rPr>
        <w:t>3. Гражданский кодекс Российской Федерации : часть вторая : Федеральный закон от 26.01.1996 № 14-ФЗ // Собрание законодательства Российской Федерации. – 1996. – № 5. – Ст. 410.</w:t>
      </w:r>
    </w:p>
    <w:p>
      <w:pPr>
        <w:spacing w:line="360" w:lineRule="auto" w:after="0" w:before="0"/>
        <w:ind w:firstLine="0"/>
      </w:pPr>
      <w:r>
        <w:rPr>
          <w:rFonts w:ascii="Times New Roman" w:hAnsi="Times New Roman" w:eastAsia="Times New Roman"/>
          <w:b w:val="0"/>
          <w:i w:val="0"/>
          <w:sz w:val="28"/>
        </w:rPr>
        <w:t>4. Земельный кодекс Российской Федерации : Федеральный закон от 25.10.2001 № 136-ФЗ // Собрание законодательства Российской Федерации. – 2001. – № 44. – Ст. 4147.</w:t>
      </w:r>
    </w:p>
    <w:p>
      <w:pPr>
        <w:spacing w:line="360" w:lineRule="auto" w:after="0" w:before="0"/>
        <w:ind w:firstLine="0"/>
      </w:pPr>
      <w:r>
        <w:rPr>
          <w:rFonts w:ascii="Times New Roman" w:hAnsi="Times New Roman" w:eastAsia="Times New Roman"/>
          <w:b w:val="0"/>
          <w:i w:val="0"/>
          <w:sz w:val="28"/>
        </w:rPr>
        <w:t>5. Жилищный кодекс Российской Федерации : Федеральный закон от 29.12.2004 № 188-ФЗ // Собрание законодательства Российской Федерации. – 2005. – № 1 (ч. 1). – Ст. 14.</w:t>
      </w:r>
    </w:p>
    <w:p>
      <w:pPr>
        <w:spacing w:line="360" w:lineRule="auto" w:after="0" w:before="0"/>
        <w:ind w:firstLine="0"/>
      </w:pPr>
      <w:r>
        <w:rPr>
          <w:rFonts w:ascii="Times New Roman" w:hAnsi="Times New Roman" w:eastAsia="Times New Roman"/>
          <w:b w:val="0"/>
          <w:i w:val="0"/>
          <w:sz w:val="28"/>
        </w:rPr>
        <w:t>6. Градостроительный кодекс Российской Федерации : Федеральный закон от 29.12.2004 № 190-ФЗ // Собрание законодательства Российской Федерации. – 2005. – № 1 (ч. 1). – Ст. 16.</w:t>
      </w:r>
    </w:p>
    <w:p>
      <w:pPr>
        <w:spacing w:line="360" w:lineRule="auto" w:after="0" w:before="0"/>
        <w:ind w:firstLine="0"/>
      </w:pPr>
      <w:r>
        <w:rPr>
          <w:rFonts w:ascii="Times New Roman" w:hAnsi="Times New Roman" w:eastAsia="Times New Roman"/>
          <w:b w:val="0"/>
          <w:i w:val="0"/>
          <w:sz w:val="28"/>
        </w:rPr>
        <w:t>7. О государственной регистрации недвижимости : Федеральный закон от 13.07.2015 № 218-ФЗ // Собрание законодательства Российской Федерации. – 2015. – № 29 (ч. 1). – Ст. 4344.</w:t>
      </w:r>
    </w:p>
    <w:p>
      <w:pPr>
        <w:spacing w:line="360" w:lineRule="auto" w:after="0" w:before="0"/>
        <w:ind w:firstLine="0"/>
      </w:pPr>
      <w:r>
        <w:rPr>
          <w:rFonts w:ascii="Times New Roman" w:hAnsi="Times New Roman" w:eastAsia="Times New Roman"/>
          <w:b w:val="0"/>
          <w:i w:val="0"/>
          <w:sz w:val="28"/>
        </w:rPr>
        <w:t>8. О кадастровой деятельности : Федеральный закон от 24.07.2007 № 221-ФЗ // Собрание законодательства Российской Федерации. – 2007. – № 31. – Ст. 4017.</w:t>
      </w:r>
    </w:p>
    <w:p>
      <w:pPr>
        <w:spacing w:line="360" w:lineRule="auto" w:after="0" w:before="0"/>
        <w:ind w:firstLine="0"/>
      </w:pPr>
      <w:r>
        <w:rPr>
          <w:rFonts w:ascii="Times New Roman" w:hAnsi="Times New Roman" w:eastAsia="Times New Roman"/>
          <w:b w:val="0"/>
          <w:i w:val="0"/>
          <w:sz w:val="28"/>
        </w:rPr>
        <w:t>9. Об ипотеке (залоге недвижимости) : Федеральный закон от 16.07.1998 № 102-ФЗ // Собрание законодательства Российской Федерации. – 1998. – № 29. – Ст. 3400.</w:t>
      </w:r>
    </w:p>
    <w:p>
      <w:pPr>
        <w:spacing w:line="360" w:lineRule="auto" w:after="0" w:before="0"/>
        <w:ind w:firstLine="0"/>
      </w:pPr>
      <w:r>
        <w:rPr>
          <w:rFonts w:ascii="Times New Roman" w:hAnsi="Times New Roman" w:eastAsia="Times New Roman"/>
          <w:b w:val="0"/>
          <w:i w:val="0"/>
          <w:sz w:val="28"/>
        </w:rPr>
        <w:t>10. О переводе земель или земельных участков из одной категории в другую : Федеральный закон от 21.12.2004 № 172-ФЗ // Собрание законодательства Российской Федерации. – 2004. – № 52 (ч. 1). – Ст. 5276.</w:t>
      </w:r>
    </w:p>
    <w:p>
      <w:pPr>
        <w:spacing w:line="360" w:lineRule="auto" w:after="0" w:before="0"/>
        <w:ind w:firstLine="0"/>
      </w:pPr>
      <w:r>
        <w:rPr>
          <w:rFonts w:ascii="Times New Roman" w:hAnsi="Times New Roman" w:eastAsia="Times New Roman"/>
          <w:b w:val="0"/>
          <w:i w:val="0"/>
          <w:sz w:val="28"/>
        </w:rPr>
        <w:t>11. О государственной кадастровой оценке : Федеральный закон от 03.07.2016 № 237-ФЗ // Собрание законодательства Российской Федерации. – 2016. – № 27 (ч. 1). – Ст. 4170.</w:t>
      </w:r>
    </w:p>
    <w:p>
      <w:pPr>
        <w:spacing w:line="360" w:lineRule="auto" w:after="0" w:before="0"/>
        <w:ind w:firstLine="0"/>
      </w:pPr>
      <w:r>
        <w:rPr>
          <w:rFonts w:ascii="Times New Roman" w:hAnsi="Times New Roman" w:eastAsia="Times New Roman"/>
          <w:b/>
          <w:i w:val="0"/>
          <w:sz w:val="28"/>
        </w:rPr>
        <w:t>Судебная практика</w:t>
      </w:r>
    </w:p>
    <w:p>
      <w:pPr>
        <w:spacing w:line="360" w:lineRule="auto" w:after="0" w:before="0"/>
        <w:ind w:firstLine="0"/>
      </w:pPr>
      <w:r>
        <w:rPr>
          <w:rFonts w:ascii="Times New Roman" w:hAnsi="Times New Roman" w:eastAsia="Times New Roman"/>
          <w:b w:val="0"/>
          <w:i w:val="0"/>
          <w:sz w:val="28"/>
        </w:rPr>
        <w:t>12. Постановление Пленума Верховного Суда Российской Федерации № 10, Пленума Высшего Арбитражного Суда Российской Федерации № 22 от 29.04.2010 «О некоторых вопросах, возникающих в судебной практике при разрешении споров, связанных с защитой права собственности и других вещных прав» // Вестник Высшего Арбитражного Суда Российской Федерации. – 2010. – № 6.</w:t>
      </w:r>
    </w:p>
    <w:p>
      <w:pPr>
        <w:spacing w:line="360" w:lineRule="auto" w:after="0" w:before="0"/>
        <w:ind w:firstLine="0"/>
      </w:pPr>
      <w:r>
        <w:rPr>
          <w:rFonts w:ascii="Times New Roman" w:hAnsi="Times New Roman" w:eastAsia="Times New Roman"/>
          <w:b w:val="0"/>
          <w:i w:val="0"/>
          <w:sz w:val="28"/>
        </w:rPr>
        <w:t>13. Постановление Пленума Верховного Суда Российской Федерации от 23.06.2015 № 25 «О применении судами некоторых положений раздела I части первой Гражданского кодекса Российской Федерации» // Бюллетень Верховного Суда Российской Федерации. – 2015. – № 8.</w:t>
      </w:r>
    </w:p>
    <w:p>
      <w:pPr>
        <w:spacing w:line="360" w:lineRule="auto" w:after="0" w:before="0"/>
        <w:ind w:firstLine="0"/>
      </w:pPr>
      <w:r>
        <w:rPr>
          <w:rFonts w:ascii="Times New Roman" w:hAnsi="Times New Roman" w:eastAsia="Times New Roman"/>
          <w:b w:val="0"/>
          <w:i w:val="0"/>
          <w:sz w:val="28"/>
        </w:rPr>
        <w:t>14. Постановление Пленума Верховного Суда Российской Федерации от 12.12.2023 № 44 «О некоторых вопросах, возникающих в судебной практике при применении норм о самовольной постройке» // Российская газета. – 2023. – № 291.</w:t>
      </w:r>
    </w:p>
    <w:p>
      <w:pPr>
        <w:spacing w:line="360" w:lineRule="auto" w:after="0" w:before="0"/>
        <w:ind w:firstLine="0"/>
      </w:pPr>
      <w:r>
        <w:rPr>
          <w:rFonts w:ascii="Times New Roman" w:hAnsi="Times New Roman" w:eastAsia="Times New Roman"/>
          <w:b w:val="0"/>
          <w:i w:val="0"/>
          <w:sz w:val="28"/>
        </w:rPr>
        <w:t>15. Определение Судебной коллегии по гражданским делам Верховного Суда Российской Федерации от 05.11.2024 № 18-КГ24-113-К4.</w:t>
      </w:r>
    </w:p>
    <w:p>
      <w:pPr>
        <w:spacing w:line="360" w:lineRule="auto" w:after="0" w:before="0"/>
        <w:ind w:firstLine="0"/>
      </w:pPr>
      <w:r>
        <w:rPr>
          <w:rFonts w:ascii="Times New Roman" w:hAnsi="Times New Roman" w:eastAsia="Times New Roman"/>
          <w:b w:val="0"/>
          <w:i w:val="0"/>
          <w:sz w:val="28"/>
        </w:rPr>
        <w:t>16. Определение Судебной коллегии по гражданским делам Верховного Суда Российской Федерации от 25.02.2025 № 18-КГ24-279-К4.</w:t>
      </w:r>
    </w:p>
    <w:p>
      <w:pPr>
        <w:spacing w:line="360" w:lineRule="auto" w:after="0" w:before="0"/>
        <w:ind w:firstLine="0"/>
      </w:pPr>
      <w:r>
        <w:rPr>
          <w:rFonts w:ascii="Times New Roman" w:hAnsi="Times New Roman" w:eastAsia="Times New Roman"/>
          <w:b w:val="0"/>
          <w:i w:val="0"/>
          <w:sz w:val="28"/>
        </w:rPr>
        <w:t>17. Определение Судебной коллегии по гражданским делам Верховного Суда Российской Федерации от 18.04.2025 № 18-КГ25-43-К4.</w:t>
      </w:r>
    </w:p>
    <w:p>
      <w:pPr>
        <w:spacing w:line="360" w:lineRule="auto" w:after="0" w:before="0"/>
        <w:ind w:firstLine="0"/>
      </w:pPr>
      <w:r>
        <w:rPr>
          <w:rFonts w:ascii="Times New Roman" w:hAnsi="Times New Roman" w:eastAsia="Times New Roman"/>
          <w:b w:val="0"/>
          <w:i w:val="0"/>
          <w:sz w:val="28"/>
        </w:rPr>
        <w:t>18. Определение Судебной коллегии по гражданским делам Верховного Суда Российской Федерации от 16.05.2025 № 18-КГ25-13-К4.</w:t>
      </w:r>
    </w:p>
    <w:p>
      <w:pPr>
        <w:spacing w:line="360" w:lineRule="auto" w:after="0" w:before="0"/>
        <w:ind w:firstLine="0"/>
      </w:pPr>
      <w:r>
        <w:rPr>
          <w:rFonts w:ascii="Times New Roman" w:hAnsi="Times New Roman" w:eastAsia="Times New Roman"/>
          <w:b w:val="0"/>
          <w:i w:val="0"/>
          <w:sz w:val="28"/>
        </w:rPr>
        <w:t>19. Определение Верховного Суда Российской Федерации от 06.03.2025 № 308-ЭС24-22761 по делу № А32-64821/2023.</w:t>
      </w:r>
    </w:p>
    <w:p>
      <w:pPr>
        <w:spacing w:line="360" w:lineRule="auto" w:after="0" w:before="0"/>
        <w:ind w:firstLine="0"/>
      </w:pPr>
      <w:r>
        <w:rPr>
          <w:rFonts w:ascii="Times New Roman" w:hAnsi="Times New Roman" w:eastAsia="Times New Roman"/>
          <w:b w:val="0"/>
          <w:i w:val="0"/>
          <w:sz w:val="28"/>
        </w:rPr>
        <w:t>20. Определение Судебной коллегии по гражданским делам Верховного Суда Российской Федерации от 29.07.2025 № 18-КГ25-74-К4.</w:t>
      </w:r>
    </w:p>
    <w:p>
      <w:pPr>
        <w:spacing w:line="360" w:lineRule="auto" w:after="0" w:before="0"/>
        <w:ind w:firstLine="0"/>
      </w:pPr>
      <w:r>
        <w:rPr>
          <w:rFonts w:ascii="Times New Roman" w:hAnsi="Times New Roman" w:eastAsia="Times New Roman"/>
          <w:b/>
          <w:i w:val="0"/>
          <w:sz w:val="28"/>
        </w:rPr>
        <w:t>Научная литература</w:t>
      </w:r>
    </w:p>
    <w:p>
      <w:pPr>
        <w:spacing w:line="360" w:lineRule="auto" w:after="0" w:before="0"/>
        <w:ind w:firstLine="0"/>
      </w:pPr>
      <w:r>
        <w:rPr>
          <w:rFonts w:ascii="Times New Roman" w:hAnsi="Times New Roman" w:eastAsia="Times New Roman"/>
          <w:b w:val="0"/>
          <w:i w:val="0"/>
          <w:sz w:val="28"/>
        </w:rPr>
        <w:t>21. Алексеев, В. А. Недвижимое имущество: правовой режим и государственная регистрация прав : диссертация на соискание ученой степени доктора юридических наук : 12.00.03 / В. А. Алексеев. – Москва, 2008. – 669 с.</w:t>
      </w:r>
    </w:p>
    <w:p>
      <w:pPr>
        <w:spacing w:line="360" w:lineRule="auto" w:after="0" w:before="0"/>
        <w:ind w:firstLine="0"/>
      </w:pPr>
      <w:r>
        <w:rPr>
          <w:rFonts w:ascii="Times New Roman" w:hAnsi="Times New Roman" w:eastAsia="Times New Roman"/>
          <w:b w:val="0"/>
          <w:i w:val="0"/>
          <w:sz w:val="28"/>
        </w:rPr>
        <w:t>22. Басос, Е. В. Правовой режим недвижимого имущества и его отдельных видов : автореферат диссертации на соискание ученой степени кандидата юридических наук : 12.00.03 / Е. В. Басос. – Москва, 2015. – 28 с.</w:t>
      </w:r>
    </w:p>
    <w:p>
      <w:pPr>
        <w:spacing w:line="360" w:lineRule="auto" w:after="0" w:before="0"/>
        <w:ind w:firstLine="0"/>
      </w:pPr>
      <w:r>
        <w:rPr>
          <w:rFonts w:ascii="Times New Roman" w:hAnsi="Times New Roman" w:eastAsia="Times New Roman"/>
          <w:b w:val="0"/>
          <w:i w:val="0"/>
          <w:sz w:val="28"/>
        </w:rPr>
        <w:t>23. Бондаренко, И. В. Гражданско-правовой режим недвижимого имущества в Российской Федерации / И. В. Бондаренко // Общество и право. – 2013. – № 3. – С. 73–76.</w:t>
      </w:r>
    </w:p>
    <w:p>
      <w:pPr>
        <w:spacing w:line="360" w:lineRule="auto" w:after="0" w:before="0"/>
        <w:ind w:firstLine="0"/>
      </w:pPr>
      <w:r>
        <w:rPr>
          <w:rFonts w:ascii="Times New Roman" w:hAnsi="Times New Roman" w:eastAsia="Times New Roman"/>
          <w:b w:val="0"/>
          <w:i w:val="0"/>
          <w:sz w:val="28"/>
        </w:rPr>
        <w:t>24. Булышева, Н. Н. Правовой режим недвижимого имущества и особенности сделок с ним / Н. Н. Булышева // Вестник экономической безопасности. – 2017. – № 3. – С. 67–71.</w:t>
      </w:r>
    </w:p>
    <w:p>
      <w:pPr>
        <w:spacing w:line="360" w:lineRule="auto" w:after="0" w:before="0"/>
        <w:ind w:firstLine="0"/>
      </w:pPr>
      <w:r>
        <w:rPr>
          <w:rFonts w:ascii="Times New Roman" w:hAnsi="Times New Roman" w:eastAsia="Times New Roman"/>
          <w:b w:val="0"/>
          <w:i w:val="0"/>
          <w:sz w:val="28"/>
        </w:rPr>
        <w:t>25. Имекова, М. П. Правовой режим недвижимого имущества и особенности его гражданско-правового оборота : монография / М. П. Имекова. – Томск : Издательский Дом Томского государственного университета, 2020. – 176 с.</w:t>
      </w:r>
    </w:p>
    <w:p>
      <w:pPr>
        <w:spacing w:line="360" w:lineRule="auto" w:after="0" w:before="0"/>
        <w:ind w:firstLine="0"/>
      </w:pPr>
      <w:r>
        <w:rPr>
          <w:rFonts w:ascii="Times New Roman" w:hAnsi="Times New Roman" w:eastAsia="Times New Roman"/>
          <w:b w:val="0"/>
          <w:i w:val="0"/>
          <w:sz w:val="28"/>
        </w:rPr>
        <w:t>26. Камышанский, В. П. Гражданско-правовой режим недвижимого имущества : учебное пособие / В. П. Камышанский, Н. А. Седова. – Краснодар : Кубанский государственный аграрный университет, 2022. – 92 с.</w:t>
      </w:r>
    </w:p>
    <w:p>
      <w:pPr>
        <w:spacing w:line="360" w:lineRule="auto" w:after="0" w:before="0"/>
        <w:ind w:firstLine="0"/>
      </w:pPr>
      <w:r>
        <w:rPr>
          <w:rFonts w:ascii="Times New Roman" w:hAnsi="Times New Roman" w:eastAsia="Times New Roman"/>
          <w:b w:val="0"/>
          <w:i w:val="0"/>
          <w:sz w:val="28"/>
        </w:rPr>
        <w:t>27. Стародумова, С. Ю. Понятие недвижимости в гражданском праве / С. Ю. Стародумова // Юридическая наука. – 2015. – № 6. – С. 78–82.</w:t>
      </w:r>
    </w:p>
    <w:p>
      <w:pPr>
        <w:spacing w:line="360" w:lineRule="auto" w:after="0" w:before="0"/>
        <w:ind w:firstLine="0"/>
      </w:pPr>
      <w:r>
        <w:rPr>
          <w:rFonts w:ascii="Times New Roman" w:hAnsi="Times New Roman" w:eastAsia="Times New Roman"/>
          <w:b w:val="0"/>
          <w:i w:val="0"/>
          <w:sz w:val="28"/>
        </w:rPr>
        <w:t>28. Щеголева, А. В. Правовой режим недвижимости как объекта гражданских прав : диссертация на соискание ученой степени кандидата юридических наук : 12.00.03 / А. В. Щеголева. – Волгоград, 2006. – 175 с.</w:t>
      </w:r>
    </w:p>
    <w:p>
      <w:pPr>
        <w:spacing w:line="360" w:lineRule="auto" w:after="0" w:before="0"/>
        <w:ind w:firstLine="0"/>
      </w:pPr>
      <w:r>
        <w:rPr>
          <w:rFonts w:ascii="Times New Roman" w:hAnsi="Times New Roman" w:eastAsia="Times New Roman"/>
          <w:b/>
          <w:i w:val="0"/>
          <w:sz w:val="28"/>
        </w:rPr>
        <w:t>Учебная литература</w:t>
      </w:r>
    </w:p>
    <w:p>
      <w:pPr>
        <w:spacing w:line="360" w:lineRule="auto" w:after="0" w:before="0"/>
        <w:ind w:firstLine="0"/>
      </w:pPr>
      <w:r>
        <w:rPr>
          <w:rFonts w:ascii="Times New Roman" w:hAnsi="Times New Roman" w:eastAsia="Times New Roman"/>
          <w:b w:val="0"/>
          <w:i w:val="0"/>
          <w:sz w:val="28"/>
        </w:rPr>
        <w:t>29. Гражданское право : учебник для СПО / отв. ред. С. П. Гришаев. – 4-е изд., перераб. и доп. – Москва : Норма : ИНФРА-М, 2021. – 688 с.</w:t>
      </w:r>
    </w:p>
    <w:p>
      <w:pPr>
        <w:spacing w:line="360" w:lineRule="auto" w:after="0" w:before="0"/>
        <w:ind w:firstLine="0"/>
      </w:pPr>
      <w:r>
        <w:rPr>
          <w:rFonts w:ascii="Times New Roman" w:hAnsi="Times New Roman" w:eastAsia="Times New Roman"/>
          <w:b w:val="0"/>
          <w:i w:val="0"/>
          <w:sz w:val="28"/>
        </w:rPr>
        <w:t>30. Зенин, И. А. Гражданское право. Общая часть : учебник для СПО / И. А. Зенин. – 19-е изд., перераб. и доп. – Москва : Юрайт, 2022. – 489 с.</w:t>
      </w:r>
    </w:p>
    <w:p>
      <w:pPr>
        <w:spacing w:line="360" w:lineRule="auto" w:after="0" w:before="0"/>
        <w:ind w:firstLine="0"/>
      </w:pPr>
      <w:r>
        <w:rPr>
          <w:rFonts w:ascii="Times New Roman" w:hAnsi="Times New Roman" w:eastAsia="Times New Roman"/>
          <w:b w:val="0"/>
          <w:i w:val="0"/>
          <w:sz w:val="28"/>
        </w:rPr>
        <w:t>31. Зенин, И. А. Гражданское право. Особенная часть : учебник для СПО / И. А. Зенин. – 19-е изд., перераб. и доп. – Москва : Юрайт, 2022. – 295 с.</w:t>
      </w:r>
    </w:p>
    <w:p>
      <w:pPr>
        <w:spacing w:line="360" w:lineRule="auto" w:after="0" w:before="0"/>
        <w:ind w:firstLine="0"/>
      </w:pPr>
      <w:r>
        <w:rPr>
          <w:rFonts w:ascii="Times New Roman" w:hAnsi="Times New Roman" w:eastAsia="Times New Roman"/>
          <w:b w:val="0"/>
          <w:i w:val="0"/>
          <w:sz w:val="28"/>
        </w:rPr>
        <w:t>32. Разумовская, Е. В. Гражданское право. Общая часть : учебник и практикум для СПО / Е. В. Разумовская. – 6-е изд., перераб. и доп. – Москва : Юрайт, 2022. – 249 с.</w:t>
      </w:r>
    </w:p>
    <w:p>
      <w:pPr>
        <w:spacing w:line="360" w:lineRule="auto" w:after="0" w:before="0"/>
        <w:ind w:firstLine="0"/>
      </w:pPr>
      <w:r>
        <w:rPr>
          <w:rFonts w:ascii="Times New Roman" w:hAnsi="Times New Roman" w:eastAsia="Times New Roman"/>
          <w:b w:val="0"/>
          <w:i w:val="0"/>
          <w:sz w:val="28"/>
        </w:rPr>
        <w:t>33. Свечникова, И. В. Гражданское право. Практикум : учебное пособие для СПО / И. В. Свечникова, Т. В. Величко. – Москва : Юрайт, 2022. – 336 с.</w:t>
      </w:r>
    </w:p>
    <w:p>
      <w:pPr>
        <w:spacing w:line="360" w:lineRule="auto" w:after="0" w:before="0"/>
        <w:ind w:firstLine="0"/>
      </w:pPr>
      <w:r>
        <w:rPr>
          <w:rFonts w:ascii="Times New Roman" w:hAnsi="Times New Roman" w:eastAsia="Times New Roman"/>
          <w:b/>
          <w:i w:val="0"/>
          <w:sz w:val="28"/>
        </w:rPr>
        <w:t>Иные источники</w:t>
      </w:r>
    </w:p>
    <w:p>
      <w:pPr>
        <w:spacing w:line="360" w:lineRule="auto" w:after="0" w:before="0"/>
        <w:ind w:firstLine="0"/>
      </w:pPr>
      <w:r>
        <w:rPr>
          <w:rFonts w:ascii="Times New Roman" w:hAnsi="Times New Roman" w:eastAsia="Times New Roman"/>
          <w:b w:val="0"/>
          <w:i w:val="0"/>
          <w:sz w:val="28"/>
        </w:rPr>
        <w:t>34. Единый государственный реестр недвижимости // Федеральная служба государственной регистрации, кадастра и картографии : официальный сайт. – URL: https://rosreestr.gov.ru/.</w:t>
      </w:r>
    </w:p>
    <w:p>
      <w:pPr>
        <w:spacing w:line="360" w:lineRule="auto" w:after="0" w:before="0"/>
        <w:ind w:firstLine="0"/>
      </w:pPr>
      <w:r>
        <w:rPr>
          <w:rFonts w:ascii="Times New Roman" w:hAnsi="Times New Roman" w:eastAsia="Times New Roman"/>
          <w:b w:val="0"/>
          <w:i w:val="0"/>
          <w:sz w:val="28"/>
        </w:rPr>
        <w:t>35. Официальный интернет-портал правовой информации. – URL: http://pravo.gov.ru.</w:t>
      </w:r>
    </w:p>
    <w:p>
      <w:pPr>
        <w:spacing w:line="360" w:lineRule="auto" w:after="0" w:before="0"/>
        <w:ind w:firstLine="0"/>
      </w:pPr>
      <w:r>
        <w:rPr>
          <w:rFonts w:ascii="Times New Roman" w:hAnsi="Times New Roman" w:eastAsia="Times New Roman"/>
          <w:b w:val="0"/>
          <w:i w:val="0"/>
          <w:sz w:val="28"/>
        </w:rPr>
        <w:t>36. Судебные и нормативные акты Российской Федерации. – URL: https://sudact.ru/.</w:t>
      </w:r>
    </w:p>
    <w:sectPr w:rsidR="00FC693F" w:rsidRPr="0006063C" w:rsidSect="00034616">
      <w:footerReference w:type="default" r:id="rId9"/>
      <w:pgSz w:w="11906" w:h="16838"/>
      <w:pgMar w:top="850"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center"/>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ind w:firstLine="0"/>
      <w:contextualSpacing/>
      <w:jc w:val="center"/>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