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报告编号：PM-REG-20261027-003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连墙件计算计算书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连墙件计算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1、《建筑施工扣件式钢管脚手架安全技术规范》JGJ 130-2011</w:t>
      </w:r>
    </w:p>
    <w:p>
      <w:r>
        <w:rPr>
          <w:rFonts w:ascii="宋体" w:hAnsi="宋体" w:eastAsia="宋体"/>
          <w:b w:val="0"/>
          <w:sz w:val="19"/>
        </w:rPr>
        <w:t>2、《施工脚手架通用规范》GB 55023-2022</w:t>
      </w:r>
    </w:p>
    <w:p>
      <w:r>
        <w:rPr>
          <w:rFonts w:ascii="宋体" w:hAnsi="宋体" w:eastAsia="宋体"/>
          <w:b w:val="0"/>
          <w:sz w:val="19"/>
        </w:rPr>
        <w:t>3、《建筑结构荷载规范》GB 50009-2012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969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单/双排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双排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架体类型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双排落地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搭设高度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步距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立杆纵距 la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立杆横距 lb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连墙件竖向间距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连墙件水平间距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连墙件计算长度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钢管类型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φ48×3.0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连墙件连接方式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扣件连接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连墙件连接承载力 Nv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连墙件净截面面积 Ac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连墙件偏离主节点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首步设置连墙件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连墙件布置形式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菱形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基本风压 w0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地面粗糙度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脚手架封闭状况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全封闭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背靠建筑物状况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全封闭墙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挡风系数 φ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连墙件强度</w:t>
      </w:r>
      <w:r>
        <w:rPr>
          <w:rFonts w:ascii="宋体" w:hAnsi="宋体" w:eastAsia="宋体"/>
          <w:b w:val="0"/>
          <w:sz w:val="18"/>
        </w:rPr>
        <w:t>（JGJ 130-2011 5.2.12-1）</w:t>
      </w:r>
    </w:p>
    <w:p>
      <w:r>
        <w:rPr>
          <w:rFonts w:ascii="宋体" w:hAnsi="宋体" w:eastAsia="宋体"/>
          <w:b w:val="0"/>
          <w:sz w:val="19"/>
        </w:rPr>
        <w:t>公式：Nl/Ac ≤ 0.85f；Ac=424.1mm²，净截面为0，按毛截面</w:t>
      </w:r>
    </w:p>
    <w:p>
      <w:r>
        <w:rPr>
          <w:rFonts w:ascii="宋体" w:hAnsi="宋体" w:eastAsia="宋体"/>
          <w:b w:val="0"/>
          <w:sz w:val="19"/>
        </w:rPr>
        <w:t>结果：20.91 N/mm² ≤ 174.25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连墙件稳定性</w:t>
      </w:r>
      <w:r>
        <w:rPr>
          <w:rFonts w:ascii="宋体" w:hAnsi="宋体" w:eastAsia="宋体"/>
          <w:b w:val="0"/>
          <w:sz w:val="18"/>
        </w:rPr>
        <w:t>（JGJ 130-2011 5.2.12-2）</w:t>
      </w:r>
    </w:p>
    <w:p>
      <w:r>
        <w:rPr>
          <w:rFonts w:ascii="宋体" w:hAnsi="宋体" w:eastAsia="宋体"/>
          <w:b w:val="0"/>
          <w:sz w:val="19"/>
        </w:rPr>
        <w:t>公式：Nl/(φA) ≤ 0.85f；λ=56.4，φ=0.832</w:t>
      </w:r>
    </w:p>
    <w:p>
      <w:r>
        <w:rPr>
          <w:rFonts w:ascii="宋体" w:hAnsi="宋体" w:eastAsia="宋体"/>
          <w:b w:val="0"/>
          <w:sz w:val="19"/>
        </w:rPr>
        <w:t>结果：25.14 N/mm² ≤ 174.25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连墙件连接承载力</w:t>
      </w:r>
      <w:r>
        <w:rPr>
          <w:rFonts w:ascii="宋体" w:hAnsi="宋体" w:eastAsia="宋体"/>
          <w:b w:val="0"/>
          <w:sz w:val="18"/>
        </w:rPr>
        <w:t>（JGJ 130-2011 5.2.14）</w:t>
      </w:r>
    </w:p>
    <w:p>
      <w:r>
        <w:rPr>
          <w:rFonts w:ascii="宋体" w:hAnsi="宋体" w:eastAsia="宋体"/>
          <w:b w:val="0"/>
          <w:sz w:val="19"/>
        </w:rPr>
        <w:t>公式：Nl ≤ Nv；Nv 为用户提供的可复核连接承载力设计值</w:t>
      </w:r>
    </w:p>
    <w:p>
      <w:r>
        <w:rPr>
          <w:rFonts w:ascii="宋体" w:hAnsi="宋体" w:eastAsia="宋体"/>
          <w:b w:val="0"/>
          <w:sz w:val="19"/>
        </w:rPr>
        <w:t>结果：8.87 kN ≤ 12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连墙件扣件抗滑</w:t>
      </w:r>
      <w:r>
        <w:rPr>
          <w:rFonts w:ascii="宋体" w:hAnsi="宋体" w:eastAsia="宋体"/>
          <w:b w:val="0"/>
          <w:sz w:val="18"/>
        </w:rPr>
        <w:t>（JGJ 130-2011 5.2.15）</w:t>
      </w:r>
    </w:p>
    <w:p>
      <w:r>
        <w:rPr>
          <w:rFonts w:ascii="宋体" w:hAnsi="宋体" w:eastAsia="宋体"/>
          <w:b w:val="0"/>
          <w:sz w:val="19"/>
        </w:rPr>
        <w:t>公式：Nl ≤ Rc=8.0kN</w:t>
      </w:r>
    </w:p>
    <w:p>
      <w:r>
        <w:rPr>
          <w:rFonts w:ascii="宋体" w:hAnsi="宋体" w:eastAsia="宋体"/>
          <w:b/>
          <w:sz w:val="19"/>
        </w:rPr>
        <w:t>结果：8.87 kN &gt; 8 → 不满足要求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连墙件竖向间距</w:t>
      </w:r>
      <w:r>
        <w:rPr>
          <w:rFonts w:ascii="宋体" w:hAnsi="宋体" w:eastAsia="宋体"/>
          <w:b w:val="0"/>
          <w:sz w:val="18"/>
        </w:rPr>
        <w:t>（JGJ 130-2011 表 6.4.2）</w:t>
      </w:r>
    </w:p>
    <w:p>
      <w:r>
        <w:rPr>
          <w:rFonts w:ascii="宋体" w:hAnsi="宋体" w:eastAsia="宋体"/>
          <w:b w:val="0"/>
          <w:sz w:val="19"/>
        </w:rPr>
        <w:t>公式：tieVerticalSpacing/h=3.60/1.80 ≤ 3 步</w:t>
      </w:r>
    </w:p>
    <w:p>
      <w:r>
        <w:rPr>
          <w:rFonts w:ascii="宋体" w:hAnsi="宋体" w:eastAsia="宋体"/>
          <w:b w:val="0"/>
          <w:sz w:val="19"/>
        </w:rPr>
        <w:t>结果：2 步 ≤ 3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连墙件水平间距</w:t>
      </w:r>
      <w:r>
        <w:rPr>
          <w:rFonts w:ascii="宋体" w:hAnsi="宋体" w:eastAsia="宋体"/>
          <w:b w:val="0"/>
          <w:sz w:val="18"/>
        </w:rPr>
        <w:t>（JGJ 130-2011 表 6.4.2）</w:t>
      </w:r>
    </w:p>
    <w:p>
      <w:r>
        <w:rPr>
          <w:rFonts w:ascii="宋体" w:hAnsi="宋体" w:eastAsia="宋体"/>
          <w:b w:val="0"/>
          <w:sz w:val="19"/>
        </w:rPr>
        <w:t>公式：tieHorizontalSpacing/la=4.50/1.50 ≤ 3 跨</w:t>
      </w:r>
    </w:p>
    <w:p>
      <w:r>
        <w:rPr>
          <w:rFonts w:ascii="宋体" w:hAnsi="宋体" w:eastAsia="宋体"/>
          <w:b w:val="0"/>
          <w:sz w:val="19"/>
        </w:rPr>
        <w:t>结果：3 跨 = 3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7. 连墙件覆盖面积</w:t>
      </w:r>
      <w:r>
        <w:rPr>
          <w:rFonts w:ascii="宋体" w:hAnsi="宋体" w:eastAsia="宋体"/>
          <w:b w:val="0"/>
          <w:sz w:val="18"/>
        </w:rPr>
        <w:t>（JGJ 130-2011 表 6.4.2）</w:t>
      </w:r>
    </w:p>
    <w:p>
      <w:r>
        <w:rPr>
          <w:rFonts w:ascii="宋体" w:hAnsi="宋体" w:eastAsia="宋体"/>
          <w:b w:val="0"/>
          <w:sz w:val="19"/>
        </w:rPr>
        <w:t>公式：Aw=3.60×4.50 ≤ 40m²</w:t>
      </w:r>
    </w:p>
    <w:p>
      <w:r>
        <w:rPr>
          <w:rFonts w:ascii="宋体" w:hAnsi="宋体" w:eastAsia="宋体"/>
          <w:b w:val="0"/>
          <w:sz w:val="19"/>
        </w:rPr>
        <w:t>结果：16.2 m² ≤ 40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8. 连墙件偏离主节点</w:t>
      </w:r>
      <w:r>
        <w:rPr>
          <w:rFonts w:ascii="宋体" w:hAnsi="宋体" w:eastAsia="宋体"/>
          <w:b w:val="0"/>
          <w:sz w:val="18"/>
        </w:rPr>
        <w:t>（JGJ 130-2011 6.4.3）</w:t>
      </w:r>
    </w:p>
    <w:p>
      <w:r>
        <w:rPr>
          <w:rFonts w:ascii="宋体" w:hAnsi="宋体" w:eastAsia="宋体"/>
          <w:b w:val="0"/>
          <w:sz w:val="19"/>
        </w:rPr>
        <w:t>公式：偏离主节点不得超过 300mm</w:t>
      </w:r>
    </w:p>
    <w:p>
      <w:r>
        <w:rPr>
          <w:rFonts w:ascii="宋体" w:hAnsi="宋体" w:eastAsia="宋体"/>
          <w:b w:val="0"/>
          <w:sz w:val="19"/>
        </w:rPr>
        <w:t>结果：200 mm ≤ 300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9. 连墙件首步设置</w:t>
      </w:r>
      <w:r>
        <w:rPr>
          <w:rFonts w:ascii="宋体" w:hAnsi="宋体" w:eastAsia="宋体"/>
          <w:b w:val="0"/>
          <w:sz w:val="18"/>
        </w:rPr>
        <w:t>（JGJ 130-2011 6.4.3）</w:t>
      </w:r>
    </w:p>
    <w:p>
      <w:r>
        <w:rPr>
          <w:rFonts w:ascii="宋体" w:hAnsi="宋体" w:eastAsia="宋体"/>
          <w:b w:val="0"/>
          <w:sz w:val="19"/>
        </w:rPr>
        <w:t>公式：应从底层第一步纵向水平杆处设置</w:t>
      </w:r>
    </w:p>
    <w:p>
      <w:r>
        <w:rPr>
          <w:rFonts w:ascii="宋体" w:hAnsi="宋体" w:eastAsia="宋体"/>
          <w:b w:val="0"/>
          <w:sz w:val="19"/>
        </w:rPr>
        <w:t>结果：1 — = 1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10. 单排架体高度</w:t>
      </w:r>
      <w:r>
        <w:rPr>
          <w:rFonts w:ascii="宋体" w:hAnsi="宋体" w:eastAsia="宋体"/>
          <w:b w:val="0"/>
          <w:sz w:val="18"/>
        </w:rPr>
        <w:t>（JGJ 130-2011 6.1.2）</w:t>
      </w:r>
    </w:p>
    <w:p>
      <w:r>
        <w:rPr>
          <w:rFonts w:ascii="宋体" w:hAnsi="宋体" w:eastAsia="宋体"/>
          <w:b w:val="0"/>
          <w:sz w:val="19"/>
        </w:rPr>
        <w:t>公式：单排≤24m（当前非单排）</w:t>
      </w:r>
    </w:p>
    <w:p>
      <w:r>
        <w:rPr>
          <w:rFonts w:ascii="宋体" w:hAnsi="宋体" w:eastAsia="宋体"/>
          <w:b w:val="0"/>
          <w:sz w:val="19"/>
        </w:rPr>
        <w:t>结果：24 m = 24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11. 软拉硬撑适用高度</w:t>
      </w:r>
      <w:r>
        <w:rPr>
          <w:rFonts w:ascii="宋体" w:hAnsi="宋体" w:eastAsia="宋体"/>
          <w:b w:val="0"/>
          <w:sz w:val="18"/>
        </w:rPr>
        <w:t>（GB 55023-2022 4.4.6）</w:t>
      </w:r>
    </w:p>
    <w:p>
      <w:r>
        <w:rPr>
          <w:rFonts w:ascii="宋体" w:hAnsi="宋体" w:eastAsia="宋体"/>
          <w:b w:val="0"/>
          <w:sz w:val="19"/>
        </w:rPr>
        <w:t>公式：连墙件应为刚性构造，软拉硬撑仅在≤24m时允许且刚性构造优先</w:t>
      </w:r>
    </w:p>
    <w:p>
      <w:r>
        <w:rPr>
          <w:rFonts w:ascii="宋体" w:hAnsi="宋体" w:eastAsia="宋体"/>
          <w:b w:val="0"/>
          <w:sz w:val="19"/>
        </w:rPr>
        <w:t>结果：0 — ≤ 1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22414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14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连墙件计算简化计算模型：正立面连墙件布置</w:t>
      </w:r>
    </w:p>
    <w:p>
      <w:r>
        <w:drawing>
          <wp:inline xmlns:a="http://schemas.openxmlformats.org/drawingml/2006/main" xmlns:pic="http://schemas.openxmlformats.org/drawingml/2006/picture">
            <wp:extent cx="5472000" cy="2391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9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2  连墙件计算简化计算模型：平面连墙件布置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连墙件强度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20.91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174.25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5.2.12-1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连墙件稳定性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25.14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174.25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5.2.12-2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8.87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连墙件扣件抗滑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8.87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111%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连墙件竖向间距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 6.4.2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连墙件水平间距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 6.4.2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连墙件覆盖面积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16.2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 6.4.2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连墙件偏离主节点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连墙件首步设置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单排架体高度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6.1.2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软拉硬撑适用高度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4.4.6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本次验算共 11 项，其中 1 项不满足：连墙件扣件抗滑。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Nlw=1.4wkAw、Nl=Nlw+N0 按 JGJ 130-2011 式 5.2.13、5.2.12-3；未混入 CECS 699-2020 的 1.5 系数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tieNetArea=0，当前强度按毛截面计算；后续应以实际净截面复核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f=205N/mm²、Rc=8.0kN 取自 JGJ 130-2011；φ 按附录 A 表 A.0.6 查取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μz 按 GB 50009-2012 表 8.2.1 取架体高度 H；μs 按 JGJ 130-2011 封闭状况和背靠建筑规则计算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连墙点覆盖面积仅作布置覆盖范围校核，不替代建筑结构本体、预埋件或连接节点设计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H&gt;24m 的软拉硬撑判定不满足；H≤24m 仍优先采用刚性连墙构造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本模块为 PmStudio 自算结果，verified=false，尚未取得同参数品茗 RTF oracle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连墙件计算计算书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