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报告编号：PM-REG-20261027-010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悬挑式操作平台计算书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悬挑式操作平台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1、《建筑施工高处作业安全技术规范》JGJ 80-2016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platformLength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overhangLength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anchorLength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mainBeamCount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mainBeamW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108300.0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mainBeamI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8660000.0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mainBeamSelfWeight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0.172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steelE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206000.0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steelStrength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deckAndSecondaryLoad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liveLoad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deadLoadFactor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liveLoadFactor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deflectionLimitRatio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sideCount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frontRopesPerSide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rearRopesPerSide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frontRopeDistance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rearRopeDistance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frontRopeAngle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rearRopeAngle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frontRopeShare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rearRopeShare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wireBreakForce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wireMinSafety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wireClampCount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anchorCount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anchorTensionCapacity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connectionDesignFactor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supportMomentCapacity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rearSupportVerticalCapacity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stabilityFactor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secondaryBeamSpan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secondaryBeamSpacing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secondaryBeamW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62100.0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secondaryBeamF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panelSpan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panelThickness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panelF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weldThroat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weldEffectiveLength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weldStrength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guardrailFullyEnclosed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guardrailFixed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liftingRingInstalled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loadBearingRingInstalled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outerSideHigher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二、计算过程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1. 主梁抗弯及悬挑长度构造</w:t>
      </w:r>
      <w:r>
        <w:rPr>
          <w:rFonts w:ascii="宋体" w:hAnsi="宋体" w:eastAsia="宋体"/>
          <w:b w:val="0"/>
          <w:sz w:val="18"/>
        </w:rPr>
        <w:t>（JGJ 80-2016 6.4.2、附录C.0.3；PDF第15、23-24页）</w:t>
      </w:r>
    </w:p>
    <w:p>
      <w:r>
        <w:rPr>
          <w:rFonts w:ascii="宋体" w:hAnsi="宋体" w:eastAsia="宋体"/>
          <w:b w:val="0"/>
          <w:sz w:val="19"/>
        </w:rPr>
        <w:t>公式：按最大支承区间L=2.000m计，M=qL²/8，σ=M/Wx≤f；悬挑长度满足5m限制</w:t>
      </w:r>
    </w:p>
    <w:p>
      <w:r>
        <w:rPr>
          <w:rFonts w:ascii="宋体" w:hAnsi="宋体" w:eastAsia="宋体"/>
          <w:b w:val="0"/>
          <w:sz w:val="19"/>
        </w:rPr>
        <w:t>结果：69.91 N/mm² ≤ 215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2. 主梁挠度</w:t>
      </w:r>
      <w:r>
        <w:rPr>
          <w:rFonts w:ascii="宋体" w:hAnsi="宋体" w:eastAsia="宋体"/>
          <w:b w:val="0"/>
          <w:sz w:val="18"/>
        </w:rPr>
        <w:t>（JGJ 80-2016 附录A A.0.2-4、附录C.0.3；PDF第19、23-24页）</w:t>
      </w:r>
    </w:p>
    <w:p>
      <w:r>
        <w:rPr>
          <w:rFonts w:ascii="宋体" w:hAnsi="宋体" w:eastAsia="宋体"/>
          <w:b w:val="0"/>
          <w:sz w:val="19"/>
        </w:rPr>
        <w:t>公式：v=5qkL⁴/(384EIx)，采用标准值；挠度限值采用模块假定L/250，JGJ 80-2016未给专用值</w:t>
      </w:r>
    </w:p>
    <w:p>
      <w:r>
        <w:rPr>
          <w:rFonts w:ascii="宋体" w:hAnsi="宋体" w:eastAsia="宋体"/>
          <w:b w:val="0"/>
          <w:sz w:val="19"/>
        </w:rPr>
        <w:t>结果：1.28 mm ≤ 8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3. 钢丝绳/斜拉承载力</w:t>
      </w:r>
      <w:r>
        <w:rPr>
          <w:rFonts w:ascii="宋体" w:hAnsi="宋体" w:eastAsia="宋体"/>
          <w:b w:val="0"/>
          <w:sz w:val="18"/>
        </w:rPr>
        <w:t>（JGJ 80-2016 6.4.3、6.4.7、附录C.0.4；PDF第15、24页）</w:t>
      </w:r>
    </w:p>
    <w:p>
      <w:r>
        <w:rPr>
          <w:rFonts w:ascii="宋体" w:hAnsi="宋体" w:eastAsia="宋体"/>
          <w:b w:val="0"/>
          <w:sz w:val="19"/>
        </w:rPr>
        <w:t>公式：K=F0/T≥8；两边各设前后两道，前/后道及每根绳分别计算。布置满足，荷载比例满足，绳卡4个满足4个下限</w:t>
      </w:r>
    </w:p>
    <w:p>
      <w:r>
        <w:rPr>
          <w:rFonts w:ascii="宋体" w:hAnsi="宋体" w:eastAsia="宋体"/>
          <w:b w:val="0"/>
          <w:sz w:val="19"/>
        </w:rPr>
        <w:t>结果：8.51 — ≤ 8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4. 锚固或连接承载力</w:t>
      </w:r>
      <w:r>
        <w:rPr>
          <w:rFonts w:ascii="宋体" w:hAnsi="宋体" w:eastAsia="宋体"/>
          <w:b w:val="0"/>
          <w:sz w:val="18"/>
        </w:rPr>
        <w:t>（JGJ 80-2016 6.4.1、6.4.5；PDF第15页）</w:t>
      </w:r>
    </w:p>
    <w:p>
      <w:r>
        <w:rPr>
          <w:rFonts w:ascii="宋体" w:hAnsi="宋体" w:eastAsia="宋体"/>
          <w:b w:val="0"/>
          <w:sz w:val="19"/>
        </w:rPr>
        <w:t>公式：按各道斜拉绳水平分量合力计算锚固/连接受拉需求，并乘附加安全系数；节点群锚、预埋件及主体结构须专项验算</w:t>
      </w:r>
    </w:p>
    <w:p>
      <w:r>
        <w:rPr>
          <w:rFonts w:ascii="宋体" w:hAnsi="宋体" w:eastAsia="宋体"/>
          <w:b w:val="0"/>
          <w:sz w:val="19"/>
        </w:rPr>
        <w:t>结果：80.83 kN ≤ 160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5. 抗倾覆与支承构造</w:t>
      </w:r>
      <w:r>
        <w:rPr>
          <w:rFonts w:ascii="宋体" w:hAnsi="宋体" w:eastAsia="宋体"/>
          <w:b w:val="0"/>
          <w:sz w:val="18"/>
        </w:rPr>
        <w:t>（JGJ 80-2016 6.4.1、6.4.4、6.4.5；PDF第15页）</w:t>
      </w:r>
    </w:p>
    <w:p>
      <w:r>
        <w:rPr>
          <w:rFonts w:ascii="宋体" w:hAnsi="宋体" w:eastAsia="宋体"/>
          <w:b w:val="0"/>
          <w:sz w:val="19"/>
        </w:rPr>
        <w:t>公式：K=(后部支承力矩+后部竖向承载力×Lanchor)/(设计总荷载×Lraise/2)≥[K]；Lanchor=1.50m，连接点须设置在主体结构并可靠连接</w:t>
      </w:r>
    </w:p>
    <w:p>
      <w:r>
        <w:rPr>
          <w:rFonts w:ascii="宋体" w:hAnsi="宋体" w:eastAsia="宋体"/>
          <w:b w:val="0"/>
          <w:sz w:val="19"/>
        </w:rPr>
        <w:t>结果：1.51 — ≤ 1.5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6. 次梁抗弯</w:t>
      </w:r>
      <w:r>
        <w:rPr>
          <w:rFonts w:ascii="宋体" w:hAnsi="宋体" w:eastAsia="宋体"/>
          <w:b w:val="0"/>
          <w:sz w:val="18"/>
        </w:rPr>
        <w:t>（JGJ 80-2016 附录C C.0.2；PDF第23-24页）</w:t>
      </w:r>
    </w:p>
    <w:p>
      <w:r>
        <w:rPr>
          <w:rFonts w:ascii="宋体" w:hAnsi="宋体" w:eastAsia="宋体"/>
          <w:b w:val="0"/>
          <w:sz w:val="19"/>
        </w:rPr>
        <w:t>公式：简化假定次梁为单跨简支梁：q=γG·面恒载·b+γQ·面活载·b，M=q·L²/8，σ=M/W≤f；b为次梁间距，L为输入的次梁跨度</w:t>
      </w:r>
    </w:p>
    <w:p>
      <w:r>
        <w:rPr>
          <w:rFonts w:ascii="宋体" w:hAnsi="宋体" w:eastAsia="宋体"/>
          <w:b w:val="0"/>
          <w:sz w:val="19"/>
        </w:rPr>
        <w:t>结果：55.51 N/mm² ≤ 215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7. 铺板抗弯</w:t>
      </w:r>
      <w:r>
        <w:rPr>
          <w:rFonts w:ascii="宋体" w:hAnsi="宋体" w:eastAsia="宋体"/>
          <w:b w:val="0"/>
          <w:sz w:val="18"/>
        </w:rPr>
        <w:t>（JGJ 80-2016 附录C C.0.1、C.0.2；PDF第23页）</w:t>
      </w:r>
    </w:p>
    <w:p>
      <w:r>
        <w:rPr>
          <w:rFonts w:ascii="宋体" w:hAnsi="宋体" w:eastAsia="宋体"/>
          <w:b w:val="0"/>
          <w:sz w:val="19"/>
        </w:rPr>
        <w:t>公式：按1m宽板带、单跨简支板：q=γG·gk+γQ·qk，M=q·L²/8，W=1000·t²/6，σ=M/W≤f；铺板厚度满足50mm下限</w:t>
      </w:r>
    </w:p>
    <w:p>
      <w:r>
        <w:rPr>
          <w:rFonts w:ascii="宋体" w:hAnsi="宋体" w:eastAsia="宋体"/>
          <w:b w:val="0"/>
          <w:sz w:val="19"/>
        </w:rPr>
        <w:t>结果：0.57 N/mm² ≤ 15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8. 焊缝抗剪连接</w:t>
      </w:r>
      <w:r>
        <w:rPr>
          <w:rFonts w:ascii="宋体" w:hAnsi="宋体" w:eastAsia="宋体"/>
          <w:b w:val="0"/>
          <w:sz w:val="18"/>
        </w:rPr>
        <w:t>（JGJ 80-2016 6.4.5；PDF第15页（GB 50017专项验算））</w:t>
      </w:r>
    </w:p>
    <w:p>
      <w:r>
        <w:rPr>
          <w:rFonts w:ascii="宋体" w:hAnsi="宋体" w:eastAsia="宋体"/>
          <w:b w:val="0"/>
          <w:sz w:val="19"/>
        </w:rPr>
        <w:t>公式：保守取斜拉绳水平分量附加安全后的群锚总需求平均分配至anchorCount条焊缝；单条抗剪承载力=he·lw·fw，未计拉剪组合、焊缝群偏心及母材破坏</w:t>
      </w:r>
    </w:p>
    <w:p>
      <w:r>
        <w:rPr>
          <w:rFonts w:ascii="宋体" w:hAnsi="宋体" w:eastAsia="宋体"/>
          <w:b w:val="0"/>
          <w:sz w:val="19"/>
        </w:rPr>
        <w:t>结果：20.21 kN ≤ 96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9. 防护栏杆及吊环构造</w:t>
      </w:r>
      <w:r>
        <w:rPr>
          <w:rFonts w:ascii="宋体" w:hAnsi="宋体" w:eastAsia="宋体"/>
          <w:b w:val="0"/>
          <w:sz w:val="18"/>
        </w:rPr>
        <w:t>（JGJ 80-2016 6.4.6、6.4.8；PDF第15页）</w:t>
      </w:r>
    </w:p>
    <w:p>
      <w:r>
        <w:rPr>
          <w:rFonts w:ascii="宋体" w:hAnsi="宋体" w:eastAsia="宋体"/>
          <w:b w:val="0"/>
          <w:sz w:val="19"/>
        </w:rPr>
        <w:t>公式：逐项核对外侧略高、固定防护栏杆、挡板完全封闭、起重吊环及承载吊环；全部满足</w:t>
      </w:r>
    </w:p>
    <w:p>
      <w:r>
        <w:rPr>
          <w:rFonts w:ascii="宋体" w:hAnsi="宋体" w:eastAsia="宋体"/>
          <w:b w:val="0"/>
          <w:sz w:val="19"/>
        </w:rPr>
        <w:t>结果：1 — = 1 → 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三、内力与变形图</w:t>
      </w:r>
    </w:p>
    <w:p>
      <w:r>
        <w:drawing>
          <wp:inline xmlns:a="http://schemas.openxmlformats.org/drawingml/2006/main" xmlns:pic="http://schemas.openxmlformats.org/drawingml/2006/picture">
            <wp:extent cx="5472000" cy="4359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5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悬挑式操作平台简化计算模型：主梁（简支梁）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主梁抗弯及悬挑长度构造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69.91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6.4.2、附录C.0.3；PDF第15、23-24页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主梁挠度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附录A A.0.2-4、附录C.0.3；PDF第19、23-24页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钢丝绳/斜拉承载力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8.51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94%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6.4.3、6.4.7、附录C.0.4；PDF第15、24页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锚固或连接承载力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80.83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6.4.1、6.4.5；PDF第15页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抗倾覆与支承构造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99%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6.4.1、6.4.4、6.4.5；PDF第15页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次梁抗弯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55.51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26%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附录C C.0.2；PDF第23-24页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铺板抗弯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附录C C.0.1、C.0.2；PDF第23页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焊缝抗剪连接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20.21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96.0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6.4.5；PDF第15页（GB 50017专项验算）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防护栏杆及吊环构造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6.4.6、6.4.8；PDF第15页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五、结论</w:t>
      </w:r>
    </w:p>
    <w:p>
      <w:r>
        <w:rPr>
          <w:rFonts w:ascii="宋体" w:hAnsi="宋体" w:eastAsia="宋体"/>
          <w:b w:val="0"/>
          <w:sz w:val="21"/>
        </w:rPr>
        <w:t>本次验算全部项满足规范要求。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六、计算说明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pmsc.ini [RaisePlat information]中的3.9m×3.5m、16a主梁、12.6次梁、6×19 d=18.5mm钢丝绳、Lraise=3.5m、Lanchor=1.5m及5kN/m²堆载仅作为计算样例，不是推荐值；工程中必须按专项设计和产品证明替换。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每根主梁按相同荷载分担，主梁最大区间按简支梁包络，M=qL²/8，挠度v=5qkL⁴/(384EIx)；该模型偏于安全但不能替代连续梁或空间框架分析。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主梁挠度限值采用L/250，属于JGJ 80-2016未明确给出的模块假定，须由项目专项方案确认。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斜拉平台按两边各前后一道钢丝绳计算，每道均单独验算；前后道默认各承担该侧竖向荷载0.5，每根绳均单独满足[K]=8。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钢丝绳卡按每个绳端不少于4个校核；卡环型号、绳卡与绳径匹配、锐角处软垫及紧固方法仍须按第6.4.7条现场验收。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锚固/连接受拉需求取斜拉绳水平分量合力并乘1.5附加安全系数；该系数及群锚分配模型为模块假定。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抗倾覆按绕建筑边沿的简化力矩平衡，后部支承力矩与竖向承载力由用户输入；JGJ 80-2016只提出稳定性要求，未给出专用安全系数。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次梁按跨中最大正弯矩包络 M=q·L²/8，q由平台面设计荷载乘以输入次梁间距形成；该式偏于安全，不自动采用连续梁调幅或悬臂有利效应。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铺板按1m宽、跨度为panelSpan的单跨简支板计算，W=1000·t²/6；默认50mm仅对应附录C.0.1最低厚度样例，实际强度须按木板或等效材料产品证明输入。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焊缝采用仅抗剪的保守模型：每条焊缝需求=anchorDemand/anchorCount，承载力=he·lw·fw；若节点实际承受拉剪组合，必须按GB 50017补充组合验算。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栏杆与吊环按用户申报的构造状态作符合性判断；6.4.6分别核对起重吊环和承载吊环，6.4.8核对平台外高内低、固定栏杆及挡板完全封闭。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所有构件应设置在主体结构上并可靠连接；未经专项设计的临时设施不得设置悬挑式操作平台。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悬挑式操作平台计算书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