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宋体" w:hAnsi="宋体" w:eastAsia="宋体"/>
          <w:b w:val="0"/>
          <w:sz w:val="18"/>
        </w:rPr>
        <w:t>报告编号：PM-REG-20261027-003</w:t>
      </w:r>
    </w:p>
    <w:p/>
    <w:p/>
    <w:p/>
    <w:p>
      <w:pPr>
        <w:jc w:val="center"/>
      </w:pPr>
      <w:r>
        <w:rPr>
          <w:rFonts w:ascii="宋体" w:hAnsi="宋体" w:eastAsia="宋体"/>
          <w:b/>
          <w:sz w:val="56"/>
        </w:rPr>
        <w:t>连墙件计算计算书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STRUCTURAL SAFETY CALCULATION REPORT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报告名称：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PmStudio 脚手架默认参数回归（非品茗 oracle） 连墙件计算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委托单位：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PmStudio 自算回归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编制单位：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PmStudio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编制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审核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批准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br/>
              <w:br/>
              <w:t>签字：            日期：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br/>
              <w:br/>
              <w:t>签字：            日期：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br/>
              <w:br/>
              <w:t>签字：            日期：</w:t>
            </w:r>
          </w:p>
        </w:tc>
      </w:tr>
    </w:tbl>
    <w:p/>
    <w:p/>
    <w:p/>
    <w:p>
      <w:pPr>
        <w:jc w:val="center"/>
      </w:pPr>
      <w:r>
        <w:rPr>
          <w:rFonts w:ascii="宋体" w:hAnsi="宋体" w:eastAsia="宋体"/>
          <w:b/>
          <w:sz w:val="26"/>
        </w:rPr>
        <w:t>PmStudio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2026年10月27日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36"/>
        </w:rPr>
        <w:t>声  明</w:t>
      </w:r>
    </w:p>
    <w:p/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1. 本计算书须经编制、审核、批准人员签署后方为有效。</w:t>
      </w:r>
    </w:p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2. 本计算书无编制单位盖章无效。</w:t>
      </w:r>
    </w:p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3. 本计算书涂改无效。</w:t>
      </w:r>
    </w:p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4. 未经编制单位书面批准，不得部分复制本计算书。</w:t>
      </w:r>
    </w:p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5. 本计算书仅对委托方提供的参数与工况负责，参数真实性由委托方负责。</w:t>
      </w:r>
    </w:p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6. 本计算书为结构验算文件，不替代专项施工方案；施工尚应符合现行规范与专项方案要求。</w:t>
      </w:r>
    </w:p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7. 本计算书解释权归编制单位所有。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36"/>
        </w:rPr>
        <w:t>目  录</w:t>
      </w:r>
    </w:p>
    <w:p/>
    <w:p>
      <w:r>
        <w:fldChar w:fldCharType="begin"/>
        <w:instrText xml:space="preserve">TOC \o "1-2" \h \z \u</w:instrText>
        <w:fldChar w:fldCharType="end"/>
      </w:r>
    </w:p>
    <w:p>
      <w:r>
        <w:br w:type="page"/>
      </w:r>
    </w:p>
    <w:p>
      <w:pPr>
        <w:sectPr>
          <w:pgSz w:w="12240" w:h="15840"/>
          <w:pgMar w:top="1247" w:right="1361" w:bottom="1247" w:left="1474" w:header="720" w:footer="720" w:gutter="0"/>
          <w:cols w:space="720"/>
          <w:docGrid w:linePitch="360"/>
        </w:sectPr>
      </w:pPr>
    </w:p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4"/>
        </w:rPr>
        <w:t>计算依据</w:t>
      </w:r>
    </w:p>
    <w:p>
      <w:r>
        <w:rPr>
          <w:rFonts w:ascii="宋体" w:hAnsi="宋体" w:eastAsia="宋体"/>
          <w:b w:val="0"/>
          <w:sz w:val="19"/>
        </w:rPr>
        <w:t>1、《建筑施工扣件式钢管脚手架安全技术规范》JGJ 130-2011</w:t>
      </w:r>
    </w:p>
    <w:p>
      <w:r>
        <w:rPr>
          <w:rFonts w:ascii="宋体" w:hAnsi="宋体" w:eastAsia="宋体"/>
          <w:b w:val="0"/>
          <w:sz w:val="19"/>
        </w:rPr>
        <w:t>2、《施工脚手架通用规范》GB 55023-2022</w:t>
      </w:r>
    </w:p>
    <w:p>
      <w:r>
        <w:rPr>
          <w:rFonts w:ascii="宋体" w:hAnsi="宋体" w:eastAsia="宋体"/>
          <w:b w:val="0"/>
          <w:sz w:val="19"/>
        </w:rPr>
        <w:t>3、《建筑结构荷载规范》GB 50009-2012</w:t>
      </w:r>
    </w:p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8"/>
        </w:rPr>
        <w:t>一、计算参数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3969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参数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取值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单位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单/双排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双排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架体类型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双排落地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搭设高度 H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24.0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步距 h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1.8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立杆纵距 la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1.5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立杆横距 lb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0.9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连墙件竖向间距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3.6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连墙件水平间距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4.5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连墙件计算长度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0.9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钢管类型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φ48×3.0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连墙件连接方式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扣件连接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连墙件连接承载力 Nv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12.0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kN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连墙件净截面面积 Ac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mm²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连墙件偏离主节点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200.0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mm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首步设置连墙件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连墙件布置形式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菱形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基本风压 w0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0.25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kN/m²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地面粗糙度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脚手架封闭状况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全封闭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背靠建筑物状况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全封闭墙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挡风系数 φ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0.8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</w:tbl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8"/>
        </w:rPr>
        <w:t>二、计算过程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1. 连墙件强度</w:t>
      </w:r>
      <w:r>
        <w:rPr>
          <w:rFonts w:ascii="宋体" w:hAnsi="宋体" w:eastAsia="宋体"/>
          <w:b w:val="0"/>
          <w:sz w:val="18"/>
        </w:rPr>
        <w:t>（JGJ 130-2011 5.2.12-1）</w:t>
      </w:r>
    </w:p>
    <w:p>
      <w:r>
        <w:rPr>
          <w:rFonts w:ascii="宋体" w:hAnsi="宋体" w:eastAsia="宋体"/>
          <w:b w:val="0"/>
          <w:sz w:val="19"/>
        </w:rPr>
        <w:t>公式：Nl/Ac ≤ 0.85f；Ac=424.1mm²，净截面为0，按毛截面</w:t>
      </w:r>
    </w:p>
    <w:p>
      <w:r>
        <w:rPr>
          <w:rFonts w:ascii="宋体" w:hAnsi="宋体" w:eastAsia="宋体"/>
          <w:b w:val="0"/>
          <w:sz w:val="19"/>
        </w:rPr>
        <w:t>结果：20.91 N/mm² ≤ 174.25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2. 连墙件稳定性</w:t>
      </w:r>
      <w:r>
        <w:rPr>
          <w:rFonts w:ascii="宋体" w:hAnsi="宋体" w:eastAsia="宋体"/>
          <w:b w:val="0"/>
          <w:sz w:val="18"/>
        </w:rPr>
        <w:t>（JGJ 130-2011 5.2.12-2）</w:t>
      </w:r>
    </w:p>
    <w:p>
      <w:r>
        <w:rPr>
          <w:rFonts w:ascii="宋体" w:hAnsi="宋体" w:eastAsia="宋体"/>
          <w:b w:val="0"/>
          <w:sz w:val="19"/>
        </w:rPr>
        <w:t>公式：Nl/(φA) ≤ 0.85f；λ=56.4，φ=0.832</w:t>
      </w:r>
    </w:p>
    <w:p>
      <w:r>
        <w:rPr>
          <w:rFonts w:ascii="宋体" w:hAnsi="宋体" w:eastAsia="宋体"/>
          <w:b w:val="0"/>
          <w:sz w:val="19"/>
        </w:rPr>
        <w:t>结果：25.14 N/mm² ≤ 174.25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3. 连墙件连接承载力</w:t>
      </w:r>
      <w:r>
        <w:rPr>
          <w:rFonts w:ascii="宋体" w:hAnsi="宋体" w:eastAsia="宋体"/>
          <w:b w:val="0"/>
          <w:sz w:val="18"/>
        </w:rPr>
        <w:t>（JGJ 130-2011 5.2.14）</w:t>
      </w:r>
    </w:p>
    <w:p>
      <w:r>
        <w:rPr>
          <w:rFonts w:ascii="宋体" w:hAnsi="宋体" w:eastAsia="宋体"/>
          <w:b w:val="0"/>
          <w:sz w:val="19"/>
        </w:rPr>
        <w:t>公式：Nl ≤ Nv；Nv 为用户提供的可复核连接承载力设计值</w:t>
      </w:r>
    </w:p>
    <w:p>
      <w:r>
        <w:rPr>
          <w:rFonts w:ascii="宋体" w:hAnsi="宋体" w:eastAsia="宋体"/>
          <w:b w:val="0"/>
          <w:sz w:val="19"/>
        </w:rPr>
        <w:t>结果：8.87 kN ≤ 12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4. 连墙件扣件抗滑</w:t>
      </w:r>
      <w:r>
        <w:rPr>
          <w:rFonts w:ascii="宋体" w:hAnsi="宋体" w:eastAsia="宋体"/>
          <w:b w:val="0"/>
          <w:sz w:val="18"/>
        </w:rPr>
        <w:t>（JGJ 130-2011 5.2.15）</w:t>
      </w:r>
    </w:p>
    <w:p>
      <w:r>
        <w:rPr>
          <w:rFonts w:ascii="宋体" w:hAnsi="宋体" w:eastAsia="宋体"/>
          <w:b w:val="0"/>
          <w:sz w:val="19"/>
        </w:rPr>
        <w:t>公式：Nl ≤ Rc=8.0kN</w:t>
      </w:r>
    </w:p>
    <w:p>
      <w:r>
        <w:rPr>
          <w:rFonts w:ascii="宋体" w:hAnsi="宋体" w:eastAsia="宋体"/>
          <w:b/>
          <w:sz w:val="19"/>
        </w:rPr>
        <w:t>结果：8.87 kN &gt; 8 → 不满足要求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5. 连墙件竖向间距</w:t>
      </w:r>
      <w:r>
        <w:rPr>
          <w:rFonts w:ascii="宋体" w:hAnsi="宋体" w:eastAsia="宋体"/>
          <w:b w:val="0"/>
          <w:sz w:val="18"/>
        </w:rPr>
        <w:t>（JGJ 130-2011 表 6.4.2）</w:t>
      </w:r>
    </w:p>
    <w:p>
      <w:r>
        <w:rPr>
          <w:rFonts w:ascii="宋体" w:hAnsi="宋体" w:eastAsia="宋体"/>
          <w:b w:val="0"/>
          <w:sz w:val="19"/>
        </w:rPr>
        <w:t>公式：tieVerticalSpacing/h=3.60/1.80 ≤ 3 步</w:t>
      </w:r>
    </w:p>
    <w:p>
      <w:r>
        <w:rPr>
          <w:rFonts w:ascii="宋体" w:hAnsi="宋体" w:eastAsia="宋体"/>
          <w:b w:val="0"/>
          <w:sz w:val="19"/>
        </w:rPr>
        <w:t>结果：2 步 ≤ 3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6. 连墙件水平间距</w:t>
      </w:r>
      <w:r>
        <w:rPr>
          <w:rFonts w:ascii="宋体" w:hAnsi="宋体" w:eastAsia="宋体"/>
          <w:b w:val="0"/>
          <w:sz w:val="18"/>
        </w:rPr>
        <w:t>（JGJ 130-2011 表 6.4.2）</w:t>
      </w:r>
    </w:p>
    <w:p>
      <w:r>
        <w:rPr>
          <w:rFonts w:ascii="宋体" w:hAnsi="宋体" w:eastAsia="宋体"/>
          <w:b w:val="0"/>
          <w:sz w:val="19"/>
        </w:rPr>
        <w:t>公式：tieHorizontalSpacing/la=4.50/1.50 ≤ 3 跨</w:t>
      </w:r>
    </w:p>
    <w:p>
      <w:r>
        <w:rPr>
          <w:rFonts w:ascii="宋体" w:hAnsi="宋体" w:eastAsia="宋体"/>
          <w:b w:val="0"/>
          <w:sz w:val="19"/>
        </w:rPr>
        <w:t>结果：3 跨 = 3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7. 连墙件覆盖面积</w:t>
      </w:r>
      <w:r>
        <w:rPr>
          <w:rFonts w:ascii="宋体" w:hAnsi="宋体" w:eastAsia="宋体"/>
          <w:b w:val="0"/>
          <w:sz w:val="18"/>
        </w:rPr>
        <w:t>（JGJ 130-2011 表 6.4.2）</w:t>
      </w:r>
    </w:p>
    <w:p>
      <w:r>
        <w:rPr>
          <w:rFonts w:ascii="宋体" w:hAnsi="宋体" w:eastAsia="宋体"/>
          <w:b w:val="0"/>
          <w:sz w:val="19"/>
        </w:rPr>
        <w:t>公式：Aw=3.60×4.50 ≤ 40m²</w:t>
      </w:r>
    </w:p>
    <w:p>
      <w:r>
        <w:rPr>
          <w:rFonts w:ascii="宋体" w:hAnsi="宋体" w:eastAsia="宋体"/>
          <w:b w:val="0"/>
          <w:sz w:val="19"/>
        </w:rPr>
        <w:t>结果：16.2 m² ≤ 40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8. 连墙件偏离主节点</w:t>
      </w:r>
      <w:r>
        <w:rPr>
          <w:rFonts w:ascii="宋体" w:hAnsi="宋体" w:eastAsia="宋体"/>
          <w:b w:val="0"/>
          <w:sz w:val="18"/>
        </w:rPr>
        <w:t>（JGJ 130-2011 6.4.3）</w:t>
      </w:r>
    </w:p>
    <w:p>
      <w:r>
        <w:rPr>
          <w:rFonts w:ascii="宋体" w:hAnsi="宋体" w:eastAsia="宋体"/>
          <w:b w:val="0"/>
          <w:sz w:val="19"/>
        </w:rPr>
        <w:t>公式：偏离主节点不得超过 300mm</w:t>
      </w:r>
    </w:p>
    <w:p>
      <w:r>
        <w:rPr>
          <w:rFonts w:ascii="宋体" w:hAnsi="宋体" w:eastAsia="宋体"/>
          <w:b w:val="0"/>
          <w:sz w:val="19"/>
        </w:rPr>
        <w:t>结果：200 mm ≤ 300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9. 连墙件首步设置</w:t>
      </w:r>
      <w:r>
        <w:rPr>
          <w:rFonts w:ascii="宋体" w:hAnsi="宋体" w:eastAsia="宋体"/>
          <w:b w:val="0"/>
          <w:sz w:val="18"/>
        </w:rPr>
        <w:t>（JGJ 130-2011 6.4.3）</w:t>
      </w:r>
    </w:p>
    <w:p>
      <w:r>
        <w:rPr>
          <w:rFonts w:ascii="宋体" w:hAnsi="宋体" w:eastAsia="宋体"/>
          <w:b w:val="0"/>
          <w:sz w:val="19"/>
        </w:rPr>
        <w:t>公式：应从底层第一步纵向水平杆处设置</w:t>
      </w:r>
    </w:p>
    <w:p>
      <w:r>
        <w:rPr>
          <w:rFonts w:ascii="宋体" w:hAnsi="宋体" w:eastAsia="宋体"/>
          <w:b w:val="0"/>
          <w:sz w:val="19"/>
        </w:rPr>
        <w:t>结果：满足要求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10. 连墙件刚性构造</w:t>
      </w:r>
      <w:r>
        <w:rPr>
          <w:rFonts w:ascii="宋体" w:hAnsi="宋体" w:eastAsia="宋体"/>
          <w:b w:val="0"/>
          <w:sz w:val="18"/>
        </w:rPr>
        <w:t>（GB 55023-2022 4.4.6）</w:t>
      </w:r>
    </w:p>
    <w:p>
      <w:r>
        <w:rPr>
          <w:rFonts w:ascii="宋体" w:hAnsi="宋体" w:eastAsia="宋体"/>
          <w:b w:val="0"/>
          <w:sz w:val="19"/>
        </w:rPr>
        <w:t>公式：GB 55023-2022 第4.4.6条强制要求连墙件为可拉压的刚性构件；当前连接方式不是软拉硬撑，满足刚性构造要求。JGJ 130-2011 仅限制 H&gt;24m 时不得采用软拉硬撑，GB 55023-2022 的要求更严。</w:t>
      </w:r>
    </w:p>
    <w:p>
      <w:r>
        <w:rPr>
          <w:rFonts w:ascii="宋体" w:hAnsi="宋体" w:eastAsia="宋体"/>
          <w:b w:val="0"/>
          <w:sz w:val="19"/>
        </w:rPr>
        <w:t>结果：满足要求</w:t>
      </w:r>
    </w:p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8"/>
        </w:rPr>
        <w:t>三、计算图</w:t>
      </w:r>
    </w:p>
    <w:p>
      <w:r>
        <w:drawing>
          <wp:inline xmlns:a="http://schemas.openxmlformats.org/drawingml/2006/main" xmlns:pic="http://schemas.openxmlformats.org/drawingml/2006/picture">
            <wp:extent cx="5472000" cy="224146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2414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7"/>
        </w:rPr>
        <w:t>图 1  连墙件计算简化计算模型：正立面连墙件布置</w:t>
      </w:r>
    </w:p>
    <w:p>
      <w:r>
        <w:drawing>
          <wp:inline xmlns:a="http://schemas.openxmlformats.org/drawingml/2006/main" xmlns:pic="http://schemas.openxmlformats.org/drawingml/2006/picture">
            <wp:extent cx="5472000" cy="23915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391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7"/>
        </w:rPr>
        <w:t>图 2  连墙件计算简化计算模型：平面连墙件布置</w:t>
      </w:r>
    </w:p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8"/>
        </w:rPr>
        <w:t>四、验算结果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rPr>
          <w:tblHeader w:val="true"/>
        </w:trPr>
        <w:tc>
          <w:tcPr>
            <w:tcW w:type="dxa" w:w="6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项次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计算项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计算值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限值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利用率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判定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规范条文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连墙件强度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20.91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174.25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12%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130-2011 5.2.12-1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连墙件稳定性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25.14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174.25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14%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130-2011 5.2.12-2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连墙件连接承载力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8.87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12.0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74%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130-2011 5.2.14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连墙件扣件抗滑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8.87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111%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不满足要求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130-2011 5.2.15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连墙件竖向间距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2.0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67%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130-2011 表 6.4.2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连墙件水平间距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3.0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130-2011 表 6.4.2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连墙件覆盖面积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16.2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40.0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40%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130-2011 表 6.4.2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连墙件偏离主节点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200.0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300.0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67%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130-2011 6.4.3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连墙件首步设置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130-2011 6.4.3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连墙件刚性构造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GB 55023-2022 4.4.6</w:t>
            </w:r>
          </w:p>
        </w:tc>
      </w:tr>
    </w:tbl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8"/>
        </w:rPr>
        <w:t>五、结论</w:t>
      </w:r>
    </w:p>
    <w:p>
      <w:r>
        <w:rPr>
          <w:rFonts w:ascii="宋体" w:hAnsi="宋体" w:eastAsia="宋体"/>
          <w:b w:val="0"/>
          <w:sz w:val="21"/>
        </w:rPr>
        <w:t>本次验算共 10 项，其中 1 项不满足：连墙件扣件抗滑。</w:t>
      </w:r>
    </w:p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8"/>
        </w:rPr>
        <w:t>六、计算说明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Nlw=1.4wkAw、Nl=Nlw+N0 按 JGJ 130-2011 式 5.2.13、5.2.12-3；未混入 CECS 699-2020 的 1.5 系数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tieNetArea=0，当前强度按毛截面计算；后续应以实际净截面复核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f=205N/mm²、Rc=8.0kN 取自 JGJ 130-2011；φ 按附录 A 表 A.0.6 查取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μz 按 GB 50009-2012 表 8.2.1 取架体高度 H；μs 按 JGJ 130-2011 封闭状况和背靠建筑规则计算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连墙点覆盖面积仅作布置覆盖范围校核，不替代建筑结构本体、预埋件或连接节点设计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GB 55023-2022 第4.4.6条为强制性条文，连墙件必须是可拉压的刚性构件；软拉硬撑在任何高度均判定不满足，较 JGJ 130-2011 仅限制 H&gt;24m 更严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本模块为 PmStudio 自算结果，verified=false，尚未取得同参数品茗 RTF oracle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宋体" w:hAnsi="宋体" w:eastAsia="宋体"/>
        <w:b w:val="0"/>
        <w:sz w:val="16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宋体" w:hAnsi="宋体" w:eastAsia="宋体"/>
        <w:b w:val="0"/>
        <w:sz w:val="16"/>
      </w:rPr>
      <w:t xml:space="preserve"> 页 共 </w:t>
    </w:r>
    <w:r>
      <w:fldChar w:fldCharType="begin"/>
      <w:instrText xml:space="preserve"> NUMPAGES </w:instrText>
      <w:fldChar w:fldCharType="end"/>
    </w:r>
    <w:r>
      <w:rPr>
        <w:rFonts w:ascii="宋体" w:hAnsi="宋体" w:eastAsia="宋体"/>
        <w:b w:val="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宋体" w:hAnsi="宋体" w:eastAsia="宋体"/>
        <w:b w:val="0"/>
        <w:sz w:val="16"/>
      </w:rPr>
      <w:t>连墙件计算计算书</w:t>
    </w:r>
    <w:r>
      <w:tab/>
      <w:tab/>
    </w:r>
    <w:r>
      <w:rPr>
        <w:rFonts w:ascii="宋体" w:hAnsi="宋体" w:eastAsia="宋体"/>
        <w:b w:val="0"/>
        <w:sz w:val="16"/>
      </w:rPr>
      <w:t>报告编号：PM-REG-20261027-003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