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宋体" w:hAnsi="宋体" w:eastAsia="宋体"/>
          <w:b w:val="0"/>
          <w:sz w:val="18"/>
        </w:rPr>
        <w:t>报告编号：PM-REG-20261027-008</w:t>
      </w:r>
    </w:p>
    <w:p/>
    <w:p/>
    <w:p/>
    <w:p>
      <w:pPr>
        <w:jc w:val="center"/>
      </w:pPr>
      <w:r>
        <w:rPr>
          <w:rFonts w:ascii="宋体" w:hAnsi="宋体" w:eastAsia="宋体"/>
          <w:b/>
          <w:sz w:val="56"/>
        </w:rPr>
        <w:t>附着式升降脚手架计算书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STRUCTURAL SAFETY CALCULATION REPORT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报告名称：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脚手架默认参数回归（非品茗 oracle） 附着式升降脚手架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委托单位：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自算回归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编制单位：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编制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审核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批准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</w:tr>
    </w:tbl>
    <w:p/>
    <w:p/>
    <w:p/>
    <w:p>
      <w:pPr>
        <w:jc w:val="center"/>
      </w:pPr>
      <w:r>
        <w:rPr>
          <w:rFonts w:ascii="宋体" w:hAnsi="宋体" w:eastAsia="宋体"/>
          <w:b/>
          <w:sz w:val="26"/>
        </w:rPr>
        <w:t>PmStudio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2026年10月27日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声  明</w:t>
      </w:r>
    </w:p>
    <w:p/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1. 本计算书须经编制、审核、批准人员签署后方为有效。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2. 本计算书无编制单位盖章无效。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3. 本计算书涂改无效。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4. 未经编制单位书面批准，不得部分复制本计算书。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5. 本计算书仅对委托方提供的参数与工况负责，参数真实性由委托方负责。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6. 本计算书为结构验算文件，不替代专项施工方案；施工尚应符合现行规范与专项方案要求。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7. 本计算书解释权归编制单位所有。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目  录</w:t>
      </w:r>
    </w:p>
    <w:p/>
    <w:p>
      <w:r>
        <w:fldChar w:fldCharType="begin"/>
        <w:instrText xml:space="preserve">TOC \o "1-2" \h \z \u</w:instrText>
        <w:fldChar w:fldCharType="end"/>
      </w:r>
    </w:p>
    <w:p>
      <w:r>
        <w:br w:type="page"/>
      </w:r>
    </w:p>
    <w:p>
      <w:pPr>
        <w:sectPr>
          <w:pgSz w:w="12240" w:h="15840"/>
          <w:pgMar w:top="1247" w:right="1361" w:bottom="1247" w:left="1474" w:header="720" w:footer="720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4"/>
        </w:rPr>
        <w:t>计算依据</w:t>
      </w:r>
    </w:p>
    <w:p>
      <w:r>
        <w:rPr>
          <w:rFonts w:ascii="宋体" w:hAnsi="宋体" w:eastAsia="宋体"/>
          <w:b w:val="0"/>
          <w:sz w:val="19"/>
        </w:rPr>
        <w:t>1、《建筑施工工具式脚手架安全技术规范》JGJ 202-2010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一、计算参数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9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搭设高度 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storeyHeight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步距 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立杆纵距 la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立杆横距 lb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overhang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cantileverHeight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polesPerPoint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muZ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betaZ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braceAngle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bracePhi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0.75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braceArea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506.0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poleWeight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0.129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boardWeight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0.35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railWeight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netWeight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boardLayers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liveLayers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liveLoad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liftLiveLoad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mainFramePhi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0.75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mainFramePoles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mainFrameArea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506.0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impactFactor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attachBoltCount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attachBoltD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attachBoltDe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26.72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attachBoltFtb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attachBoltFvb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320.0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concreteWidth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concreteFc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13.026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betaB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0.39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betaL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1.73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antiFallCapacity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antiFallBrakeDistance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antiFallPerPoint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antiFallMechanical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antiFallIndependent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syncControlType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syncLoadWarnPct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syncLoadStopPct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syncHeightStopMm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liftingDeviceCapacity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suspensionBeamLength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suspensionBeamSectionModulus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220000.0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suspensionBeamSteelStrength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suspensionBeamLoad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guideRailUtilization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0.75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facadeBraceFullHeight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facadeBraceIntegrated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facadeBraceNodeFastened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facadeBraceAngle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overhangSymmetricTie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overhangTieAngle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antiFallSteelRodApplicable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antiFallSteelRodDiameter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antiFallDustProtection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antiFallSensitivity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二、计算过程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1. 架体风荷载/水平斜杆</w:t>
      </w:r>
      <w:r>
        <w:rPr>
          <w:rFonts w:ascii="宋体" w:hAnsi="宋体" w:eastAsia="宋体"/>
          <w:b w:val="0"/>
          <w:sz w:val="18"/>
        </w:rPr>
        <w:t>（JGJ 202-2010 4.1.2、4.1.5、4.3.2、4.4.12）</w:t>
      </w:r>
    </w:p>
    <w:p>
      <w:r>
        <w:rPr>
          <w:rFonts w:ascii="宋体" w:hAnsi="宋体" w:eastAsia="宋体"/>
          <w:b w:val="0"/>
          <w:sz w:val="19"/>
        </w:rPr>
        <w:t>公式：w_k=βzμzμsw0；F_w=1.4w_k·la·h；N_br=F_w/cosθ；N_br/(φA)≤f</w:t>
      </w:r>
    </w:p>
    <w:p>
      <w:r>
        <w:rPr>
          <w:rFonts w:ascii="宋体" w:hAnsi="宋体" w:eastAsia="宋体"/>
          <w:b w:val="0"/>
          <w:sz w:val="19"/>
        </w:rPr>
        <w:t>结果：5.76 N/mm² ≤ 205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2. 竖向主框架受压承载力</w:t>
      </w:r>
      <w:r>
        <w:rPr>
          <w:rFonts w:ascii="宋体" w:hAnsi="宋体" w:eastAsia="宋体"/>
          <w:b w:val="0"/>
          <w:sz w:val="18"/>
        </w:rPr>
        <w:t>（JGJ 202-2010 4.1.5～4.1.7、4.2.2、4.3.2、4.3.4）</w:t>
      </w:r>
    </w:p>
    <w:p>
      <w:r>
        <w:rPr>
          <w:rFonts w:ascii="宋体" w:hAnsi="宋体" w:eastAsia="宋体"/>
          <w:b w:val="0"/>
          <w:sz w:val="19"/>
        </w:rPr>
        <w:t>公式：N=1.2G_k+1.4Q_k+M_w/lb≤φ·n_p·A·f；G_k按单机位条带自重、Q_k按同时作业层活荷载</w:t>
      </w:r>
    </w:p>
    <w:p>
      <w:r>
        <w:rPr>
          <w:rFonts w:ascii="宋体" w:hAnsi="宋体" w:eastAsia="宋体"/>
          <w:b w:val="0"/>
          <w:sz w:val="19"/>
        </w:rPr>
        <w:t>结果：21.8 kN ≤ 311.19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3. 附墙支座/穿墙螺栓承载力</w:t>
      </w:r>
      <w:r>
        <w:rPr>
          <w:rFonts w:ascii="宋体" w:hAnsi="宋体" w:eastAsia="宋体"/>
          <w:b w:val="0"/>
          <w:sz w:val="18"/>
        </w:rPr>
        <w:t>（JGJ 202-2010 4.1.8、4.3.5～4.3.7）</w:t>
      </w:r>
    </w:p>
    <w:p>
      <w:r>
        <w:rPr>
          <w:rFonts w:ascii="宋体" w:hAnsi="宋体" w:eastAsia="宋体"/>
          <w:b w:val="0"/>
          <w:sz w:val="19"/>
        </w:rPr>
        <w:t>公式：支座设计荷载×2；螺栓拉剪相关 √[(Nv/Nvb)²+(Nt/Ntb)²]≤1，并校核孔壁混凝土局部承压</w:t>
      </w:r>
    </w:p>
    <w:p>
      <w:r>
        <w:rPr>
          <w:rFonts w:ascii="宋体" w:hAnsi="宋体" w:eastAsia="宋体"/>
          <w:b w:val="0"/>
          <w:sz w:val="19"/>
        </w:rPr>
        <w:t>结果：0.11 — ≤ 1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4. 防坠装置</w:t>
      </w:r>
      <w:r>
        <w:rPr>
          <w:rFonts w:ascii="宋体" w:hAnsi="宋体" w:eastAsia="宋体"/>
          <w:b w:val="0"/>
          <w:sz w:val="18"/>
        </w:rPr>
        <w:t>（JGJ 202-2010 4.3.9、4.5.3）</w:t>
      </w:r>
    </w:p>
    <w:p>
      <w:r>
        <w:rPr>
          <w:rFonts w:ascii="宋体" w:hAnsi="宋体" w:eastAsia="宋体"/>
          <w:b w:val="0"/>
          <w:sz w:val="19"/>
        </w:rPr>
        <w:t>公式：使用/升降不利工况×冲击系数≤装置承载力；另校核制动距离、每点装置数、机械全自动、与提升装置独立固定、防尘防污、灵敏可靠；钢吊杆式另校核直径≥25mm</w:t>
      </w:r>
    </w:p>
    <w:p>
      <w:r>
        <w:rPr>
          <w:rFonts w:ascii="宋体" w:hAnsi="宋体" w:eastAsia="宋体"/>
          <w:b w:val="0"/>
          <w:sz w:val="19"/>
        </w:rPr>
        <w:t>结果：42.98 kN ≤ 100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5. 升降同步与架体构造</w:t>
      </w:r>
      <w:r>
        <w:rPr>
          <w:rFonts w:ascii="宋体" w:hAnsi="宋体" w:eastAsia="宋体"/>
          <w:b w:val="0"/>
          <w:sz w:val="18"/>
        </w:rPr>
        <w:t>（JGJ 202-2010 4.4.2、4.4.8、4.5.1、4.5.4）</w:t>
      </w:r>
    </w:p>
    <w:p>
      <w:r>
        <w:rPr>
          <w:rFonts w:ascii="宋体" w:hAnsi="宋体" w:eastAsia="宋体"/>
          <w:b w:val="0"/>
          <w:sz w:val="19"/>
        </w:rPr>
        <w:t>公式：架体高 14.40≤18.00m；宽 0.80≤1.2m；跨度 1.50≤7m；高×跨 21.60≤110m²；悬挑 0.30≤0.75m；悬臂高 3.60≤5.76m；同步报警 15%≤15%、停机 30%≤30%、高差 30mm≤30mm</w:t>
      </w:r>
    </w:p>
    <w:p>
      <w:r>
        <w:rPr>
          <w:rFonts w:ascii="宋体" w:hAnsi="宋体" w:eastAsia="宋体"/>
          <w:b w:val="0"/>
          <w:sz w:val="19"/>
        </w:rPr>
        <w:t>结果：1 — = 1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6. 升降动力设备额定承载力</w:t>
      </w:r>
      <w:r>
        <w:rPr>
          <w:rFonts w:ascii="宋体" w:hAnsi="宋体" w:eastAsia="宋体"/>
          <w:b w:val="0"/>
          <w:sz w:val="18"/>
        </w:rPr>
        <w:t>（JGJ 202-2010 4.3.12）</w:t>
      </w:r>
    </w:p>
    <w:p>
      <w:r>
        <w:rPr>
          <w:rFonts w:ascii="宋体" w:hAnsi="宋体" w:eastAsia="宋体"/>
          <w:b w:val="0"/>
          <w:sz w:val="19"/>
        </w:rPr>
        <w:t>公式：Ns=2×升降工况单机位总荷载设计值≤Nc；Nc取设备额定值，动力设备型号及产品资料须另行核验</w:t>
      </w:r>
    </w:p>
    <w:p>
      <w:r>
        <w:rPr>
          <w:rFonts w:ascii="宋体" w:hAnsi="宋体" w:eastAsia="宋体"/>
          <w:b w:val="0"/>
          <w:sz w:val="19"/>
        </w:rPr>
        <w:t>结果：26.18 kN ≤ 40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7. 升降/防坠悬臂梁抗弯</w:t>
      </w:r>
      <w:r>
        <w:rPr>
          <w:rFonts w:ascii="宋体" w:hAnsi="宋体" w:eastAsia="宋体"/>
          <w:b w:val="0"/>
          <w:sz w:val="18"/>
        </w:rPr>
        <w:t>（JGJ 202-2010 4.3.11、4.2.3）</w:t>
      </w:r>
    </w:p>
    <w:p>
      <w:r>
        <w:rPr>
          <w:rFonts w:ascii="宋体" w:hAnsi="宋体" w:eastAsia="宋体"/>
          <w:b w:val="0"/>
          <w:sz w:val="19"/>
        </w:rPr>
        <w:t>公式：端部荷载按实际专项验算值输入；M_lift=2.0·N·L，M_use=2.0×1.3·N·L，取最不利；M≤W·f。仅校核简化弯曲强度，变形、抗剪、稳定、焊缝及附墙支座分别另验</w:t>
      </w:r>
    </w:p>
    <w:p>
      <w:r>
        <w:rPr>
          <w:rFonts w:ascii="宋体" w:hAnsi="宋体" w:eastAsia="宋体"/>
          <w:b w:val="0"/>
          <w:sz w:val="19"/>
        </w:rPr>
        <w:t>结果：39 kN·m ≤ 45.1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8. 导轨专项验算利用率</w:t>
      </w:r>
      <w:r>
        <w:rPr>
          <w:rFonts w:ascii="宋体" w:hAnsi="宋体" w:eastAsia="宋体"/>
          <w:b w:val="0"/>
          <w:sz w:val="18"/>
        </w:rPr>
        <w:t>（JGJ 202-2010 4.3.8）</w:t>
      </w:r>
    </w:p>
    <w:p>
      <w:r>
        <w:rPr>
          <w:rFonts w:ascii="宋体" w:hAnsi="宋体" w:eastAsia="宋体"/>
          <w:b w:val="0"/>
          <w:sz w:val="19"/>
        </w:rPr>
        <w:t>公式：外部专项验算回填项：导轨抗弯、抗压、抗剪、焊缝、平面内外稳定、锚固螺栓及变形验算利用率必须≤1；本模块不生成截面公式</w:t>
      </w:r>
    </w:p>
    <w:p>
      <w:r>
        <w:rPr>
          <w:rFonts w:ascii="宋体" w:hAnsi="宋体" w:eastAsia="宋体"/>
          <w:b w:val="0"/>
          <w:sz w:val="19"/>
        </w:rPr>
        <w:t>结果：0.75 — ≤ 1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9. 外立面全高剪刀撑构造</w:t>
      </w:r>
      <w:r>
        <w:rPr>
          <w:rFonts w:ascii="宋体" w:hAnsi="宋体" w:eastAsia="宋体"/>
          <w:b w:val="0"/>
          <w:sz w:val="18"/>
        </w:rPr>
        <w:t>（JGJ 202-2010 4.4.12）</w:t>
      </w:r>
    </w:p>
    <w:p>
      <w:r>
        <w:rPr>
          <w:rFonts w:ascii="宋体" w:hAnsi="宋体" w:eastAsia="宋体"/>
          <w:b w:val="0"/>
          <w:sz w:val="19"/>
        </w:rPr>
        <w:t>公式：全高连续=1；三部分连成一体=1；主节点扣紧=1；外立面斜杆夹角=50°（应45°～60°）；悬挑端对称斜拉=1；斜拉夹角=50°（应≥45°）</w:t>
      </w:r>
    </w:p>
    <w:p>
      <w:r>
        <w:rPr>
          <w:rFonts w:ascii="宋体" w:hAnsi="宋体" w:eastAsia="宋体"/>
          <w:b w:val="0"/>
          <w:sz w:val="19"/>
        </w:rPr>
        <w:t>结果：1 — = 1 → 满足要求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三、内力与变形图</w:t>
      </w:r>
    </w:p>
    <w:p>
      <w:r>
        <w:drawing>
          <wp:inline xmlns:a="http://schemas.openxmlformats.org/drawingml/2006/main" xmlns:pic="http://schemas.openxmlformats.org/drawingml/2006/picture">
            <wp:extent cx="5472000" cy="3824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24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1  附着式升降脚手架简化计算模型：主框架立柱轴力与风弯矩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四、验算结果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项次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计算值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限值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利用率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判定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规范条文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架体风荷载/水平斜杆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5.76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202-2010 4.1.2、4.1.5、4.3.2、4.4.12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竖向主框架受压承载力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21.8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311.19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202-2010 4.1.5～4.1.7、4.2.2、4.3.2、4.3.4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附墙支座/穿墙螺栓承载力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202-2010 4.1.8、4.3.5～4.3.7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防坠装置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42.98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75%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202-2010 4.3.9、4.5.3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升降同步与架体构造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202-2010 4.4.2、4.4.8、4.5.1、4.5.4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升降动力设备额定承载力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26.18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65%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202-2010 4.3.12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升降/防坠悬臂梁抗弯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39.0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45.1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86%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202-2010 4.3.11、4.2.3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导轨专项验算利用率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0.75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75%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202-2010 4.3.8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外立面全高剪刀撑构造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202-2010 4.4.12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五、结论</w:t>
      </w:r>
    </w:p>
    <w:p>
      <w:r>
        <w:rPr>
          <w:rFonts w:ascii="宋体" w:hAnsi="宋体" w:eastAsia="宋体"/>
          <w:b w:val="0"/>
          <w:sz w:val="21"/>
        </w:rPr>
        <w:t>本次验算全部项满足规范要求。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六、计算说明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默认几何参数取自品茗 pmsc.ini 的 [AttachedLifting information] 示例：H=65m、层高 3.6m、h=1.8m、la=1.5m、lb=0.8m、n=8、k=4；这些值仅用于回放示例输入，不是规范推荐值或合格结论。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n 解释为架体步数，架体高度按 n·h 计算；k 解释为提升机位/附墙支承点数。该解释来自参数组合关系，仍需与品茗计算书逐项对照确认。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钢结构按 JGJ 202-2010 第 3 章假定采用合格的 Q235 构配件和 φ48.3×3.6mm 钢管；截面面积、稳定系数和强度设计值均由输入提供，程序不替代材料进场验收。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一个机位的竖向荷载条带宽度取 la、架体宽度取 lb；脚手板按 boardLayers 层铺设，施工活荷载按 liveLayers 层同时作用。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竖向主框架风弯矩按一个步距内的风线荷载以 qh²/10 估算，该弯矩由主框架两侧杆件以 lb 为力臂承担；仅作为简化杆件校核。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水平风荷载由一个矩形步距条带传给 45°～60° 水平剪刀撑，假定单根斜杆平衡该条带水平力，不考虑多杆空间分配。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附墙支座按 4.1.8 的冲击系数放大使用工况设计荷载；同一支座各穿墙螺栓平均分担竖向剪力和水平拉力。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防坠装置按使用工况和升降工况设计荷载的较大值乘冲击系数；制动距离限值按 k≥3 的整体式脚手架取 80mm，否则取 150mm；钢吊杆式装置仅按“是否适用+直径≥25mm”校核，吊杆承载力仍须专项计算。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升降动力设备 Ns 按升降工况单机位总荷载设计值的 2 倍计算，并与输入设备额定值 Nc 比较；额定值应取产品铭牌或型式检验资料。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suspensionBeamLoad 是悬臂梁端部实际专项验算荷载，定义为尚未乘 4.3.11 冲击系数和不均匀系数的设计荷载；升降/防坠包络取 2.0N，使用工况取 2.0×1.3N，再以 M=N·L 取不利弯矩。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suspensionBeamSectionModulus 和 suspensionBeamSteelStrength 由用户按实际钢梁截面及材质输入；本模块不根据型钢型号自动查截面，也不按截面塑性发展系数修正。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guideRailUtilization 是导轨外部专项验算结果回填项，不是本模块由截面尺寸推导；回填值应能对应抗弯、抗压、抗剪、焊缝、稳定、锚栓和变形中的控制项。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外立面剪刀撑参数表示现场构造核查和方案图示确认结果；45°～60°、主节点扣紧和悬挑端对称斜拉仍需现场验收。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同步控制按荷载报警阈值不高于 15%、停机阈值不高于 30%、水平高差停机阈值不高于 30mm 进行保守校核。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计算结果标记 verified=false，正式应用前应与项目专项施工方案、产品型式检验报告和品茗计算书样本对照复核。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6"/>
      </w:rPr>
      <w:t xml:space="preserve"> 页 共 </w:t>
    </w:r>
    <w: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b w:val="0"/>
        <w:sz w:val="16"/>
      </w:rPr>
      <w:t>附着式升降脚手架计算书</w:t>
    </w:r>
    <w:r>
      <w:tab/>
      <w:tab/>
    </w:r>
    <w:r>
      <w:rPr>
        <w:rFonts w:ascii="宋体" w:hAnsi="宋体" w:eastAsia="宋体"/>
        <w:b w:val="0"/>
        <w:sz w:val="16"/>
      </w:rPr>
      <w:t>报告编号：PM-REG-20261027-008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