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Bajarilgan ijodiy ishlar haqida</w:t>
      </w:r>
    </w:p>
    <w:p>
      <w:pPr>
        <w:spacing w:after="0" w:before="120"/>
        <w:jc w:val="center"/>
      </w:pPr>
      <w:r>
        <w:rPr>
          <w:rFonts w:ascii="Times New Roman" w:cs="Times New Roman" w:eastAsia="Times New Roman" w:hAnsi="Times New Roman"/>
          <w:b/>
          <w:bCs/>
          <w:spacing w:val="60"/>
          <w:sz w:val="24"/>
          <w:szCs w:val="24"/>
        </w:rPr>
        <w:t xml:space="preserve">DALOLATNOMA</w:t>
      </w:r>
    </w:p>
    <w:p>
      <w:pPr>
        <w:spacing w:after="120" w:before="120"/>
        <w:jc w:val="center"/>
      </w:pPr>
      <w:r>
        <w:rPr>
          <w:rFonts w:ascii="Times New Roman" w:cs="Times New Roman" w:eastAsia="Times New Roman" w:hAnsi="Times New Roman"/>
          <w:sz w:val="24"/>
          <w:szCs w:val="24"/>
        </w:rPr>
        <w:t xml:space="preserve">№____ «____»____________ 2026 yil</w:t>
      </w:r>
    </w:p>
    <w:p>
      <w:pPr>
        <w:spacing w:after="60"/>
        <w:ind w:firstLine="709"/>
        <w:jc w:val="both"/>
      </w:pPr>
      <w:r>
        <w:rPr>
          <w:rFonts w:ascii="Times New Roman" w:cs="Times New Roman" w:eastAsia="Times New Roman" w:hAnsi="Times New Roman"/>
          <w:sz w:val="24"/>
          <w:szCs w:val="24"/>
        </w:rPr>
        <w:t xml:space="preserve">Ijrochi Aziza Mingbayeva va buyurtmachi Jizzax viloyati IIB boshlig‘i, general-mayor G‘.T.Qodirov o‘rtasida - ijrochi ishlarni bajargani va buyurtmachi qabul qilib olgani haqida dalolatnoma tuzildi:</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7621"/>
        <w:gridCol w:w="1800"/>
      </w:tblGrid>
      <w:tr>
        <w:trPr>
          <w:tblHeader/>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bCs/>
                <w:sz w:val="24"/>
                <w:szCs w:val="24"/>
              </w:rPr>
              <w:t xml:space="preserve">№</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bCs/>
                <w:sz w:val="24"/>
                <w:szCs w:val="24"/>
              </w:rPr>
              <w:t xml:space="preserve">Mahsulot nomi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bCs/>
                <w:sz w:val="22"/>
                <w:szCs w:val="22"/>
              </w:rPr>
              <w:t xml:space="preserve">Tayyorlangan</w:t>
            </w:r>
          </w:p>
          <w:p>
            <w:pPr>
              <w:keepNext w:val="false"/>
              <w:keepLines w:val="false"/>
              <w:spacing w:after="0" w:before="0" w:line="240"/>
              <w:jc w:val="center"/>
            </w:pPr>
            <w:r>
              <w:rPr>
                <w:rFonts w:ascii="Times New Roman" w:cs="Times New Roman" w:eastAsia="Times New Roman" w:hAnsi="Times New Roman"/>
                <w:b/>
                <w:bCs/>
                <w:sz w:val="22"/>
                <w:szCs w:val="22"/>
              </w:rPr>
              <w:t xml:space="preserve">sana</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«Raqamli xavfsizlik — bugungi kunning muhim talabi!» mavzusidagi HUMOGRAM xavfsiz muloqot platformasi haqidagi videorolikda boshlovchi sifatida suratga tushildi: platformaning zararli APK fayllardan himoya qilish imkoniyatlari tomoshabinlarga tushuntirildi, post matni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2</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«Telegram akkauntingiz xavfsizligini mustahkamlang!» mavzusidagi o‘zbek tilidagi qo‘llanma-videorolikda boshlovchi sifatida ishtirok etildi: ikki bosqichli tekshiruvni yoqish va qo‘shimcha parol o‘rnatish bosqichlari izohlab berildi, post matni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3</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Telegram’da ikki bosqichli tekshiruv bo‘yicha videorolikning rus tilidagi versiyasida («Усильте защиту своего Telegram-аккаунта! Облачный пароль») boshlovchi sifatida suratga tushildi, sarlavha va matn rus tilida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4</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«Kiberxavfsizlik — har bir yosh avlod uchun muhim bilim!» mavzusida sport maydonida ota-onalar va bolalar bilan suhbat (so‘rovnoma) o‘tkazildi: intervyu oluvchi sifatida bolalarga internetdan xavfsiz foydalanish, shaxsiy ma’lumotlarni himoya qilish va shubhali havolalar bo‘yicha savollar berildi.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5</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«Uzum tovar limitingizni naqdlashtirib beraman» degan firibgarlik takliflaridan ogohlantiruvchi videorolikda o‘zbek tilida boshlovchi sifatida suratga tushildi: firibgarlar pul, karta ma’lumotlari va SMS-kodlarni qo‘lga kiritishga urinishi tushuntirildi, post matni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6</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Uzum tovar limiti firibgarligi bo‘yicha videorolikning rus tilidagi versiyasida («Остерегайтесь предложений обналичить ваш товарный лимит Uzum!») boshlovchi sifatida ishtirok etildi, post matni rus tilida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7</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«APK Qo‘riqchi» nomi ostida tarqatilayotgan zararli APK fayllar haqidagi ogohlantiruvchi videorolikda boshlovchi sifatida suratga tushildi: Telegram orqali yuborilgan APK fayllarni ochmaslik va ilovalarni faqat rasmiy manbalardan yuklab olish tavsiya etildi.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8</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«APK Qo‘riqchi» zararli fayllari bo‘yicha ogohlantiruvchi videorolikning rus tilidagi versiyasida («ВНИМАНИЕ! Мошенники распространяют вредоносные APK-файлы») boshlovchi sifatida ishtirok etildi.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9</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Internetda pulni ko‘paytirish, foizsiz kredit, yutuq berish va tovar uchun oldindan pul tashlash takliflariga oid firibgarliklardan ogohlantiruvchi videorolikda boshlovchi sifatida suratga tushildi: fuqarolar @JIZZAXKIBERMASLAHATBOT orqali yozma maslahat olishga yo‘naltirildi (kirill yozuvidagi versiya).</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10</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Onlayn firibgarlik takliflari va @JIZZAXKIBERMASLAHATBOT maslahat boti bo‘yicha videorolikning lotin yozuvidagi versiyasi uchun post matni tayyorlandi va «Kiberjinoyatlarni qurboni bo‘lishdan saqlaning!» chaqirig‘i bilan to‘ldirildi.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11</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«APK файлларидан эҳтиёт бўлинг!» mavzusidagi videorolikda boshlovchi sifatida suratga tushildi: kiberjinoyatchilar zararli APK fayllarni raqam, belgi va boshqa nomlar bilan qayta nomlab tarqatishi, fayl nomi o‘zgarsa ham xavfi saqlanib qolishi tushuntirildi.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12</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Qayta nomlangan zararli APK fayllar bo‘yicha videorolikning rus tilidagi versiyasida («Остерегайтесь APK-файлов!») boshlovchi sifatida ishtirok etildi, post matni rus tilida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13</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UZUM brendi ostida tarqatilayotgan soxta reklamalardan ogohlantiruvchi videorolikda boshlovchi sifatida suratga tushildi: fuqarolarga firibgarlarga aldanib qolmaslik va ushbu ma’lumotni zudlik bilan tanishlariga yuborish tavsiya etildi.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14</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«Sizni to‘yimga taklif qilaman…» mazmunidagi Telegram xabarlari orqali tarqatilayotgan zararli APK fayllar haqidagi ogohlantiruvchi videorolikda boshlovchi sifatida ishtirok etildi, mutaxassislar ogohlantirishi tomoshabinlarga yetkazildi.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Avgust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15</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«Internetda hushyor bo‘ling!» mavzusidagi profilaktik videorolikda boshlovchi sifatida suratga tushildi: shubhali fayllarni ochmaslik, tasdiqlash kodlarini bermaslik va oson daromad va’dalariga ishonmaslik qoidalari tushuntirildi, post matni va heshteglar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16</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Investor yoki treyder sifatida o‘zini tanishtirib, tez va kafolatlangan daromad va’da qiluvchi firibgarlardan ogohlantiruvchi videorolikning ingliz tilidagi versiyasida («Don’t fall for promises of easy and quick money!») ishtirok etildi, post matni ingliz tilida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17</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Soxta investor va treyderlar firibgarligi bo‘yicha videorolikning rus tilidagi versiyasida («Не верьте обещаниям лёгкого и быстрого дохода!») boshlovchi sifatida suratga tushildi: pul o‘tkazishdan oldin ma’lumotni tekshirish va shoshilmaslik tavsiya etildi.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18</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«Onlayn xaridlarda ehtiyot bo‘ling!» mavzusidagi videorolikda boshlovchi sifatida suratga tushildi: notanish sotuvchiga oldindan pul o‘tkazmaslik, sotuvchi, sharhlar va to‘lov usulini tekshirish qoidalari tushuntirildi, post matni va heshteglar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19</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Jizzax viloyatida ishlab chiqilgan «HUMOGRAM» xavfsiz messenjeri haqidagi yangilik formatidagi videorolikda boshlovchi sifatida ishtirok etildi: ilovaning APK fayllarni qizil rangda ajratishi va ochishga yo‘l qo‘ymasligi ko‘rsatildi, matn kirill va lotin yozuvida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r>
        <w:trPr>
          <w:cantSplit/>
        </w:trPr>
        <w:tc>
          <w:tcPr>
            <w:tcW w:type="dxa" w:w="500"/>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20</w:t>
            </w:r>
          </w:p>
        </w:tc>
        <w:tc>
          <w:tcPr>
            <w:tcW w:type="dxa" w:w="7621"/>
            <w:tcBorders>
              <w:top w:val="single" w:color="000000" w:sz="4"/>
              <w:left w:val="single" w:color="000000" w:sz="4"/>
              <w:bottom w:val="single" w:color="000000" w:sz="4"/>
              <w:right w:val="single" w:color="000000" w:sz="4"/>
            </w:tcBorders>
            <w:tcMar>
              <w:top w:type="dxa" w:w="0"/>
              <w:left w:type="dxa" w:w="70"/>
              <w:bottom w:type="dxa" w:w="0"/>
              <w:right w:type="dxa" w:w="70"/>
            </w:tcMar>
            <w:vAlign w:val="center"/>
          </w:tcPr>
          <w:p>
            <w:pPr>
              <w:keepNext w:val="false"/>
              <w:keepLines w:val="false"/>
              <w:spacing w:after="0" w:before="0" w:line="240"/>
              <w:jc w:val="left"/>
            </w:pPr>
            <w:r>
              <w:rPr>
                <w:rFonts w:ascii="Times New Roman" w:cs="Times New Roman" w:eastAsia="Times New Roman" w:hAnsi="Times New Roman"/>
                <w:b w:val="false"/>
                <w:bCs w:val="false"/>
                <w:sz w:val="24"/>
                <w:szCs w:val="24"/>
              </w:rPr>
              <w:t xml:space="preserve">«HUMOGRAM» messenjeri bo‘yicha batafsil sharh-videorolikda boshlovchi sifatida suratga tushildi: «Jizzax Cyber Security Challenge» tanlovida yaratilgan ilovaning afzalliklari va keksalarni APK firibgarligidan himoya qilishdagi ahamiyati yoritildi, sharh matni tayyorlandi.</w:t>
            </w:r>
          </w:p>
        </w:tc>
        <w:tc>
          <w:tcPr>
            <w:tcW w:type="dxa" w:w="1800"/>
            <w:tcBorders>
              <w:top w:val="single" w:color="000000" w:sz="4"/>
              <w:left w:val="single" w:color="000000" w:sz="4"/>
              <w:bottom w:val="single" w:color="000000" w:sz="4"/>
              <w:right w:val="single" w:color="000000" w:sz="4"/>
            </w:tcBorders>
            <w:tcMar>
              <w:top w:type="dxa" w:w="0"/>
              <w:left w:type="dxa" w:w="70"/>
              <w:bottom w:type="dxa" w:w="0"/>
              <w:right w:type="dxa" w:w="70"/>
            </w:tcMar>
            <w:vAlign w:val="top"/>
          </w:tcPr>
          <w:p>
            <w:pPr>
              <w:keepNext w:val="false"/>
              <w:keepLines w:val="false"/>
              <w:spacing w:after="0" w:before="0" w:line="240"/>
              <w:jc w:val="center"/>
            </w:pPr>
            <w:r>
              <w:rPr>
                <w:rFonts w:ascii="Times New Roman" w:cs="Times New Roman" w:eastAsia="Times New Roman" w:hAnsi="Times New Roman"/>
                <w:b w:val="false"/>
                <w:bCs w:val="false"/>
                <w:sz w:val="24"/>
                <w:szCs w:val="24"/>
              </w:rPr>
              <w:t xml:space="preserve">Sentyabr 2026 y</w:t>
            </w:r>
          </w:p>
        </w:tc>
      </w:tr>
    </w:tbl>
    <w:p>
      <w:pPr>
        <w:keepNext/>
        <w:keepLines/>
        <w:spacing w:before="160" w:line="276"/>
        <w:ind w:firstLine="709"/>
        <w:jc w:val="both"/>
      </w:pPr>
      <w:r>
        <w:rPr>
          <w:rFonts w:ascii="Times New Roman" w:cs="Times New Roman" w:eastAsia="Times New Roman" w:hAnsi="Times New Roman"/>
        </w:rPr>
        <w:t xml:space="preserve">Bajarilgan ishlarning umumiy qiymati soliqlarni hisobga olgan holda ____________ (________________________________________) so‘mni tashkil etdi.</w:t>
      </w:r>
    </w:p>
    <w:p>
      <w:pPr>
        <w:keepNext/>
        <w:keepLines/>
        <w:spacing w:after="160" w:line="276"/>
        <w:jc w:val="both"/>
      </w:pPr>
      <w:r>
        <w:rPr>
          <w:rFonts w:ascii="Times New Roman" w:cs="Times New Roman" w:eastAsia="Times New Roman" w:hAnsi="Times New Roman"/>
        </w:rPr>
        <w:t xml:space="preserve">Ijodiy ish belgilangan muddatda va talab etilgan sifat darajasida tayyorlandi. Tomonlar o‘rtasida e’tirozlar yo‘q. Ishni qabul qildi: A.Ahmedov</w:t>
      </w:r>
    </w:p>
    <w:tbl>
      <w:tblPr>
        <w:tblW w:type="dxa" w:w="992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0"/>
        <w:gridCol w:w="4960"/>
      </w:tblGrid>
      <w:tr>
        <w:trPr>
          <w:cantSplit/>
        </w:trPr>
        <w:tc>
          <w:tcPr>
            <w:tcW w:type="dxa" w:w="4960"/>
            <w:tcBorders>
              <w:top w:val="none" w:color="FFFFFF" w:sz="0"/>
              <w:left w:val="none" w:color="FFFFFF" w:sz="0"/>
              <w:bottom w:val="none" w:color="FFFFFF" w:sz="0"/>
              <w:right w:val="none" w:color="FFFFFF" w:sz="0"/>
            </w:tcBorders>
          </w:tcPr>
          <w:p>
            <w:pPr>
              <w:keepNext/>
              <w:keepLines/>
              <w:spacing w:after="160"/>
              <w:jc w:val="center"/>
            </w:pPr>
            <w:r>
              <w:rPr>
                <w:rFonts w:ascii="Times New Roman" w:cs="Times New Roman" w:eastAsia="Times New Roman" w:hAnsi="Times New Roman"/>
              </w:rPr>
              <w:t xml:space="preserve">IJROCHI:</w:t>
            </w:r>
          </w:p>
        </w:tc>
        <w:tc>
          <w:tcPr>
            <w:tcW w:type="dxa" w:w="4960"/>
            <w:tcBorders>
              <w:top w:val="none" w:color="FFFFFF" w:sz="0"/>
              <w:left w:val="none" w:color="FFFFFF" w:sz="0"/>
              <w:bottom w:val="none" w:color="FFFFFF" w:sz="0"/>
              <w:right w:val="none" w:color="FFFFFF" w:sz="0"/>
            </w:tcBorders>
          </w:tcPr>
          <w:p>
            <w:pPr>
              <w:keepNext/>
              <w:keepLines/>
              <w:spacing w:after="160"/>
              <w:jc w:val="center"/>
            </w:pPr>
            <w:r>
              <w:rPr>
                <w:rFonts w:ascii="Times New Roman" w:cs="Times New Roman" w:eastAsia="Times New Roman" w:hAnsi="Times New Roman"/>
              </w:rPr>
              <w:t xml:space="preserve">BUYURTMACHI:</w:t>
            </w:r>
          </w:p>
        </w:tc>
      </w:tr>
      <w:tr>
        <w:trPr>
          <w:cantSplit/>
        </w:trPr>
        <w:tc>
          <w:tcPr>
            <w:tcW w:type="dxa" w:w="4960"/>
            <w:tcBorders>
              <w:top w:val="none" w:color="FFFFFF" w:sz="0"/>
              <w:left w:val="none" w:color="FFFFFF" w:sz="0"/>
              <w:bottom w:val="none" w:color="FFFFFF" w:sz="0"/>
              <w:right w:val="none" w:color="FFFFFF" w:sz="0"/>
            </w:tcBorders>
          </w:tcPr>
          <w:p>
            <w:pPr>
              <w:keepNext/>
              <w:keepLines/>
              <w:spacing w:after="0" w:before="0" w:line="240"/>
              <w:jc w:val="center"/>
            </w:pPr>
            <w:r>
              <w:rPr>
                <w:rFonts w:ascii="Times New Roman" w:cs="Times New Roman" w:eastAsia="Times New Roman" w:hAnsi="Times New Roman"/>
                <w:b/>
                <w:bCs/>
              </w:rPr>
              <w:t xml:space="preserve">Mingbayeva Aziza</w:t>
            </w:r>
          </w:p>
          <w:p>
            <w:pPr>
              <w:keepNext/>
              <w:keepLines/>
              <w:spacing w:after="0" w:before="0" w:line="240"/>
              <w:jc w:val="center"/>
            </w:pPr>
            <w:r>
              <w:rPr>
                <w:rFonts w:ascii="Times New Roman" w:cs="Times New Roman" w:eastAsia="Times New Roman" w:hAnsi="Times New Roman"/>
                <w:b/>
                <w:bCs/>
              </w:rPr>
              <w:t xml:space="preserve">Sobirovna</w:t>
            </w:r>
          </w:p>
        </w:tc>
        <w:tc>
          <w:tcPr>
            <w:tcW w:type="dxa" w:w="4960"/>
            <w:tcBorders>
              <w:top w:val="none" w:color="FFFFFF" w:sz="0"/>
              <w:left w:val="none" w:color="FFFFFF" w:sz="0"/>
              <w:bottom w:val="none" w:color="FFFFFF" w:sz="0"/>
              <w:right w:val="none" w:color="FFFFFF" w:sz="0"/>
            </w:tcBorders>
          </w:tcPr>
          <w:p>
            <w:pPr>
              <w:keepNext/>
              <w:keepLines/>
              <w:spacing w:after="0" w:before="0" w:line="240"/>
              <w:jc w:val="center"/>
            </w:pPr>
            <w:r>
              <w:rPr>
                <w:rFonts w:ascii="Times New Roman" w:cs="Times New Roman" w:eastAsia="Times New Roman" w:hAnsi="Times New Roman"/>
                <w:b/>
                <w:bCs/>
              </w:rPr>
              <w:t xml:space="preserve">Jizzax viloyati IIB boshlig‘i</w:t>
            </w:r>
          </w:p>
          <w:p>
            <w:pPr>
              <w:keepNext/>
              <w:keepLines/>
              <w:spacing w:after="0" w:before="0" w:line="240"/>
              <w:jc w:val="center"/>
            </w:pPr>
            <w:r>
              <w:rPr>
                <w:rFonts w:ascii="Times New Roman" w:cs="Times New Roman" w:eastAsia="Times New Roman" w:hAnsi="Times New Roman"/>
                <w:b/>
                <w:bCs/>
              </w:rPr>
              <w:t xml:space="preserve">G‘.T.Qodirov</w:t>
            </w:r>
          </w:p>
        </w:tc>
      </w:tr>
      <w:tr>
        <w:trPr>
          <w:cantSplit/>
        </w:trPr>
        <w:tc>
          <w:tcPr>
            <w:tcW w:type="dxa" w:w="4960"/>
            <w:tcBorders>
              <w:top w:val="none" w:color="FFFFFF" w:sz="0"/>
              <w:left w:val="none" w:color="FFFFFF" w:sz="0"/>
              <w:bottom w:val="none" w:color="FFFFFF" w:sz="0"/>
              <w:right w:val="none" w:color="FFFFFF" w:sz="0"/>
            </w:tcBorders>
          </w:tcPr>
          <w:p>
            <w:pPr>
              <w:keepNext/>
              <w:keepLines/>
              <w:spacing w:before="120"/>
              <w:ind w:left="400"/>
            </w:pPr>
            <w:r>
              <w:rPr>
                <w:rFonts w:ascii="Times New Roman" w:cs="Times New Roman" w:eastAsia="Times New Roman" w:hAnsi="Times New Roman"/>
                <w:i/>
                <w:iCs/>
              </w:rPr>
              <w:t xml:space="preserve">INN:</w:t>
            </w:r>
          </w:p>
        </w:tc>
        <w:tc>
          <w:tcPr>
            <w:tcW w:type="dxa" w:w="4960"/>
            <w:tcBorders>
              <w:top w:val="none" w:color="FFFFFF" w:sz="0"/>
              <w:left w:val="none" w:color="FFFFFF" w:sz="0"/>
              <w:bottom w:val="none" w:color="FFFFFF" w:sz="0"/>
              <w:right w:val="none" w:color="FFFFFF" w:sz="0"/>
            </w:tcBorders>
          </w:tcPr>
          <w:p>
            <w:pPr>
              <w:keepNext/>
              <w:keepLines/>
              <w:spacing w:before="120"/>
            </w:pPr>
            <w:r>
              <w:rPr>
                <w:rFonts w:ascii="Times New Roman" w:cs="Times New Roman" w:eastAsia="Times New Roman" w:hAnsi="Times New Roman"/>
              </w:rPr>
              <w:t xml:space="preserve"/>
            </w:r>
          </w:p>
        </w:tc>
      </w:tr>
      <w:tr>
        <w:trPr>
          <w:cantSplit/>
        </w:trPr>
        <w:tc>
          <w:tcPr>
            <w:tcW w:type="dxa" w:w="4960"/>
            <w:tcBorders>
              <w:top w:val="none" w:color="FFFFFF" w:sz="0"/>
              <w:left w:val="none" w:color="FFFFFF" w:sz="0"/>
              <w:bottom w:val="none" w:color="FFFFFF" w:sz="0"/>
              <w:right w:val="none" w:color="FFFFFF" w:sz="0"/>
            </w:tcBorders>
          </w:tcPr>
          <w:p>
            <w:pPr>
              <w:spacing w:before="300"/>
              <w:jc w:val="center"/>
            </w:pPr>
            <w:r>
              <w:rPr>
                <w:rFonts w:ascii="Times New Roman" w:cs="Times New Roman" w:eastAsia="Times New Roman" w:hAnsi="Times New Roman"/>
              </w:rPr>
              <w:t xml:space="preserve">______________________________</w:t>
            </w:r>
          </w:p>
        </w:tc>
        <w:tc>
          <w:tcPr>
            <w:tcW w:type="dxa" w:w="4960"/>
            <w:tcBorders>
              <w:top w:val="none" w:color="FFFFFF" w:sz="0"/>
              <w:left w:val="none" w:color="FFFFFF" w:sz="0"/>
              <w:bottom w:val="none" w:color="FFFFFF" w:sz="0"/>
              <w:right w:val="none" w:color="FFFFFF" w:sz="0"/>
            </w:tcBorders>
          </w:tcPr>
          <w:p>
            <w:pPr>
              <w:spacing w:before="300"/>
              <w:jc w:val="center"/>
            </w:pPr>
            <w:r>
              <w:rPr>
                <w:rFonts w:ascii="Times New Roman" w:cs="Times New Roman" w:eastAsia="Times New Roman" w:hAnsi="Times New Roman"/>
              </w:rPr>
              <w:t xml:space="preserve">______________________________</w:t>
            </w:r>
          </w:p>
        </w:tc>
      </w:tr>
      <w:tr>
        <w:trPr>
          <w:cantSplit/>
        </w:trPr>
        <w:tc>
          <w:tcPr>
            <w:tcW w:type="dxa" w:w="4960"/>
            <w:tcBorders>
              <w:top w:val="none" w:color="FFFFFF" w:sz="0"/>
              <w:left w:val="none" w:color="FFFFFF" w:sz="0"/>
              <w:bottom w:val="none" w:color="FFFFFF" w:sz="0"/>
              <w:right w:val="none" w:color="FFFFFF" w:sz="0"/>
            </w:tcBorders>
          </w:tcPr>
          <w:p>
            <w:pPr>
              <w:spacing w:after="0" w:before="0" w:line="240"/>
              <w:jc w:val="center"/>
            </w:pPr>
            <w:r>
              <w:rPr>
                <w:rFonts w:ascii="Times New Roman" w:cs="Times New Roman" w:eastAsia="Times New Roman" w:hAnsi="Times New Roman"/>
                <w:b/>
                <w:bCs/>
                <w:i/>
                <w:iCs/>
                <w:sz w:val="24"/>
                <w:szCs w:val="24"/>
              </w:rPr>
              <w:t xml:space="preserve">(imzo)</w:t>
            </w:r>
          </w:p>
        </w:tc>
        <w:tc>
          <w:tcPr>
            <w:tcW w:type="dxa" w:w="4960"/>
            <w:tcBorders>
              <w:top w:val="none" w:color="FFFFFF" w:sz="0"/>
              <w:left w:val="none" w:color="FFFFFF" w:sz="0"/>
              <w:bottom w:val="none" w:color="FFFFFF" w:sz="0"/>
              <w:right w:val="none" w:color="FFFFFF" w:sz="0"/>
            </w:tcBorders>
          </w:tcPr>
          <w:p>
            <w:pPr>
              <w:spacing w:after="0" w:before="0" w:line="240"/>
              <w:jc w:val="center"/>
            </w:pPr>
            <w:r>
              <w:rPr>
                <w:rFonts w:ascii="Times New Roman" w:cs="Times New Roman" w:eastAsia="Times New Roman" w:hAnsi="Times New Roman"/>
                <w:b/>
                <w:bCs/>
                <w:i/>
                <w:iCs/>
                <w:sz w:val="24"/>
                <w:szCs w:val="24"/>
              </w:rPr>
              <w:t xml:space="preserve">(imzo)</w:t>
            </w:r>
          </w:p>
        </w:tc>
      </w:tr>
    </w:tbl>
    <w:p>
      <w:pPr>
        <w:spacing w:after="0" w:before="0" w:line="20" w:lineRule="exact"/>
      </w:pPr>
      <w:r>
        <w:rPr>
          <w:rFonts w:ascii="Times New Roman" w:cs="Times New Roman" w:eastAsia="Times New Roman" w:hAnsi="Times New Roman"/>
          <w:sz w:val="2"/>
          <w:szCs w:val="2"/>
        </w:rPr>
        <w:t xml:space="preserve"/>
      </w:r>
    </w:p>
    <w:sectPr>
      <w:pgSz w:w="11906" w:h="16838" w:orient="portrait"/>
      <w:pgMar w:top="567" w:right="567" w:bottom="56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Bajarilgan ijodiy ishlar haqida dalolatnoma</dc:title>
  <dc:creator>Mingbayeva Aziza Sobirovna</dc:creator>
  <cp:lastModifiedBy>Un-named</cp:lastModifiedBy>
  <cp:revision>1</cp:revision>
  <dcterms:created xsi:type="dcterms:W3CDTF">2026-09-24T12:53:54.039Z</dcterms:created>
  <dcterms:modified xsi:type="dcterms:W3CDTF">2026-09-24T12:53:54.040Z</dcterms:modified>
</cp:coreProperties>
</file>

<file path=docProps/custom.xml><?xml version="1.0" encoding="utf-8"?>
<Properties xmlns="http://schemas.openxmlformats.org/officeDocument/2006/custom-properties" xmlns:vt="http://schemas.openxmlformats.org/officeDocument/2006/docPropsVTypes"/>
</file>