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D7F" w:rsidRPr="00A92D7F" w:rsidRDefault="00A92D7F" w:rsidP="00A92D7F">
      <w:pPr>
        <w:pStyle w:val="1"/>
        <w:rPr>
          <w:rFonts w:ascii="Times New Roman" w:hAnsi="Times New Roman"/>
          <w:szCs w:val="69"/>
        </w:rPr>
      </w:pPr>
      <w:r w:rsidRPr="00A92D7F">
        <w:t>非小细胞肺癌的五基因特征和临床结果</w:t>
      </w:r>
    </w:p>
    <w:p w:rsidR="004358AB" w:rsidRDefault="00A92D7F" w:rsidP="00A92D7F">
      <w:pPr>
        <w:pStyle w:val="2"/>
        <w:rPr>
          <w:rFonts w:hint="eastAsia"/>
        </w:rPr>
      </w:pPr>
      <w:r>
        <w:t>摘要</w:t>
      </w:r>
    </w:p>
    <w:p w:rsidR="00A92D7F" w:rsidRPr="00A92D7F" w:rsidRDefault="00A92D7F" w:rsidP="00A92D7F">
      <w:pPr>
        <w:pStyle w:val="2"/>
        <w:shd w:val="clear" w:color="auto" w:fill="FFFFFF"/>
        <w:spacing w:before="300" w:after="0" w:line="420" w:lineRule="atLeast"/>
        <w:textAlignment w:val="baseline"/>
        <w:rPr>
          <w:rFonts w:ascii="Helvetica" w:hAnsi="Helvetica" w:cs="Helvetica"/>
          <w:caps/>
          <w:color w:val="1A1A1A"/>
          <w:spacing w:val="29"/>
          <w:sz w:val="20"/>
          <w:szCs w:val="20"/>
        </w:rPr>
      </w:pPr>
      <w:r w:rsidRPr="00A92D7F">
        <w:rPr>
          <w:rFonts w:ascii="Helvetica" w:hAnsi="Helvetica" w:cs="Helvetica"/>
          <w:caps/>
          <w:color w:val="1A1A1A"/>
          <w:spacing w:val="29"/>
          <w:sz w:val="20"/>
          <w:szCs w:val="20"/>
        </w:rPr>
        <w:t>背景</w:t>
      </w:r>
    </w:p>
    <w:p w:rsidR="00A92D7F" w:rsidRDefault="00A92D7F" w:rsidP="00A92D7F">
      <w:pPr>
        <w:pStyle w:val="f-body"/>
        <w:shd w:val="clear" w:color="auto" w:fill="FFFFFF"/>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目前的分期方法不足以预测非小细胞肺癌（</w:t>
      </w:r>
      <w:r>
        <w:rPr>
          <w:rFonts w:ascii="Times New Roman" w:hAnsi="Times New Roman" w:cs="Times New Roman"/>
          <w:color w:val="4D4D4D"/>
          <w:sz w:val="29"/>
          <w:szCs w:val="29"/>
        </w:rPr>
        <w:t>NSCLC</w:t>
      </w:r>
      <w:r>
        <w:rPr>
          <w:rFonts w:ascii="Times New Roman" w:hAnsi="Times New Roman" w:cs="Times New Roman"/>
          <w:color w:val="4D4D4D"/>
          <w:sz w:val="29"/>
          <w:szCs w:val="29"/>
        </w:rPr>
        <w:t>）的治疗结果。我们开发了一种与</w:t>
      </w:r>
      <w:r>
        <w:rPr>
          <w:rFonts w:ascii="Times New Roman" w:hAnsi="Times New Roman" w:cs="Times New Roman"/>
          <w:color w:val="4D4D4D"/>
          <w:sz w:val="29"/>
          <w:szCs w:val="29"/>
        </w:rPr>
        <w:t>NSCLC</w:t>
      </w:r>
      <w:r>
        <w:rPr>
          <w:rFonts w:ascii="Times New Roman" w:hAnsi="Times New Roman" w:cs="Times New Roman"/>
          <w:color w:val="4D4D4D"/>
          <w:sz w:val="29"/>
          <w:szCs w:val="29"/>
        </w:rPr>
        <w:t>患者生存密切相关的五基因特征。</w:t>
      </w:r>
    </w:p>
    <w:p w:rsidR="00A92D7F" w:rsidRDefault="00A92D7F" w:rsidP="00A92D7F">
      <w:pPr>
        <w:pStyle w:val="2"/>
        <w:shd w:val="clear" w:color="auto" w:fill="FFFFFF"/>
        <w:spacing w:before="300" w:after="0" w:line="420" w:lineRule="atLeast"/>
        <w:textAlignment w:val="baseline"/>
        <w:rPr>
          <w:rFonts w:ascii="Helvetica" w:hAnsi="Helvetica" w:cs="Helvetica"/>
          <w:caps/>
          <w:color w:val="1A1A1A"/>
          <w:spacing w:val="29"/>
          <w:sz w:val="20"/>
          <w:szCs w:val="20"/>
        </w:rPr>
      </w:pPr>
      <w:r>
        <w:rPr>
          <w:rFonts w:ascii="Helvetica" w:hAnsi="Helvetica" w:cs="Helvetica"/>
          <w:caps/>
          <w:color w:val="1A1A1A"/>
          <w:spacing w:val="29"/>
          <w:sz w:val="20"/>
          <w:szCs w:val="20"/>
        </w:rPr>
        <w:t>方法</w:t>
      </w:r>
    </w:p>
    <w:p w:rsidR="00A92D7F" w:rsidRDefault="00A92D7F" w:rsidP="00A92D7F">
      <w:pPr>
        <w:pStyle w:val="f-body"/>
        <w:shd w:val="clear" w:color="auto" w:fill="FFFFFF"/>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我们使用计算机生成的随机数分配</w:t>
      </w:r>
      <w:r>
        <w:rPr>
          <w:rFonts w:ascii="Times New Roman" w:hAnsi="Times New Roman" w:cs="Times New Roman"/>
          <w:color w:val="4D4D4D"/>
          <w:sz w:val="29"/>
          <w:szCs w:val="29"/>
        </w:rPr>
        <w:t>185</w:t>
      </w:r>
      <w:r>
        <w:rPr>
          <w:rFonts w:ascii="Times New Roman" w:hAnsi="Times New Roman" w:cs="Times New Roman"/>
          <w:color w:val="4D4D4D"/>
          <w:sz w:val="29"/>
          <w:szCs w:val="29"/>
        </w:rPr>
        <w:t>个冷冻标本用于微阵列分析，实时逆转录酶聚合酶链反应（</w:t>
      </w:r>
      <w:r>
        <w:rPr>
          <w:rFonts w:ascii="Times New Roman" w:hAnsi="Times New Roman" w:cs="Times New Roman"/>
          <w:color w:val="4D4D4D"/>
          <w:sz w:val="29"/>
          <w:szCs w:val="29"/>
        </w:rPr>
        <w:t>RT-PCR</w:t>
      </w:r>
      <w:r>
        <w:rPr>
          <w:rFonts w:ascii="Times New Roman" w:hAnsi="Times New Roman" w:cs="Times New Roman"/>
          <w:color w:val="4D4D4D"/>
          <w:sz w:val="29"/>
          <w:szCs w:val="29"/>
        </w:rPr>
        <w:t>）分析或两者。我们研究了</w:t>
      </w:r>
      <w:r>
        <w:rPr>
          <w:rFonts w:ascii="Times New Roman" w:hAnsi="Times New Roman" w:cs="Times New Roman"/>
          <w:color w:val="4D4D4D"/>
          <w:sz w:val="29"/>
          <w:szCs w:val="29"/>
        </w:rPr>
        <w:t>125</w:t>
      </w:r>
      <w:r>
        <w:rPr>
          <w:rFonts w:ascii="Times New Roman" w:hAnsi="Times New Roman" w:cs="Times New Roman"/>
          <w:color w:val="4D4D4D"/>
          <w:sz w:val="29"/>
          <w:szCs w:val="29"/>
        </w:rPr>
        <w:t>例随机选择的经历过</w:t>
      </w:r>
      <w:r>
        <w:rPr>
          <w:rFonts w:ascii="Times New Roman" w:hAnsi="Times New Roman" w:cs="Times New Roman"/>
          <w:color w:val="4D4D4D"/>
          <w:sz w:val="29"/>
          <w:szCs w:val="29"/>
        </w:rPr>
        <w:t>NSCLC</w:t>
      </w:r>
      <w:r>
        <w:rPr>
          <w:rFonts w:ascii="Times New Roman" w:hAnsi="Times New Roman" w:cs="Times New Roman"/>
          <w:color w:val="4D4D4D"/>
          <w:sz w:val="29"/>
          <w:szCs w:val="29"/>
        </w:rPr>
        <w:t>手术切除的患者的肺癌组织冷冻标本中的基因表达，并评估了表达水平与存活率之间的关系。我们使用风险评分和决策树分析来开发基因表达模型，用于预测</w:t>
      </w:r>
      <w:r>
        <w:rPr>
          <w:rFonts w:ascii="Times New Roman" w:hAnsi="Times New Roman" w:cs="Times New Roman"/>
          <w:color w:val="4D4D4D"/>
          <w:sz w:val="29"/>
          <w:szCs w:val="29"/>
        </w:rPr>
        <w:t>NSCLC</w:t>
      </w:r>
      <w:r>
        <w:rPr>
          <w:rFonts w:ascii="Times New Roman" w:hAnsi="Times New Roman" w:cs="Times New Roman"/>
          <w:color w:val="4D4D4D"/>
          <w:sz w:val="29"/>
          <w:szCs w:val="29"/>
        </w:rPr>
        <w:t>的治疗结果。我们使用来自其他</w:t>
      </w:r>
      <w:r>
        <w:rPr>
          <w:rFonts w:ascii="Times New Roman" w:hAnsi="Times New Roman" w:cs="Times New Roman"/>
          <w:color w:val="4D4D4D"/>
          <w:sz w:val="29"/>
          <w:szCs w:val="29"/>
        </w:rPr>
        <w:t>60</w:t>
      </w:r>
      <w:r>
        <w:rPr>
          <w:rFonts w:ascii="Times New Roman" w:hAnsi="Times New Roman" w:cs="Times New Roman"/>
          <w:color w:val="4D4D4D"/>
          <w:sz w:val="29"/>
          <w:szCs w:val="29"/>
        </w:rPr>
        <w:t>名患者的随机分配的标本用于验证。</w:t>
      </w:r>
    </w:p>
    <w:p w:rsidR="00A92D7F" w:rsidRDefault="00A92D7F" w:rsidP="00A92D7F">
      <w:pPr>
        <w:pStyle w:val="2"/>
        <w:shd w:val="clear" w:color="auto" w:fill="FFFFFF"/>
        <w:spacing w:before="300" w:after="0" w:line="420" w:lineRule="atLeast"/>
        <w:textAlignment w:val="baseline"/>
        <w:rPr>
          <w:rFonts w:ascii="Helvetica" w:hAnsi="Helvetica" w:cs="Helvetica"/>
          <w:caps/>
          <w:color w:val="1A1A1A"/>
          <w:spacing w:val="29"/>
          <w:sz w:val="20"/>
          <w:szCs w:val="20"/>
        </w:rPr>
      </w:pPr>
      <w:r>
        <w:rPr>
          <w:rFonts w:ascii="Helvetica" w:hAnsi="Helvetica" w:cs="Helvetica"/>
          <w:caps/>
          <w:color w:val="1A1A1A"/>
          <w:spacing w:val="29"/>
          <w:sz w:val="20"/>
          <w:szCs w:val="20"/>
        </w:rPr>
        <w:t>结果</w:t>
      </w:r>
    </w:p>
    <w:p w:rsidR="00A92D7F" w:rsidRDefault="00A92D7F" w:rsidP="00A92D7F">
      <w:pPr>
        <w:pStyle w:val="f-body"/>
        <w:shd w:val="clear" w:color="auto" w:fill="FFFFFF"/>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通过分析微阵列数据和风险评分，确定了与</w:t>
      </w:r>
      <w:r>
        <w:rPr>
          <w:rFonts w:ascii="Times New Roman" w:hAnsi="Times New Roman" w:cs="Times New Roman"/>
          <w:color w:val="4D4D4D"/>
          <w:sz w:val="29"/>
          <w:szCs w:val="29"/>
        </w:rPr>
        <w:t>NSCLC</w:t>
      </w:r>
      <w:r>
        <w:rPr>
          <w:rFonts w:ascii="Times New Roman" w:hAnsi="Times New Roman" w:cs="Times New Roman"/>
          <w:color w:val="4D4D4D"/>
          <w:sz w:val="29"/>
          <w:szCs w:val="29"/>
        </w:rPr>
        <w:t>患者存活率相关的</w:t>
      </w:r>
      <w:r>
        <w:rPr>
          <w:rFonts w:ascii="Times New Roman" w:hAnsi="Times New Roman" w:cs="Times New Roman"/>
          <w:color w:val="4D4D4D"/>
          <w:sz w:val="29"/>
          <w:szCs w:val="29"/>
        </w:rPr>
        <w:t>16</w:t>
      </w:r>
      <w:r>
        <w:rPr>
          <w:rFonts w:ascii="Times New Roman" w:hAnsi="Times New Roman" w:cs="Times New Roman"/>
          <w:color w:val="4D4D4D"/>
          <w:sz w:val="29"/>
          <w:szCs w:val="29"/>
        </w:rPr>
        <w:t>个基因。我们选择了</w:t>
      </w:r>
      <w:r>
        <w:rPr>
          <w:rFonts w:ascii="Times New Roman" w:hAnsi="Times New Roman" w:cs="Times New Roman"/>
          <w:color w:val="4D4D4D"/>
          <w:sz w:val="29"/>
          <w:szCs w:val="29"/>
        </w:rPr>
        <w:t>5</w:t>
      </w:r>
      <w:r>
        <w:rPr>
          <w:rFonts w:ascii="Times New Roman" w:hAnsi="Times New Roman" w:cs="Times New Roman"/>
          <w:color w:val="4D4D4D"/>
          <w:sz w:val="29"/>
          <w:szCs w:val="29"/>
        </w:rPr>
        <w:t>个基因（</w:t>
      </w:r>
      <w:r>
        <w:rPr>
          <w:rFonts w:ascii="inherit" w:hAnsi="inherit" w:cs="Times New Roman"/>
          <w:i/>
          <w:iCs/>
          <w:color w:val="4D4D4D"/>
          <w:sz w:val="29"/>
          <w:szCs w:val="29"/>
          <w:bdr w:val="none" w:sz="0" w:space="0" w:color="auto" w:frame="1"/>
        </w:rPr>
        <w:t>DUSP6</w:t>
      </w:r>
      <w:r>
        <w:rPr>
          <w:rFonts w:ascii="inherit" w:hAnsi="inherit" w:cs="Times New Roman"/>
          <w:i/>
          <w:iCs/>
          <w:color w:val="4D4D4D"/>
          <w:sz w:val="29"/>
          <w:szCs w:val="29"/>
          <w:bdr w:val="none" w:sz="0" w:space="0" w:color="auto" w:frame="1"/>
        </w:rPr>
        <w:t>，</w:t>
      </w:r>
      <w:r>
        <w:rPr>
          <w:rFonts w:ascii="inherit" w:hAnsi="inherit" w:cs="Times New Roman"/>
          <w:i/>
          <w:iCs/>
          <w:color w:val="4D4D4D"/>
          <w:sz w:val="29"/>
          <w:szCs w:val="29"/>
          <w:bdr w:val="none" w:sz="0" w:space="0" w:color="auto" w:frame="1"/>
        </w:rPr>
        <w:t>MMD</w:t>
      </w:r>
      <w:r>
        <w:rPr>
          <w:rFonts w:ascii="inherit" w:hAnsi="inherit" w:cs="Times New Roman"/>
          <w:i/>
          <w:iCs/>
          <w:color w:val="4D4D4D"/>
          <w:sz w:val="29"/>
          <w:szCs w:val="29"/>
          <w:bdr w:val="none" w:sz="0" w:space="0" w:color="auto" w:frame="1"/>
        </w:rPr>
        <w:t>，</w:t>
      </w:r>
      <w:r>
        <w:rPr>
          <w:rFonts w:ascii="inherit" w:hAnsi="inherit" w:cs="Times New Roman"/>
          <w:i/>
          <w:iCs/>
          <w:color w:val="4D4D4D"/>
          <w:sz w:val="29"/>
          <w:szCs w:val="29"/>
          <w:bdr w:val="none" w:sz="0" w:space="0" w:color="auto" w:frame="1"/>
        </w:rPr>
        <w:t>STAT1</w:t>
      </w:r>
      <w:r>
        <w:rPr>
          <w:rFonts w:ascii="inherit" w:hAnsi="inherit" w:cs="Times New Roman"/>
          <w:i/>
          <w:iCs/>
          <w:color w:val="4D4D4D"/>
          <w:sz w:val="29"/>
          <w:szCs w:val="29"/>
          <w:bdr w:val="none" w:sz="0" w:space="0" w:color="auto" w:frame="1"/>
        </w:rPr>
        <w:t>，</w:t>
      </w:r>
      <w:r>
        <w:rPr>
          <w:rFonts w:ascii="inherit" w:hAnsi="inherit" w:cs="Times New Roman"/>
          <w:i/>
          <w:iCs/>
          <w:color w:val="4D4D4D"/>
          <w:sz w:val="29"/>
          <w:szCs w:val="29"/>
          <w:bdr w:val="none" w:sz="0" w:space="0" w:color="auto" w:frame="1"/>
        </w:rPr>
        <w:t>ERBB3</w:t>
      </w:r>
      <w:r>
        <w:rPr>
          <w:rFonts w:ascii="Times New Roman" w:hAnsi="Times New Roman" w:cs="Times New Roman"/>
          <w:color w:val="4D4D4D"/>
          <w:sz w:val="29"/>
          <w:szCs w:val="29"/>
        </w:rPr>
        <w:t>和</w:t>
      </w:r>
      <w:r>
        <w:rPr>
          <w:rFonts w:ascii="inherit" w:hAnsi="inherit" w:cs="Times New Roman"/>
          <w:i/>
          <w:iCs/>
          <w:color w:val="4D4D4D"/>
          <w:sz w:val="29"/>
          <w:szCs w:val="29"/>
          <w:bdr w:val="none" w:sz="0" w:space="0" w:color="auto" w:frame="1"/>
        </w:rPr>
        <w:t>LCK</w:t>
      </w:r>
      <w:r>
        <w:rPr>
          <w:rFonts w:ascii="Times New Roman" w:hAnsi="Times New Roman" w:cs="Times New Roman"/>
          <w:color w:val="4D4D4D"/>
          <w:sz w:val="29"/>
          <w:szCs w:val="29"/>
        </w:rPr>
        <w:t>）进行</w:t>
      </w:r>
      <w:r>
        <w:rPr>
          <w:rFonts w:ascii="Times New Roman" w:hAnsi="Times New Roman" w:cs="Times New Roman"/>
          <w:color w:val="4D4D4D"/>
          <w:sz w:val="29"/>
          <w:szCs w:val="29"/>
        </w:rPr>
        <w:t>RT-PCR</w:t>
      </w:r>
      <w:r>
        <w:rPr>
          <w:rFonts w:ascii="Times New Roman" w:hAnsi="Times New Roman" w:cs="Times New Roman"/>
          <w:color w:val="4D4D4D"/>
          <w:sz w:val="29"/>
          <w:szCs w:val="29"/>
        </w:rPr>
        <w:t>和决策树分析。五基因特征是无复发和总体存活的独立预测因子。我们使用来自</w:t>
      </w:r>
      <w:r>
        <w:rPr>
          <w:rFonts w:ascii="Times New Roman" w:hAnsi="Times New Roman" w:cs="Times New Roman"/>
          <w:color w:val="4D4D4D"/>
          <w:sz w:val="29"/>
          <w:szCs w:val="29"/>
        </w:rPr>
        <w:t>60</w:t>
      </w:r>
      <w:r>
        <w:rPr>
          <w:rFonts w:ascii="Times New Roman" w:hAnsi="Times New Roman" w:cs="Times New Roman"/>
          <w:color w:val="4D4D4D"/>
          <w:sz w:val="29"/>
          <w:szCs w:val="29"/>
        </w:rPr>
        <w:t>名</w:t>
      </w:r>
      <w:r>
        <w:rPr>
          <w:rFonts w:ascii="Times New Roman" w:hAnsi="Times New Roman" w:cs="Times New Roman"/>
          <w:color w:val="4D4D4D"/>
          <w:sz w:val="29"/>
          <w:szCs w:val="29"/>
        </w:rPr>
        <w:t>NSCLC</w:t>
      </w:r>
      <w:r>
        <w:rPr>
          <w:rFonts w:ascii="Times New Roman" w:hAnsi="Times New Roman" w:cs="Times New Roman"/>
          <w:color w:val="4D4D4D"/>
          <w:sz w:val="29"/>
          <w:szCs w:val="29"/>
        </w:rPr>
        <w:t>患者的独立队列的数据以及来自</w:t>
      </w:r>
      <w:r>
        <w:rPr>
          <w:rFonts w:ascii="Times New Roman" w:hAnsi="Times New Roman" w:cs="Times New Roman"/>
          <w:color w:val="4D4D4D"/>
          <w:sz w:val="29"/>
          <w:szCs w:val="29"/>
        </w:rPr>
        <w:t>86</w:t>
      </w:r>
      <w:r>
        <w:rPr>
          <w:rFonts w:ascii="Times New Roman" w:hAnsi="Times New Roman" w:cs="Times New Roman"/>
          <w:color w:val="4D4D4D"/>
          <w:sz w:val="29"/>
          <w:szCs w:val="29"/>
        </w:rPr>
        <w:t>名</w:t>
      </w:r>
      <w:r>
        <w:rPr>
          <w:rFonts w:ascii="Times New Roman" w:hAnsi="Times New Roman" w:cs="Times New Roman"/>
          <w:color w:val="4D4D4D"/>
          <w:sz w:val="29"/>
          <w:szCs w:val="29"/>
        </w:rPr>
        <w:t>NSCLC</w:t>
      </w:r>
      <w:r>
        <w:rPr>
          <w:rFonts w:ascii="Times New Roman" w:hAnsi="Times New Roman" w:cs="Times New Roman"/>
          <w:color w:val="4D4D4D"/>
          <w:sz w:val="29"/>
          <w:szCs w:val="29"/>
        </w:rPr>
        <w:t>患者的一组公布的微阵列数据验证了该模型。</w:t>
      </w:r>
    </w:p>
    <w:p w:rsidR="00A92D7F" w:rsidRDefault="00A92D7F" w:rsidP="00A92D7F">
      <w:pPr>
        <w:pStyle w:val="2"/>
        <w:shd w:val="clear" w:color="auto" w:fill="FFFFFF"/>
        <w:spacing w:before="300" w:after="0" w:line="420" w:lineRule="atLeast"/>
        <w:textAlignment w:val="baseline"/>
        <w:rPr>
          <w:rFonts w:ascii="Helvetica" w:hAnsi="Helvetica" w:cs="Helvetica"/>
          <w:caps/>
          <w:color w:val="1A1A1A"/>
          <w:spacing w:val="29"/>
          <w:sz w:val="20"/>
          <w:szCs w:val="20"/>
        </w:rPr>
      </w:pPr>
      <w:r>
        <w:rPr>
          <w:rFonts w:ascii="Helvetica" w:hAnsi="Helvetica" w:cs="Helvetica"/>
          <w:caps/>
          <w:color w:val="1A1A1A"/>
          <w:spacing w:val="29"/>
          <w:sz w:val="20"/>
          <w:szCs w:val="20"/>
        </w:rPr>
        <w:t>结论</w:t>
      </w:r>
    </w:p>
    <w:p w:rsidR="00A92D7F" w:rsidRDefault="00A92D7F" w:rsidP="00A92D7F">
      <w:pPr>
        <w:pStyle w:val="f-body"/>
        <w:shd w:val="clear" w:color="auto" w:fill="FFFFFF"/>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我们的五基因特征与</w:t>
      </w:r>
      <w:r>
        <w:rPr>
          <w:rFonts w:ascii="Times New Roman" w:hAnsi="Times New Roman" w:cs="Times New Roman"/>
          <w:color w:val="4D4D4D"/>
          <w:sz w:val="29"/>
          <w:szCs w:val="29"/>
        </w:rPr>
        <w:t>NSCLC</w:t>
      </w:r>
      <w:r>
        <w:rPr>
          <w:rFonts w:ascii="Times New Roman" w:hAnsi="Times New Roman" w:cs="Times New Roman"/>
          <w:color w:val="4D4D4D"/>
          <w:sz w:val="29"/>
          <w:szCs w:val="29"/>
        </w:rPr>
        <w:t>患者的无复发和总体生存密切相关。</w:t>
      </w:r>
    </w:p>
    <w:p w:rsidR="00A92D7F" w:rsidRDefault="00A92D7F" w:rsidP="00A92D7F">
      <w:pPr>
        <w:pStyle w:val="f-body"/>
        <w:shd w:val="clear" w:color="auto" w:fill="FFFFFF"/>
        <w:spacing w:before="0" w:beforeAutospacing="0" w:after="0" w:afterAutospacing="0" w:line="420" w:lineRule="atLeast"/>
        <w:textAlignment w:val="baseline"/>
        <w:rPr>
          <w:rFonts w:ascii="Times New Roman" w:hAnsi="Times New Roman" w:cs="Times New Roman" w:hint="eastAsia"/>
          <w:color w:val="4D4D4D"/>
          <w:sz w:val="29"/>
          <w:szCs w:val="29"/>
        </w:rPr>
      </w:pPr>
    </w:p>
    <w:p w:rsidR="00A92D7F" w:rsidRDefault="00A92D7F" w:rsidP="00A92D7F">
      <w:pPr>
        <w:pStyle w:val="f-body"/>
        <w:shd w:val="clear" w:color="auto" w:fill="FFFFFF"/>
        <w:spacing w:before="0" w:beforeAutospacing="0" w:after="0" w:afterAutospacing="0" w:line="420" w:lineRule="atLeast"/>
        <w:textAlignment w:val="baseline"/>
        <w:rPr>
          <w:rFonts w:ascii="Times New Roman" w:hAnsi="Times New Roman" w:cs="Times New Roman" w:hint="eastAsia"/>
          <w:color w:val="4D4D4D"/>
          <w:sz w:val="29"/>
          <w:szCs w:val="29"/>
        </w:rPr>
      </w:pPr>
    </w:p>
    <w:p w:rsidR="00A92D7F" w:rsidRDefault="00A92D7F" w:rsidP="00A92D7F">
      <w:pPr>
        <w:pStyle w:val="f-body"/>
        <w:shd w:val="clear" w:color="auto" w:fill="FFFFFF"/>
        <w:spacing w:before="0" w:beforeAutospacing="0" w:after="0" w:afterAutospacing="0" w:line="420" w:lineRule="atLeast"/>
        <w:textAlignment w:val="baseline"/>
        <w:rPr>
          <w:rFonts w:ascii="Times New Roman" w:hAnsi="Times New Roman" w:cs="Times New Roman" w:hint="eastAsia"/>
          <w:color w:val="4D4D4D"/>
          <w:sz w:val="29"/>
          <w:szCs w:val="29"/>
        </w:rPr>
      </w:pPr>
    </w:p>
    <w:p w:rsidR="00A92D7F" w:rsidRDefault="00A92D7F" w:rsidP="00A92D7F">
      <w:pPr>
        <w:pStyle w:val="f-body"/>
        <w:shd w:val="clear" w:color="auto" w:fill="FFFFFF"/>
        <w:spacing w:before="0" w:beforeAutospacing="0" w:after="0" w:afterAutospacing="0" w:line="420" w:lineRule="atLeast"/>
        <w:textAlignment w:val="baseline"/>
        <w:rPr>
          <w:rFonts w:ascii="Times New Roman" w:hAnsi="Times New Roman" w:cs="Times New Roman" w:hint="eastAsia"/>
          <w:color w:val="4D4D4D"/>
          <w:sz w:val="29"/>
          <w:szCs w:val="29"/>
        </w:rPr>
      </w:pPr>
    </w:p>
    <w:p w:rsidR="00A92D7F" w:rsidRDefault="00A92D7F" w:rsidP="00A92D7F">
      <w:pPr>
        <w:pStyle w:val="f-body"/>
        <w:shd w:val="clear" w:color="auto" w:fill="FFFFFF"/>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hint="eastAsia"/>
          <w:color w:val="4D4D4D"/>
          <w:sz w:val="29"/>
          <w:szCs w:val="29"/>
        </w:rPr>
        <w:lastRenderedPageBreak/>
        <w:t>肺癌</w:t>
      </w:r>
      <w:r>
        <w:rPr>
          <w:rFonts w:ascii="Times New Roman" w:hAnsi="Times New Roman" w:cs="Times New Roman"/>
          <w:color w:val="4D4D4D"/>
          <w:sz w:val="29"/>
          <w:szCs w:val="29"/>
        </w:rPr>
        <w:t xml:space="preserve"> - </w:t>
      </w:r>
      <w:r>
        <w:rPr>
          <w:rFonts w:ascii="Times New Roman" w:hAnsi="Times New Roman" w:cs="Times New Roman"/>
          <w:color w:val="4D4D4D"/>
          <w:sz w:val="29"/>
          <w:szCs w:val="29"/>
        </w:rPr>
        <w:t>主要是非小细胞肺癌（</w:t>
      </w:r>
      <w:r>
        <w:rPr>
          <w:rFonts w:ascii="Times New Roman" w:hAnsi="Times New Roman" w:cs="Times New Roman"/>
          <w:color w:val="4D4D4D"/>
          <w:sz w:val="29"/>
          <w:szCs w:val="29"/>
        </w:rPr>
        <w:t>NSCLC</w:t>
      </w:r>
      <w:r>
        <w:rPr>
          <w:rFonts w:ascii="Times New Roman" w:hAnsi="Times New Roman" w:cs="Times New Roman"/>
          <w:color w:val="4D4D4D"/>
          <w:sz w:val="29"/>
          <w:szCs w:val="29"/>
        </w:rPr>
        <w:t>）</w:t>
      </w:r>
      <w:r>
        <w:rPr>
          <w:rFonts w:ascii="Times New Roman" w:hAnsi="Times New Roman" w:cs="Times New Roman"/>
          <w:color w:val="4D4D4D"/>
          <w:sz w:val="29"/>
          <w:szCs w:val="29"/>
        </w:rPr>
        <w:t xml:space="preserve"> - </w:t>
      </w:r>
      <w:r>
        <w:rPr>
          <w:rFonts w:ascii="Times New Roman" w:hAnsi="Times New Roman" w:cs="Times New Roman"/>
          <w:color w:val="4D4D4D"/>
          <w:sz w:val="29"/>
          <w:szCs w:val="29"/>
        </w:rPr>
        <w:t>是全球癌症死亡的最常见原因。</w:t>
      </w:r>
      <w:hyperlink r:id="rId4" w:history="1">
        <w:r>
          <w:rPr>
            <w:rStyle w:val="a3"/>
            <w:rFonts w:ascii="inherit" w:hAnsi="inherit" w:cs="Times New Roman"/>
            <w:color w:val="0B4F82"/>
            <w:sz w:val="22"/>
            <w:szCs w:val="22"/>
            <w:bdr w:val="none" w:sz="0" w:space="0" w:color="auto" w:frame="1"/>
            <w:vertAlign w:val="superscript"/>
          </w:rPr>
          <w:t>1</w:t>
        </w:r>
      </w:hyperlink>
      <w:r>
        <w:rPr>
          <w:rFonts w:ascii="Times New Roman" w:hAnsi="Times New Roman" w:cs="Times New Roman"/>
          <w:color w:val="4D4D4D"/>
          <w:sz w:val="29"/>
          <w:szCs w:val="29"/>
        </w:rPr>
        <w:t>早期</w:t>
      </w:r>
      <w:r>
        <w:rPr>
          <w:rFonts w:ascii="Times New Roman" w:hAnsi="Times New Roman" w:cs="Times New Roman"/>
          <w:color w:val="4D4D4D"/>
          <w:sz w:val="29"/>
          <w:szCs w:val="29"/>
        </w:rPr>
        <w:t>NSCLC</w:t>
      </w:r>
      <w:r>
        <w:rPr>
          <w:rFonts w:ascii="Times New Roman" w:hAnsi="Times New Roman" w:cs="Times New Roman"/>
          <w:color w:val="4D4D4D"/>
          <w:sz w:val="29"/>
          <w:szCs w:val="29"/>
        </w:rPr>
        <w:t>患者的复发率在潜在治愈性治疗后</w:t>
      </w:r>
      <w:r>
        <w:rPr>
          <w:rFonts w:ascii="Times New Roman" w:hAnsi="Times New Roman" w:cs="Times New Roman"/>
          <w:color w:val="4D4D4D"/>
          <w:sz w:val="29"/>
          <w:szCs w:val="29"/>
        </w:rPr>
        <w:t>5</w:t>
      </w:r>
      <w:r>
        <w:rPr>
          <w:rFonts w:ascii="Times New Roman" w:hAnsi="Times New Roman" w:cs="Times New Roman"/>
          <w:color w:val="4D4D4D"/>
          <w:sz w:val="29"/>
          <w:szCs w:val="29"/>
        </w:rPr>
        <w:t>年内为</w:t>
      </w:r>
      <w:r>
        <w:rPr>
          <w:rFonts w:ascii="Times New Roman" w:hAnsi="Times New Roman" w:cs="Times New Roman"/>
          <w:color w:val="4D4D4D"/>
          <w:sz w:val="29"/>
          <w:szCs w:val="29"/>
        </w:rPr>
        <w:t>40</w:t>
      </w:r>
      <w:r>
        <w:rPr>
          <w:rFonts w:ascii="Times New Roman" w:hAnsi="Times New Roman" w:cs="Times New Roman"/>
          <w:color w:val="4D4D4D"/>
          <w:sz w:val="29"/>
          <w:szCs w:val="29"/>
        </w:rPr>
        <w:t>％。</w:t>
      </w:r>
      <w:hyperlink r:id="rId5" w:history="1">
        <w:r>
          <w:rPr>
            <w:rStyle w:val="a3"/>
            <w:rFonts w:ascii="inherit" w:hAnsi="inherit" w:cs="Times New Roman"/>
            <w:color w:val="0B4F82"/>
            <w:sz w:val="22"/>
            <w:szCs w:val="22"/>
            <w:bdr w:val="none" w:sz="0" w:space="0" w:color="auto" w:frame="1"/>
            <w:vertAlign w:val="superscript"/>
          </w:rPr>
          <w:t>2</w:t>
        </w:r>
      </w:hyperlink>
      <w:r>
        <w:rPr>
          <w:rFonts w:ascii="Times New Roman" w:hAnsi="Times New Roman" w:cs="Times New Roman"/>
          <w:color w:val="4D4D4D"/>
          <w:sz w:val="29"/>
          <w:szCs w:val="29"/>
        </w:rPr>
        <w:t>目前</w:t>
      </w:r>
      <w:r>
        <w:rPr>
          <w:rFonts w:ascii="Times New Roman" w:hAnsi="Times New Roman" w:cs="Times New Roman"/>
          <w:color w:val="4D4D4D"/>
          <w:sz w:val="29"/>
          <w:szCs w:val="29"/>
        </w:rPr>
        <w:t>NSCLC</w:t>
      </w:r>
      <w:r>
        <w:rPr>
          <w:rFonts w:ascii="Times New Roman" w:hAnsi="Times New Roman" w:cs="Times New Roman"/>
          <w:color w:val="4D4D4D"/>
          <w:sz w:val="29"/>
          <w:szCs w:val="29"/>
        </w:rPr>
        <w:t>的分期系统不足以预测治疗结果。</w:t>
      </w:r>
    </w:p>
    <w:p w:rsidR="00A92D7F" w:rsidRDefault="00A92D7F" w:rsidP="00A92D7F">
      <w:pPr>
        <w:pStyle w:val="f-body"/>
        <w:shd w:val="clear" w:color="auto" w:fill="FFFFFF"/>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通过微阵列</w:t>
      </w:r>
      <w:hyperlink r:id="rId6" w:history="1">
        <w:r>
          <w:rPr>
            <w:rStyle w:val="a3"/>
            <w:rFonts w:ascii="inherit" w:hAnsi="inherit" w:cs="Times New Roman"/>
            <w:color w:val="0B4F82"/>
            <w:sz w:val="22"/>
            <w:szCs w:val="22"/>
            <w:bdr w:val="none" w:sz="0" w:space="0" w:color="auto" w:frame="1"/>
            <w:vertAlign w:val="superscript"/>
          </w:rPr>
          <w:t>3,4</w:t>
        </w:r>
      </w:hyperlink>
      <w:r>
        <w:rPr>
          <w:rFonts w:ascii="Times New Roman" w:hAnsi="Times New Roman" w:cs="Times New Roman"/>
          <w:color w:val="4D4D4D"/>
          <w:sz w:val="29"/>
          <w:szCs w:val="29"/>
        </w:rPr>
        <w:t>和逆转录酶聚合酶链反应（</w:t>
      </w:r>
      <w:r>
        <w:rPr>
          <w:rFonts w:ascii="Times New Roman" w:hAnsi="Times New Roman" w:cs="Times New Roman"/>
          <w:color w:val="4D4D4D"/>
          <w:sz w:val="29"/>
          <w:szCs w:val="29"/>
        </w:rPr>
        <w:t>RT-PCR</w:t>
      </w:r>
      <w:r>
        <w:rPr>
          <w:rFonts w:ascii="Times New Roman" w:hAnsi="Times New Roman" w:cs="Times New Roman"/>
          <w:color w:val="4D4D4D"/>
          <w:sz w:val="29"/>
          <w:szCs w:val="29"/>
        </w:rPr>
        <w:t>）</w:t>
      </w:r>
      <w:hyperlink r:id="rId7" w:history="1">
        <w:r>
          <w:rPr>
            <w:rStyle w:val="a3"/>
            <w:rFonts w:ascii="inherit" w:hAnsi="inherit" w:cs="Times New Roman"/>
            <w:color w:val="0B4F82"/>
            <w:sz w:val="22"/>
            <w:szCs w:val="22"/>
            <w:bdr w:val="none" w:sz="0" w:space="0" w:color="auto" w:frame="1"/>
            <w:vertAlign w:val="superscript"/>
          </w:rPr>
          <w:t>5,6</w:t>
        </w:r>
      </w:hyperlink>
      <w:r>
        <w:rPr>
          <w:rFonts w:ascii="Times New Roman" w:hAnsi="Times New Roman" w:cs="Times New Roman"/>
          <w:color w:val="4D4D4D"/>
          <w:sz w:val="29"/>
          <w:szCs w:val="29"/>
        </w:rPr>
        <w:t>进行基因表达谱分析（见术语表），可用于对各种类型癌症患者的肿瘤进行分类和制定预后，</w:t>
      </w:r>
      <w:hyperlink r:id="rId8" w:history="1">
        <w:r>
          <w:rPr>
            <w:rStyle w:val="a3"/>
            <w:rFonts w:ascii="inherit" w:hAnsi="inherit" w:cs="Times New Roman"/>
            <w:color w:val="0B4F82"/>
            <w:sz w:val="22"/>
            <w:szCs w:val="22"/>
            <w:bdr w:val="none" w:sz="0" w:space="0" w:color="auto" w:frame="1"/>
            <w:vertAlign w:val="superscript"/>
          </w:rPr>
          <w:t>7-9</w:t>
        </w:r>
      </w:hyperlink>
      <w:r>
        <w:rPr>
          <w:rFonts w:ascii="Times New Roman" w:hAnsi="Times New Roman" w:cs="Times New Roman"/>
          <w:color w:val="4D4D4D"/>
          <w:sz w:val="29"/>
          <w:szCs w:val="29"/>
        </w:rPr>
        <w:t>包括肺癌。</w:t>
      </w:r>
      <w:hyperlink r:id="rId9" w:history="1">
        <w:r>
          <w:rPr>
            <w:rStyle w:val="a3"/>
            <w:rFonts w:ascii="inherit" w:hAnsi="inherit" w:cs="Times New Roman"/>
            <w:color w:val="0B4F82"/>
            <w:sz w:val="22"/>
            <w:szCs w:val="22"/>
            <w:bdr w:val="none" w:sz="0" w:space="0" w:color="auto" w:frame="1"/>
            <w:vertAlign w:val="superscript"/>
          </w:rPr>
          <w:t>10-16</w:t>
        </w:r>
      </w:hyperlink>
      <w:r>
        <w:rPr>
          <w:rFonts w:ascii="Times New Roman" w:hAnsi="Times New Roman" w:cs="Times New Roman"/>
          <w:color w:val="4D4D4D"/>
          <w:sz w:val="29"/>
          <w:szCs w:val="29"/>
        </w:rPr>
        <w:t>使用在临床实践中的微阵列是有限的，然而，通过大量的基因谱分析，使用的基因的</w:t>
      </w:r>
      <w:hyperlink r:id="rId10" w:history="1">
        <w:r>
          <w:rPr>
            <w:rStyle w:val="a3"/>
            <w:rFonts w:ascii="inherit" w:hAnsi="inherit" w:cs="Times New Roman"/>
            <w:color w:val="0B4F82"/>
            <w:sz w:val="22"/>
            <w:szCs w:val="22"/>
            <w:bdr w:val="none" w:sz="0" w:space="0" w:color="auto" w:frame="1"/>
            <w:vertAlign w:val="superscript"/>
          </w:rPr>
          <w:t>17</w:t>
        </w:r>
      </w:hyperlink>
      <w:r>
        <w:rPr>
          <w:rFonts w:ascii="Times New Roman" w:hAnsi="Times New Roman" w:cs="Times New Roman"/>
          <w:color w:val="4D4D4D"/>
          <w:sz w:val="29"/>
          <w:szCs w:val="29"/>
        </w:rPr>
        <w:t>需要复杂的方法，而且缺乏既再现性和独立验证。在肺癌研究中选择用于分析的基因有很大差异</w:t>
      </w:r>
      <w:r>
        <w:rPr>
          <w:rFonts w:ascii="Times New Roman" w:hAnsi="Times New Roman" w:cs="Times New Roman"/>
          <w:color w:val="4D4D4D"/>
          <w:sz w:val="29"/>
          <w:szCs w:val="29"/>
        </w:rPr>
        <w:t>; </w:t>
      </w:r>
      <w:r>
        <w:rPr>
          <w:rFonts w:ascii="Times New Roman" w:hAnsi="Times New Roman" w:cs="Times New Roman"/>
          <w:color w:val="4D4D4D"/>
          <w:sz w:val="29"/>
          <w:szCs w:val="29"/>
        </w:rPr>
        <w:t>只有少数基因一直被包括在内。</w:t>
      </w:r>
      <w:hyperlink r:id="rId11" w:history="1">
        <w:r>
          <w:rPr>
            <w:rStyle w:val="a3"/>
            <w:rFonts w:ascii="inherit" w:hAnsi="inherit" w:cs="Times New Roman"/>
            <w:color w:val="0B4F82"/>
            <w:sz w:val="22"/>
            <w:szCs w:val="22"/>
            <w:bdr w:val="none" w:sz="0" w:space="0" w:color="auto" w:frame="1"/>
            <w:vertAlign w:val="superscript"/>
          </w:rPr>
          <w:t>10-13</w:t>
        </w:r>
      </w:hyperlink>
      <w:r>
        <w:rPr>
          <w:rFonts w:ascii="Times New Roman" w:hAnsi="Times New Roman" w:cs="Times New Roman"/>
          <w:color w:val="4D4D4D"/>
          <w:sz w:val="29"/>
          <w:szCs w:val="29"/>
        </w:rPr>
        <w:t>此外，基因表达谱可根据微阵列平台和所用的分析策略而变化。</w:t>
      </w:r>
      <w:hyperlink r:id="rId12" w:history="1">
        <w:r>
          <w:rPr>
            <w:rStyle w:val="a3"/>
            <w:rFonts w:ascii="inherit" w:hAnsi="inherit" w:cs="Times New Roman"/>
            <w:color w:val="0B4F82"/>
            <w:sz w:val="22"/>
            <w:szCs w:val="22"/>
            <w:bdr w:val="none" w:sz="0" w:space="0" w:color="auto" w:frame="1"/>
            <w:vertAlign w:val="superscript"/>
          </w:rPr>
          <w:t>6</w:t>
        </w:r>
      </w:hyperlink>
    </w:p>
    <w:p w:rsidR="00A92D7F" w:rsidRDefault="00A92D7F" w:rsidP="00A92D7F">
      <w:pPr>
        <w:pStyle w:val="f-body"/>
        <w:shd w:val="clear" w:color="auto" w:fill="FFFFFF"/>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RT-PCR</w:t>
      </w:r>
      <w:r>
        <w:rPr>
          <w:rFonts w:ascii="Times New Roman" w:hAnsi="Times New Roman" w:cs="Times New Roman"/>
          <w:color w:val="4D4D4D"/>
          <w:sz w:val="29"/>
          <w:szCs w:val="29"/>
        </w:rPr>
        <w:t>方法可应用于石蜡包埋的病理标本，并且可重复并适用于临床实践。然而，</w:t>
      </w:r>
      <w:r>
        <w:rPr>
          <w:rFonts w:ascii="Times New Roman" w:hAnsi="Times New Roman" w:cs="Times New Roman"/>
          <w:color w:val="4D4D4D"/>
          <w:sz w:val="29"/>
          <w:szCs w:val="29"/>
        </w:rPr>
        <w:t>RT-PCR</w:t>
      </w:r>
      <w:r>
        <w:rPr>
          <w:rFonts w:ascii="Times New Roman" w:hAnsi="Times New Roman" w:cs="Times New Roman"/>
          <w:color w:val="4D4D4D"/>
          <w:sz w:val="29"/>
          <w:szCs w:val="29"/>
        </w:rPr>
        <w:t>可用于仅分析少量基因。</w:t>
      </w:r>
      <w:hyperlink r:id="rId13" w:history="1">
        <w:r>
          <w:rPr>
            <w:rStyle w:val="a3"/>
            <w:rFonts w:ascii="inherit" w:hAnsi="inherit" w:cs="Times New Roman"/>
            <w:color w:val="0B4F82"/>
            <w:sz w:val="22"/>
            <w:szCs w:val="22"/>
            <w:bdr w:val="none" w:sz="0" w:space="0" w:color="auto" w:frame="1"/>
            <w:vertAlign w:val="superscript"/>
          </w:rPr>
          <w:t>17</w:t>
        </w:r>
      </w:hyperlink>
      <w:r>
        <w:rPr>
          <w:rFonts w:ascii="Times New Roman" w:hAnsi="Times New Roman" w:cs="Times New Roman"/>
          <w:color w:val="4D4D4D"/>
          <w:sz w:val="29"/>
          <w:szCs w:val="29"/>
        </w:rPr>
        <w:t>在先前的研究中，我们的组，执行从侵入性</w:t>
      </w:r>
      <w:r>
        <w:rPr>
          <w:rFonts w:ascii="Times New Roman" w:hAnsi="Times New Roman" w:cs="Times New Roman"/>
          <w:color w:val="4D4D4D"/>
          <w:sz w:val="29"/>
          <w:szCs w:val="29"/>
        </w:rPr>
        <w:t>NSCLC</w:t>
      </w:r>
      <w:r>
        <w:rPr>
          <w:rFonts w:ascii="Times New Roman" w:hAnsi="Times New Roman" w:cs="Times New Roman"/>
          <w:color w:val="4D4D4D"/>
          <w:sz w:val="29"/>
          <w:szCs w:val="29"/>
        </w:rPr>
        <w:t>的标本来源的细胞系的微阵列分析，鉴定与侵入性活性相关的</w:t>
      </w:r>
      <w:r>
        <w:rPr>
          <w:rFonts w:ascii="Times New Roman" w:hAnsi="Times New Roman" w:cs="Times New Roman"/>
          <w:color w:val="4D4D4D"/>
          <w:sz w:val="29"/>
          <w:szCs w:val="29"/>
        </w:rPr>
        <w:t>672</w:t>
      </w:r>
      <w:r>
        <w:rPr>
          <w:rFonts w:ascii="Times New Roman" w:hAnsi="Times New Roman" w:cs="Times New Roman"/>
          <w:color w:val="4D4D4D"/>
          <w:sz w:val="29"/>
          <w:szCs w:val="29"/>
        </w:rPr>
        <w:t>个基因。</w:t>
      </w:r>
      <w:hyperlink r:id="rId14" w:history="1">
        <w:r>
          <w:rPr>
            <w:rStyle w:val="a3"/>
            <w:rFonts w:ascii="inherit" w:hAnsi="inherit" w:cs="Times New Roman"/>
            <w:color w:val="0B4F82"/>
            <w:sz w:val="22"/>
            <w:szCs w:val="22"/>
            <w:bdr w:val="none" w:sz="0" w:space="0" w:color="auto" w:frame="1"/>
            <w:vertAlign w:val="superscript"/>
          </w:rPr>
          <w:t>18</w:t>
        </w:r>
        <w:r>
          <w:rPr>
            <w:rStyle w:val="a3"/>
            <w:rFonts w:ascii="inherit" w:hAnsi="inherit" w:cs="Times New Roman"/>
            <w:color w:val="0B4F82"/>
            <w:sz w:val="22"/>
            <w:szCs w:val="22"/>
            <w:bdr w:val="none" w:sz="0" w:space="0" w:color="auto" w:frame="1"/>
            <w:vertAlign w:val="superscript"/>
          </w:rPr>
          <w:t>个</w:t>
        </w:r>
      </w:hyperlink>
      <w:r>
        <w:rPr>
          <w:rFonts w:ascii="Times New Roman" w:hAnsi="Times New Roman" w:cs="Times New Roman"/>
          <w:color w:val="4D4D4D"/>
          <w:sz w:val="29"/>
          <w:szCs w:val="29"/>
        </w:rPr>
        <w:t>我们还确定了基因（</w:t>
      </w:r>
      <w:r>
        <w:rPr>
          <w:rFonts w:ascii="inherit" w:hAnsi="inherit" w:cs="Times New Roman"/>
          <w:i/>
          <w:iCs/>
          <w:color w:val="4D4D4D"/>
          <w:sz w:val="29"/>
          <w:szCs w:val="29"/>
          <w:bdr w:val="none" w:sz="0" w:space="0" w:color="auto" w:frame="1"/>
        </w:rPr>
        <w:t>CRMP-1</w:t>
      </w:r>
      <w:r>
        <w:rPr>
          <w:rFonts w:ascii="Times New Roman" w:hAnsi="Times New Roman" w:cs="Times New Roman"/>
          <w:color w:val="4D4D4D"/>
          <w:sz w:val="29"/>
          <w:szCs w:val="29"/>
        </w:rPr>
        <w:t>和</w:t>
      </w:r>
      <w:r>
        <w:rPr>
          <w:rFonts w:ascii="inherit" w:hAnsi="inherit" w:cs="Times New Roman"/>
          <w:i/>
          <w:iCs/>
          <w:color w:val="4D4D4D"/>
          <w:sz w:val="29"/>
          <w:szCs w:val="29"/>
          <w:bdr w:val="none" w:sz="0" w:space="0" w:color="auto" w:frame="1"/>
        </w:rPr>
        <w:t>HLJ1</w:t>
      </w:r>
      <w:r>
        <w:rPr>
          <w:rFonts w:ascii="Times New Roman" w:hAnsi="Times New Roman" w:cs="Times New Roman"/>
          <w:color w:val="4D4D4D"/>
          <w:sz w:val="29"/>
          <w:szCs w:val="29"/>
        </w:rPr>
        <w:t>是与</w:t>
      </w:r>
      <w:r>
        <w:rPr>
          <w:rFonts w:ascii="Times New Roman" w:hAnsi="Times New Roman" w:cs="Times New Roman"/>
          <w:color w:val="4D4D4D"/>
          <w:sz w:val="29"/>
          <w:szCs w:val="29"/>
        </w:rPr>
        <w:t>NSCLC</w:t>
      </w:r>
      <w:r>
        <w:rPr>
          <w:rFonts w:ascii="Times New Roman" w:hAnsi="Times New Roman" w:cs="Times New Roman"/>
          <w:color w:val="4D4D4D"/>
          <w:sz w:val="29"/>
          <w:szCs w:val="29"/>
        </w:rPr>
        <w:t>患者的临床结果相关联）。</w:t>
      </w:r>
      <w:hyperlink r:id="rId15" w:history="1">
        <w:r>
          <w:rPr>
            <w:rStyle w:val="a3"/>
            <w:rFonts w:ascii="inherit" w:hAnsi="inherit" w:cs="Times New Roman"/>
            <w:color w:val="0B4F82"/>
            <w:sz w:val="22"/>
            <w:szCs w:val="22"/>
            <w:bdr w:val="none" w:sz="0" w:space="0" w:color="auto" w:frame="1"/>
            <w:vertAlign w:val="superscript"/>
          </w:rPr>
          <w:t>19,20</w:t>
        </w:r>
      </w:hyperlink>
      <w:r>
        <w:rPr>
          <w:rFonts w:ascii="Times New Roman" w:hAnsi="Times New Roman" w:cs="Times New Roman"/>
          <w:color w:val="4D4D4D"/>
          <w:sz w:val="29"/>
          <w:szCs w:val="29"/>
        </w:rPr>
        <w:t>最近的一项研究表明，</w:t>
      </w:r>
      <w:r>
        <w:rPr>
          <w:rFonts w:ascii="Times New Roman" w:hAnsi="Times New Roman" w:cs="Times New Roman"/>
          <w:color w:val="4D4D4D"/>
          <w:sz w:val="29"/>
          <w:szCs w:val="29"/>
        </w:rPr>
        <w:t>8</w:t>
      </w:r>
      <w:r>
        <w:rPr>
          <w:rFonts w:ascii="Times New Roman" w:hAnsi="Times New Roman" w:cs="Times New Roman"/>
          <w:color w:val="4D4D4D"/>
          <w:sz w:val="29"/>
          <w:szCs w:val="29"/>
        </w:rPr>
        <w:t>个基因的</w:t>
      </w:r>
      <w:r>
        <w:rPr>
          <w:rFonts w:ascii="Times New Roman" w:hAnsi="Times New Roman" w:cs="Times New Roman"/>
          <w:color w:val="4D4D4D"/>
          <w:sz w:val="29"/>
          <w:szCs w:val="29"/>
        </w:rPr>
        <w:t>RT-PCR</w:t>
      </w:r>
      <w:r>
        <w:rPr>
          <w:rFonts w:ascii="Times New Roman" w:hAnsi="Times New Roman" w:cs="Times New Roman"/>
          <w:color w:val="4D4D4D"/>
          <w:sz w:val="29"/>
          <w:szCs w:val="29"/>
        </w:rPr>
        <w:t>分析结果与肺腺癌患者的预后相关。</w:t>
      </w:r>
      <w:hyperlink r:id="rId16" w:history="1">
        <w:r>
          <w:rPr>
            <w:rStyle w:val="a3"/>
            <w:rFonts w:ascii="inherit" w:hAnsi="inherit" w:cs="Times New Roman"/>
            <w:color w:val="0B4F82"/>
            <w:sz w:val="22"/>
            <w:szCs w:val="22"/>
            <w:bdr w:val="none" w:sz="0" w:space="0" w:color="auto" w:frame="1"/>
            <w:vertAlign w:val="superscript"/>
          </w:rPr>
          <w:t>五</w:t>
        </w:r>
      </w:hyperlink>
    </w:p>
    <w:p w:rsidR="00A92D7F" w:rsidRDefault="00A92D7F" w:rsidP="00A92D7F">
      <w:pPr>
        <w:pStyle w:val="f-body"/>
        <w:shd w:val="clear" w:color="auto" w:fill="FFFFFF"/>
        <w:spacing w:before="30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在目前的研究中，我们使用微阵列和实时</w:t>
      </w:r>
      <w:r>
        <w:rPr>
          <w:rFonts w:ascii="Times New Roman" w:hAnsi="Times New Roman" w:cs="Times New Roman"/>
          <w:color w:val="4D4D4D"/>
          <w:sz w:val="29"/>
          <w:szCs w:val="29"/>
        </w:rPr>
        <w:t>RT-PCR</w:t>
      </w:r>
      <w:r>
        <w:rPr>
          <w:rFonts w:ascii="Times New Roman" w:hAnsi="Times New Roman" w:cs="Times New Roman"/>
          <w:color w:val="4D4D4D"/>
          <w:sz w:val="29"/>
          <w:szCs w:val="29"/>
        </w:rPr>
        <w:t>检查了</w:t>
      </w:r>
      <w:r>
        <w:rPr>
          <w:rFonts w:ascii="Times New Roman" w:hAnsi="Times New Roman" w:cs="Times New Roman"/>
          <w:color w:val="4D4D4D"/>
          <w:sz w:val="29"/>
          <w:szCs w:val="29"/>
        </w:rPr>
        <w:t>125</w:t>
      </w:r>
      <w:r>
        <w:rPr>
          <w:rFonts w:ascii="Times New Roman" w:hAnsi="Times New Roman" w:cs="Times New Roman"/>
          <w:color w:val="4D4D4D"/>
          <w:sz w:val="29"/>
          <w:szCs w:val="29"/>
        </w:rPr>
        <w:t>个</w:t>
      </w:r>
      <w:r>
        <w:rPr>
          <w:rFonts w:ascii="Times New Roman" w:hAnsi="Times New Roman" w:cs="Times New Roman"/>
          <w:color w:val="4D4D4D"/>
          <w:sz w:val="29"/>
          <w:szCs w:val="29"/>
        </w:rPr>
        <w:t>NSCLC</w:t>
      </w:r>
      <w:r>
        <w:rPr>
          <w:rFonts w:ascii="Times New Roman" w:hAnsi="Times New Roman" w:cs="Times New Roman"/>
          <w:color w:val="4D4D4D"/>
          <w:sz w:val="29"/>
          <w:szCs w:val="29"/>
        </w:rPr>
        <w:t>手术标本中的基因表达，以便鉴定与临床结果相关的基因标记。</w:t>
      </w:r>
    </w:p>
    <w:p w:rsidR="00A92D7F" w:rsidRDefault="00A92D7F" w:rsidP="00A92D7F">
      <w:pPr>
        <w:pStyle w:val="2"/>
        <w:pBdr>
          <w:bottom w:val="single" w:sz="6" w:space="17" w:color="E2E2E2"/>
        </w:pBdr>
        <w:shd w:val="clear" w:color="auto" w:fill="FFFFFF"/>
        <w:spacing w:before="0" w:after="0" w:line="480" w:lineRule="atLeast"/>
        <w:textAlignment w:val="baseline"/>
        <w:rPr>
          <w:rFonts w:ascii="Times New Roman" w:hAnsi="Times New Roman" w:cs="Times New Roman"/>
          <w:color w:val="1A1A1A"/>
          <w:spacing w:val="-1"/>
          <w:sz w:val="42"/>
          <w:szCs w:val="42"/>
        </w:rPr>
      </w:pPr>
      <w:r>
        <w:rPr>
          <w:rFonts w:ascii="Times New Roman" w:hAnsi="Times New Roman" w:cs="Times New Roman"/>
          <w:color w:val="1A1A1A"/>
          <w:spacing w:val="-1"/>
          <w:sz w:val="42"/>
          <w:szCs w:val="42"/>
        </w:rPr>
        <w:t>方法</w:t>
      </w:r>
    </w:p>
    <w:p w:rsidR="00A92D7F" w:rsidRDefault="00A92D7F" w:rsidP="00A92D7F">
      <w:pPr>
        <w:pStyle w:val="2"/>
        <w:spacing w:before="300" w:after="0" w:line="420" w:lineRule="atLeast"/>
        <w:textAlignment w:val="baseline"/>
        <w:rPr>
          <w:rFonts w:ascii="Helvetica" w:hAnsi="Helvetica" w:cs="Helvetica"/>
          <w:caps/>
          <w:color w:val="1A1A1A"/>
          <w:spacing w:val="29"/>
          <w:sz w:val="20"/>
          <w:szCs w:val="20"/>
        </w:rPr>
      </w:pPr>
      <w:r>
        <w:rPr>
          <w:rFonts w:ascii="Helvetica" w:hAnsi="Helvetica" w:cs="Helvetica"/>
          <w:caps/>
          <w:color w:val="1A1A1A"/>
          <w:spacing w:val="29"/>
          <w:sz w:val="20"/>
          <w:szCs w:val="20"/>
        </w:rPr>
        <w:t>患者和组织标本</w:t>
      </w:r>
    </w:p>
    <w:p w:rsidR="00A92D7F" w:rsidRDefault="00A92D7F" w:rsidP="00A92D7F">
      <w:pPr>
        <w:pStyle w:val="f-body"/>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我们使用计算机生成的随机数来分配来自</w:t>
      </w:r>
      <w:r>
        <w:rPr>
          <w:rFonts w:ascii="Times New Roman" w:hAnsi="Times New Roman" w:cs="Times New Roman"/>
          <w:color w:val="4D4D4D"/>
          <w:sz w:val="29"/>
          <w:szCs w:val="29"/>
        </w:rPr>
        <w:t>185</w:t>
      </w:r>
      <w:r>
        <w:rPr>
          <w:rFonts w:ascii="Times New Roman" w:hAnsi="Times New Roman" w:cs="Times New Roman"/>
          <w:color w:val="4D4D4D"/>
          <w:sz w:val="29"/>
          <w:szCs w:val="29"/>
        </w:rPr>
        <w:t>名连续患者的标本进行微阵列分析。我们研究了</w:t>
      </w:r>
      <w:r>
        <w:rPr>
          <w:rFonts w:ascii="Times New Roman" w:hAnsi="Times New Roman" w:cs="Times New Roman"/>
          <w:color w:val="4D4D4D"/>
          <w:sz w:val="29"/>
          <w:szCs w:val="29"/>
        </w:rPr>
        <w:t>1999</w:t>
      </w:r>
      <w:r>
        <w:rPr>
          <w:rFonts w:ascii="Times New Roman" w:hAnsi="Times New Roman" w:cs="Times New Roman"/>
          <w:color w:val="4D4D4D"/>
          <w:sz w:val="29"/>
          <w:szCs w:val="29"/>
        </w:rPr>
        <w:t>年</w:t>
      </w:r>
      <w:r>
        <w:rPr>
          <w:rFonts w:ascii="Times New Roman" w:hAnsi="Times New Roman" w:cs="Times New Roman"/>
          <w:color w:val="4D4D4D"/>
          <w:sz w:val="29"/>
          <w:szCs w:val="29"/>
        </w:rPr>
        <w:t>12</w:t>
      </w:r>
      <w:r>
        <w:rPr>
          <w:rFonts w:ascii="Times New Roman" w:hAnsi="Times New Roman" w:cs="Times New Roman"/>
          <w:color w:val="4D4D4D"/>
          <w:sz w:val="29"/>
          <w:szCs w:val="29"/>
        </w:rPr>
        <w:t>月至</w:t>
      </w:r>
      <w:r>
        <w:rPr>
          <w:rFonts w:ascii="Times New Roman" w:hAnsi="Times New Roman" w:cs="Times New Roman"/>
          <w:color w:val="4D4D4D"/>
          <w:sz w:val="29"/>
          <w:szCs w:val="29"/>
        </w:rPr>
        <w:t>2003</w:t>
      </w:r>
      <w:r>
        <w:rPr>
          <w:rFonts w:ascii="Times New Roman" w:hAnsi="Times New Roman" w:cs="Times New Roman"/>
          <w:color w:val="4D4D4D"/>
          <w:sz w:val="29"/>
          <w:szCs w:val="29"/>
        </w:rPr>
        <w:t>年</w:t>
      </w:r>
      <w:r>
        <w:rPr>
          <w:rFonts w:ascii="Times New Roman" w:hAnsi="Times New Roman" w:cs="Times New Roman"/>
          <w:color w:val="4D4D4D"/>
          <w:sz w:val="29"/>
          <w:szCs w:val="29"/>
        </w:rPr>
        <w:t>12</w:t>
      </w:r>
      <w:r>
        <w:rPr>
          <w:rFonts w:ascii="Times New Roman" w:hAnsi="Times New Roman" w:cs="Times New Roman"/>
          <w:color w:val="4D4D4D"/>
          <w:sz w:val="29"/>
          <w:szCs w:val="29"/>
        </w:rPr>
        <w:t>月期间在台中退伍军人总医院接受手术切除</w:t>
      </w:r>
      <w:r>
        <w:rPr>
          <w:rFonts w:ascii="Times New Roman" w:hAnsi="Times New Roman" w:cs="Times New Roman"/>
          <w:color w:val="4D4D4D"/>
          <w:sz w:val="29"/>
          <w:szCs w:val="29"/>
        </w:rPr>
        <w:t>NSCLC</w:t>
      </w:r>
      <w:r>
        <w:rPr>
          <w:rFonts w:ascii="Times New Roman" w:hAnsi="Times New Roman" w:cs="Times New Roman"/>
          <w:color w:val="4D4D4D"/>
          <w:sz w:val="29"/>
          <w:szCs w:val="29"/>
        </w:rPr>
        <w:t>的</w:t>
      </w:r>
      <w:r>
        <w:rPr>
          <w:rFonts w:ascii="Times New Roman" w:hAnsi="Times New Roman" w:cs="Times New Roman"/>
          <w:color w:val="4D4D4D"/>
          <w:sz w:val="29"/>
          <w:szCs w:val="29"/>
        </w:rPr>
        <w:t>125</w:t>
      </w:r>
      <w:r>
        <w:rPr>
          <w:rFonts w:ascii="Times New Roman" w:hAnsi="Times New Roman" w:cs="Times New Roman"/>
          <w:color w:val="4D4D4D"/>
          <w:sz w:val="29"/>
          <w:szCs w:val="29"/>
        </w:rPr>
        <w:t>名随机选择患者的肺癌组织冷冻标本。其中</w:t>
      </w:r>
      <w:r>
        <w:rPr>
          <w:rFonts w:ascii="Times New Roman" w:hAnsi="Times New Roman" w:cs="Times New Roman"/>
          <w:color w:val="4D4D4D"/>
          <w:sz w:val="29"/>
          <w:szCs w:val="29"/>
        </w:rPr>
        <w:t>60</w:t>
      </w:r>
      <w:r>
        <w:rPr>
          <w:rFonts w:ascii="Times New Roman" w:hAnsi="Times New Roman" w:cs="Times New Roman"/>
          <w:color w:val="4D4D4D"/>
          <w:sz w:val="29"/>
          <w:szCs w:val="29"/>
        </w:rPr>
        <w:t>例为腺癌，</w:t>
      </w:r>
      <w:r>
        <w:rPr>
          <w:rFonts w:ascii="Times New Roman" w:hAnsi="Times New Roman" w:cs="Times New Roman"/>
          <w:color w:val="4D4D4D"/>
          <w:sz w:val="29"/>
          <w:szCs w:val="29"/>
        </w:rPr>
        <w:t>52</w:t>
      </w:r>
      <w:r>
        <w:rPr>
          <w:rFonts w:ascii="Times New Roman" w:hAnsi="Times New Roman" w:cs="Times New Roman"/>
          <w:color w:val="4D4D4D"/>
          <w:sz w:val="29"/>
          <w:szCs w:val="29"/>
        </w:rPr>
        <w:t>例为鳞状细胞癌，</w:t>
      </w:r>
      <w:r>
        <w:rPr>
          <w:rFonts w:ascii="Times New Roman" w:hAnsi="Times New Roman" w:cs="Times New Roman"/>
          <w:color w:val="4D4D4D"/>
          <w:sz w:val="29"/>
          <w:szCs w:val="29"/>
        </w:rPr>
        <w:t xml:space="preserve"> 13</w:t>
      </w:r>
      <w:r>
        <w:rPr>
          <w:rFonts w:ascii="Times New Roman" w:hAnsi="Times New Roman" w:cs="Times New Roman"/>
          <w:color w:val="4D4D4D"/>
          <w:sz w:val="29"/>
          <w:szCs w:val="29"/>
        </w:rPr>
        <w:t>是其他类型的癌症。我们使用独立队列对</w:t>
      </w:r>
      <w:r>
        <w:rPr>
          <w:rFonts w:ascii="Times New Roman" w:hAnsi="Times New Roman" w:cs="Times New Roman"/>
          <w:color w:val="4D4D4D"/>
          <w:sz w:val="29"/>
          <w:szCs w:val="29"/>
        </w:rPr>
        <w:t>60</w:t>
      </w:r>
      <w:r>
        <w:rPr>
          <w:rFonts w:ascii="Times New Roman" w:hAnsi="Times New Roman" w:cs="Times New Roman"/>
          <w:color w:val="4D4D4D"/>
          <w:sz w:val="29"/>
          <w:szCs w:val="29"/>
        </w:rPr>
        <w:t>个基因风险预测模型进行了验证，这些患者在</w:t>
      </w:r>
      <w:r>
        <w:rPr>
          <w:rFonts w:ascii="Times New Roman" w:hAnsi="Times New Roman" w:cs="Times New Roman"/>
          <w:color w:val="4D4D4D"/>
          <w:sz w:val="29"/>
          <w:szCs w:val="29"/>
        </w:rPr>
        <w:t>1999</w:t>
      </w:r>
      <w:r>
        <w:rPr>
          <w:rFonts w:ascii="Times New Roman" w:hAnsi="Times New Roman" w:cs="Times New Roman"/>
          <w:color w:val="4D4D4D"/>
          <w:sz w:val="29"/>
          <w:szCs w:val="29"/>
        </w:rPr>
        <w:t>年</w:t>
      </w:r>
      <w:r>
        <w:rPr>
          <w:rFonts w:ascii="Times New Roman" w:hAnsi="Times New Roman" w:cs="Times New Roman"/>
          <w:color w:val="4D4D4D"/>
          <w:sz w:val="29"/>
          <w:szCs w:val="29"/>
        </w:rPr>
        <w:t>11</w:t>
      </w:r>
      <w:r>
        <w:rPr>
          <w:rFonts w:ascii="Times New Roman" w:hAnsi="Times New Roman" w:cs="Times New Roman"/>
          <w:color w:val="4D4D4D"/>
          <w:sz w:val="29"/>
          <w:szCs w:val="29"/>
        </w:rPr>
        <w:t>月至</w:t>
      </w:r>
      <w:r>
        <w:rPr>
          <w:rFonts w:ascii="Times New Roman" w:hAnsi="Times New Roman" w:cs="Times New Roman"/>
          <w:color w:val="4D4D4D"/>
          <w:sz w:val="29"/>
          <w:szCs w:val="29"/>
        </w:rPr>
        <w:t>2003</w:t>
      </w:r>
      <w:r>
        <w:rPr>
          <w:rFonts w:ascii="Times New Roman" w:hAnsi="Times New Roman" w:cs="Times New Roman"/>
          <w:color w:val="4D4D4D"/>
          <w:sz w:val="29"/>
          <w:szCs w:val="29"/>
        </w:rPr>
        <w:t>年</w:t>
      </w:r>
      <w:r>
        <w:rPr>
          <w:rFonts w:ascii="Times New Roman" w:hAnsi="Times New Roman" w:cs="Times New Roman"/>
          <w:color w:val="4D4D4D"/>
          <w:sz w:val="29"/>
          <w:szCs w:val="29"/>
        </w:rPr>
        <w:t>12</w:t>
      </w:r>
      <w:r>
        <w:rPr>
          <w:rFonts w:ascii="Times New Roman" w:hAnsi="Times New Roman" w:cs="Times New Roman"/>
          <w:color w:val="4D4D4D"/>
          <w:sz w:val="29"/>
          <w:szCs w:val="29"/>
        </w:rPr>
        <w:t>月期间在台中退伍军人总医院接受了</w:t>
      </w:r>
      <w:r>
        <w:rPr>
          <w:rFonts w:ascii="Times New Roman" w:hAnsi="Times New Roman" w:cs="Times New Roman"/>
          <w:color w:val="4D4D4D"/>
          <w:sz w:val="29"/>
          <w:szCs w:val="29"/>
        </w:rPr>
        <w:t>NSCLC</w:t>
      </w:r>
      <w:r>
        <w:rPr>
          <w:rFonts w:ascii="Times New Roman" w:hAnsi="Times New Roman" w:cs="Times New Roman"/>
          <w:color w:val="4D4D4D"/>
          <w:sz w:val="29"/>
          <w:szCs w:val="29"/>
        </w:rPr>
        <w:t>手术切除的</w:t>
      </w:r>
      <w:r>
        <w:rPr>
          <w:rFonts w:ascii="Times New Roman" w:hAnsi="Times New Roman" w:cs="Times New Roman"/>
          <w:color w:val="4D4D4D"/>
          <w:sz w:val="29"/>
          <w:szCs w:val="29"/>
        </w:rPr>
        <w:t>60</w:t>
      </w:r>
      <w:r>
        <w:rPr>
          <w:rFonts w:ascii="Times New Roman" w:hAnsi="Times New Roman" w:cs="Times New Roman"/>
          <w:color w:val="4D4D4D"/>
          <w:sz w:val="29"/>
          <w:szCs w:val="29"/>
        </w:rPr>
        <w:t>名随机选择</w:t>
      </w:r>
      <w:r>
        <w:rPr>
          <w:rFonts w:ascii="Times New Roman" w:hAnsi="Times New Roman" w:cs="Times New Roman"/>
          <w:color w:val="4D4D4D"/>
          <w:sz w:val="29"/>
          <w:szCs w:val="29"/>
        </w:rPr>
        <w:lastRenderedPageBreak/>
        <w:t>的患者。患者未接受辅助化疗。该研究得到了医院的机构审查委员会的批准。</w:t>
      </w:r>
    </w:p>
    <w:p w:rsidR="00A92D7F" w:rsidRDefault="00A92D7F" w:rsidP="00A92D7F">
      <w:pPr>
        <w:pStyle w:val="2"/>
        <w:spacing w:before="300" w:after="0" w:line="420" w:lineRule="atLeast"/>
        <w:textAlignment w:val="baseline"/>
        <w:rPr>
          <w:rFonts w:ascii="Helvetica" w:hAnsi="Helvetica" w:cs="Helvetica"/>
          <w:caps/>
          <w:color w:val="1A1A1A"/>
          <w:spacing w:val="29"/>
          <w:sz w:val="20"/>
          <w:szCs w:val="20"/>
        </w:rPr>
      </w:pPr>
      <w:r>
        <w:rPr>
          <w:rFonts w:ascii="Helvetica" w:hAnsi="Helvetica" w:cs="Helvetica"/>
          <w:caps/>
          <w:color w:val="1A1A1A"/>
          <w:spacing w:val="29"/>
          <w:sz w:val="20"/>
          <w:szCs w:val="20"/>
        </w:rPr>
        <w:t>互补</w:t>
      </w:r>
      <w:r>
        <w:rPr>
          <w:rFonts w:ascii="Helvetica" w:hAnsi="Helvetica" w:cs="Helvetica"/>
          <w:caps/>
          <w:color w:val="1A1A1A"/>
          <w:spacing w:val="29"/>
          <w:sz w:val="20"/>
          <w:szCs w:val="20"/>
        </w:rPr>
        <w:t>DNA</w:t>
      </w:r>
      <w:r>
        <w:rPr>
          <w:rFonts w:ascii="Helvetica" w:hAnsi="Helvetica" w:cs="Helvetica"/>
          <w:caps/>
          <w:color w:val="1A1A1A"/>
          <w:spacing w:val="29"/>
          <w:sz w:val="20"/>
          <w:szCs w:val="20"/>
        </w:rPr>
        <w:t>的微阵列分析</w:t>
      </w:r>
    </w:p>
    <w:p w:rsidR="00A92D7F" w:rsidRDefault="00A92D7F" w:rsidP="00A92D7F">
      <w:pPr>
        <w:pStyle w:val="f-body"/>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在我们组的先前研究中鉴定的与侵入活性相关的</w:t>
      </w:r>
      <w:r>
        <w:rPr>
          <w:rFonts w:ascii="Times New Roman" w:hAnsi="Times New Roman" w:cs="Times New Roman"/>
          <w:color w:val="4D4D4D"/>
          <w:sz w:val="29"/>
          <w:szCs w:val="29"/>
        </w:rPr>
        <w:t>672</w:t>
      </w:r>
      <w:r>
        <w:rPr>
          <w:rFonts w:ascii="Times New Roman" w:hAnsi="Times New Roman" w:cs="Times New Roman"/>
          <w:color w:val="4D4D4D"/>
          <w:sz w:val="29"/>
          <w:szCs w:val="29"/>
        </w:rPr>
        <w:t>个基因</w:t>
      </w:r>
      <w:hyperlink r:id="rId17" w:history="1">
        <w:r>
          <w:rPr>
            <w:rStyle w:val="a3"/>
            <w:rFonts w:ascii="inherit" w:hAnsi="inherit" w:cs="Times New Roman"/>
            <w:color w:val="0B4F82"/>
            <w:sz w:val="22"/>
            <w:szCs w:val="22"/>
            <w:bdr w:val="none" w:sz="0" w:space="0" w:color="auto" w:frame="1"/>
            <w:vertAlign w:val="superscript"/>
          </w:rPr>
          <w:t>18</w:t>
        </w:r>
      </w:hyperlink>
      <w:r>
        <w:rPr>
          <w:rFonts w:ascii="Times New Roman" w:hAnsi="Times New Roman" w:cs="Times New Roman"/>
          <w:color w:val="4D4D4D"/>
          <w:sz w:val="29"/>
          <w:szCs w:val="29"/>
        </w:rPr>
        <w:t>在尼龙膜上一式两份地重印。我们从每个样本中分离出</w:t>
      </w:r>
      <w:r>
        <w:rPr>
          <w:rFonts w:ascii="Times New Roman" w:hAnsi="Times New Roman" w:cs="Times New Roman"/>
          <w:color w:val="4D4D4D"/>
          <w:sz w:val="29"/>
          <w:szCs w:val="29"/>
        </w:rPr>
        <w:t>4μg</w:t>
      </w:r>
      <w:r>
        <w:rPr>
          <w:rFonts w:ascii="Times New Roman" w:hAnsi="Times New Roman" w:cs="Times New Roman"/>
          <w:color w:val="4D4D4D"/>
          <w:sz w:val="29"/>
          <w:szCs w:val="29"/>
        </w:rPr>
        <w:t>总</w:t>
      </w:r>
      <w:r>
        <w:rPr>
          <w:rFonts w:ascii="Times New Roman" w:hAnsi="Times New Roman" w:cs="Times New Roman"/>
          <w:color w:val="4D4D4D"/>
          <w:sz w:val="29"/>
          <w:szCs w:val="29"/>
        </w:rPr>
        <w:t>RNA</w:t>
      </w:r>
      <w:r>
        <w:rPr>
          <w:rFonts w:ascii="Times New Roman" w:hAnsi="Times New Roman" w:cs="Times New Roman"/>
          <w:color w:val="4D4D4D"/>
          <w:sz w:val="29"/>
          <w:szCs w:val="29"/>
        </w:rPr>
        <w:t>，使用扩增试剂盒（</w:t>
      </w:r>
      <w:proofErr w:type="spellStart"/>
      <w:r>
        <w:rPr>
          <w:rFonts w:ascii="Times New Roman" w:hAnsi="Times New Roman" w:cs="Times New Roman"/>
          <w:color w:val="4D4D4D"/>
          <w:sz w:val="29"/>
          <w:szCs w:val="29"/>
        </w:rPr>
        <w:t>Ambion</w:t>
      </w:r>
      <w:proofErr w:type="spellEnd"/>
      <w:r>
        <w:rPr>
          <w:rFonts w:ascii="Times New Roman" w:hAnsi="Times New Roman" w:cs="Times New Roman"/>
          <w:color w:val="4D4D4D"/>
          <w:sz w:val="29"/>
          <w:szCs w:val="29"/>
        </w:rPr>
        <w:t>）对其进行扩增，并在逆转录期间用地高辛标记。</w:t>
      </w:r>
      <w:hyperlink r:id="rId18" w:history="1">
        <w:r>
          <w:rPr>
            <w:rStyle w:val="a3"/>
            <w:rFonts w:ascii="inherit" w:hAnsi="inherit" w:cs="Times New Roman"/>
            <w:color w:val="0B4F82"/>
            <w:sz w:val="22"/>
            <w:szCs w:val="22"/>
            <w:bdr w:val="none" w:sz="0" w:space="0" w:color="auto" w:frame="1"/>
            <w:vertAlign w:val="superscript"/>
          </w:rPr>
          <w:t>21</w:t>
        </w:r>
      </w:hyperlink>
      <w:r>
        <w:rPr>
          <w:rFonts w:ascii="Times New Roman" w:hAnsi="Times New Roman" w:cs="Times New Roman"/>
          <w:color w:val="4D4D4D"/>
          <w:sz w:val="29"/>
          <w:szCs w:val="29"/>
        </w:rPr>
        <w:t>之前已经描述了靶制备，杂交，显色，图像分析和斑点定量的细节。</w:t>
      </w:r>
      <w:hyperlink r:id="rId19" w:history="1">
        <w:r>
          <w:rPr>
            <w:rStyle w:val="a3"/>
            <w:rFonts w:ascii="inherit" w:hAnsi="inherit" w:cs="Times New Roman"/>
            <w:color w:val="0B4F82"/>
            <w:sz w:val="22"/>
            <w:szCs w:val="22"/>
            <w:bdr w:val="none" w:sz="0" w:space="0" w:color="auto" w:frame="1"/>
            <w:vertAlign w:val="superscript"/>
          </w:rPr>
          <w:t>18,21,22</w:t>
        </w:r>
      </w:hyperlink>
    </w:p>
    <w:p w:rsidR="00A92D7F" w:rsidRDefault="00A92D7F" w:rsidP="00A92D7F">
      <w:pPr>
        <w:pStyle w:val="2"/>
        <w:spacing w:before="300" w:after="0" w:line="420" w:lineRule="atLeast"/>
        <w:textAlignment w:val="baseline"/>
        <w:rPr>
          <w:rFonts w:ascii="Helvetica" w:hAnsi="Helvetica" w:cs="Helvetica"/>
          <w:caps/>
          <w:color w:val="1A1A1A"/>
          <w:spacing w:val="29"/>
          <w:sz w:val="20"/>
          <w:szCs w:val="20"/>
        </w:rPr>
      </w:pPr>
      <w:r>
        <w:rPr>
          <w:rFonts w:ascii="Helvetica" w:hAnsi="Helvetica" w:cs="Helvetica"/>
          <w:caps/>
          <w:color w:val="1A1A1A"/>
          <w:spacing w:val="29"/>
          <w:sz w:val="20"/>
          <w:szCs w:val="20"/>
        </w:rPr>
        <w:t>RT-PCR</w:t>
      </w:r>
      <w:r>
        <w:rPr>
          <w:rFonts w:ascii="Helvetica" w:hAnsi="Helvetica" w:cs="Helvetica"/>
          <w:caps/>
          <w:color w:val="1A1A1A"/>
          <w:spacing w:val="29"/>
          <w:sz w:val="20"/>
          <w:szCs w:val="20"/>
        </w:rPr>
        <w:t>分析</w:t>
      </w:r>
    </w:p>
    <w:p w:rsidR="00A92D7F" w:rsidRDefault="00A92D7F" w:rsidP="00A92D7F">
      <w:pPr>
        <w:pStyle w:val="f-body"/>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为了验证在微阵列分析中发现的基因的表达水平，使用特异性</w:t>
      </w:r>
      <w:proofErr w:type="spellStart"/>
      <w:r>
        <w:rPr>
          <w:rFonts w:ascii="Times New Roman" w:hAnsi="Times New Roman" w:cs="Times New Roman"/>
          <w:color w:val="4D4D4D"/>
          <w:sz w:val="29"/>
          <w:szCs w:val="29"/>
        </w:rPr>
        <w:t>TaqMan</w:t>
      </w:r>
      <w:proofErr w:type="spellEnd"/>
      <w:r>
        <w:rPr>
          <w:rFonts w:ascii="Times New Roman" w:hAnsi="Times New Roman" w:cs="Times New Roman"/>
          <w:color w:val="4D4D4D"/>
          <w:sz w:val="29"/>
          <w:szCs w:val="29"/>
        </w:rPr>
        <w:t>探针和引物组对</w:t>
      </w:r>
      <w:r>
        <w:rPr>
          <w:rFonts w:ascii="Times New Roman" w:hAnsi="Times New Roman" w:cs="Times New Roman"/>
          <w:color w:val="4D4D4D"/>
          <w:sz w:val="29"/>
          <w:szCs w:val="29"/>
        </w:rPr>
        <w:t>16</w:t>
      </w:r>
      <w:r>
        <w:rPr>
          <w:rFonts w:ascii="Times New Roman" w:hAnsi="Times New Roman" w:cs="Times New Roman"/>
          <w:color w:val="4D4D4D"/>
          <w:sz w:val="29"/>
          <w:szCs w:val="29"/>
        </w:rPr>
        <w:t>个基因和</w:t>
      </w:r>
      <w:r>
        <w:rPr>
          <w:rFonts w:ascii="Times New Roman" w:hAnsi="Times New Roman" w:cs="Times New Roman"/>
          <w:color w:val="4D4D4D"/>
          <w:sz w:val="29"/>
          <w:szCs w:val="29"/>
        </w:rPr>
        <w:t>TATA</w:t>
      </w:r>
      <w:r>
        <w:rPr>
          <w:rFonts w:ascii="Times New Roman" w:hAnsi="Times New Roman" w:cs="Times New Roman"/>
          <w:color w:val="4D4D4D"/>
          <w:sz w:val="29"/>
          <w:szCs w:val="29"/>
        </w:rPr>
        <w:t>盒结合蛋白（</w:t>
      </w:r>
      <w:r>
        <w:rPr>
          <w:rFonts w:ascii="inherit" w:hAnsi="inherit" w:cs="Times New Roman"/>
          <w:i/>
          <w:iCs/>
          <w:color w:val="4D4D4D"/>
          <w:sz w:val="29"/>
          <w:szCs w:val="29"/>
          <w:bdr w:val="none" w:sz="0" w:space="0" w:color="auto" w:frame="1"/>
        </w:rPr>
        <w:t>TBP</w:t>
      </w:r>
      <w:r>
        <w:rPr>
          <w:rFonts w:ascii="Times New Roman" w:hAnsi="Times New Roman" w:cs="Times New Roman"/>
          <w:color w:val="4D4D4D"/>
          <w:sz w:val="29"/>
          <w:szCs w:val="29"/>
        </w:rPr>
        <w:t>）的对照基因进行</w:t>
      </w:r>
      <w:r>
        <w:rPr>
          <w:rFonts w:ascii="Times New Roman" w:hAnsi="Times New Roman" w:cs="Times New Roman"/>
          <w:color w:val="4D4D4D"/>
          <w:sz w:val="29"/>
          <w:szCs w:val="29"/>
        </w:rPr>
        <w:t>RT-PCR </w:t>
      </w:r>
      <w:r>
        <w:rPr>
          <w:rFonts w:ascii="Times New Roman" w:hAnsi="Times New Roman" w:cs="Times New Roman"/>
          <w:color w:val="4D4D4D"/>
          <w:sz w:val="29"/>
          <w:szCs w:val="29"/>
        </w:rPr>
        <w:t>。用试剂（</w:t>
      </w:r>
      <w:proofErr w:type="spellStart"/>
      <w:r>
        <w:rPr>
          <w:rFonts w:ascii="Times New Roman" w:hAnsi="Times New Roman" w:cs="Times New Roman"/>
          <w:color w:val="4D4D4D"/>
          <w:sz w:val="29"/>
          <w:szCs w:val="29"/>
        </w:rPr>
        <w:t>TaqMan</w:t>
      </w:r>
      <w:proofErr w:type="spellEnd"/>
      <w:r>
        <w:rPr>
          <w:rFonts w:ascii="Times New Roman" w:hAnsi="Times New Roman" w:cs="Times New Roman"/>
          <w:color w:val="4D4D4D"/>
          <w:sz w:val="29"/>
          <w:szCs w:val="29"/>
        </w:rPr>
        <w:t xml:space="preserve"> One-Step RT-PCR Master Mix Reagent</w:t>
      </w:r>
      <w:r>
        <w:rPr>
          <w:rFonts w:ascii="Times New Roman" w:hAnsi="Times New Roman" w:cs="Times New Roman"/>
          <w:color w:val="4D4D4D"/>
          <w:sz w:val="29"/>
          <w:szCs w:val="29"/>
        </w:rPr>
        <w:t>，</w:t>
      </w:r>
      <w:r>
        <w:rPr>
          <w:rFonts w:ascii="Times New Roman" w:hAnsi="Times New Roman" w:cs="Times New Roman"/>
          <w:color w:val="4D4D4D"/>
          <w:sz w:val="29"/>
          <w:szCs w:val="29"/>
        </w:rPr>
        <w:t xml:space="preserve">Applied </w:t>
      </w:r>
      <w:proofErr w:type="spellStart"/>
      <w:r>
        <w:rPr>
          <w:rFonts w:ascii="Times New Roman" w:hAnsi="Times New Roman" w:cs="Times New Roman"/>
          <w:color w:val="4D4D4D"/>
          <w:sz w:val="29"/>
          <w:szCs w:val="29"/>
        </w:rPr>
        <w:t>Biosystems</w:t>
      </w:r>
      <w:proofErr w:type="spellEnd"/>
      <w:r>
        <w:rPr>
          <w:rFonts w:ascii="Times New Roman" w:hAnsi="Times New Roman" w:cs="Times New Roman"/>
          <w:color w:val="4D4D4D"/>
          <w:sz w:val="29"/>
          <w:szCs w:val="29"/>
        </w:rPr>
        <w:t>）和序列检测系统（</w:t>
      </w:r>
      <w:r>
        <w:rPr>
          <w:rFonts w:ascii="Times New Roman" w:hAnsi="Times New Roman" w:cs="Times New Roman"/>
          <w:color w:val="4D4D4D"/>
          <w:sz w:val="29"/>
          <w:szCs w:val="29"/>
        </w:rPr>
        <w:t>ABI Prism 7900HT</w:t>
      </w:r>
      <w:r>
        <w:rPr>
          <w:rFonts w:ascii="Times New Roman" w:hAnsi="Times New Roman" w:cs="Times New Roman"/>
          <w:color w:val="4D4D4D"/>
          <w:sz w:val="29"/>
          <w:szCs w:val="29"/>
        </w:rPr>
        <w:t>，</w:t>
      </w:r>
      <w:r>
        <w:rPr>
          <w:rFonts w:ascii="Times New Roman" w:hAnsi="Times New Roman" w:cs="Times New Roman"/>
          <w:color w:val="4D4D4D"/>
          <w:sz w:val="29"/>
          <w:szCs w:val="29"/>
        </w:rPr>
        <w:t xml:space="preserve">Applied </w:t>
      </w:r>
      <w:proofErr w:type="spellStart"/>
      <w:r>
        <w:rPr>
          <w:rFonts w:ascii="Times New Roman" w:hAnsi="Times New Roman" w:cs="Times New Roman"/>
          <w:color w:val="4D4D4D"/>
          <w:sz w:val="29"/>
          <w:szCs w:val="29"/>
        </w:rPr>
        <w:t>Biosystems</w:t>
      </w:r>
      <w:proofErr w:type="spellEnd"/>
      <w:r>
        <w:rPr>
          <w:rFonts w:ascii="Times New Roman" w:hAnsi="Times New Roman" w:cs="Times New Roman"/>
          <w:color w:val="4D4D4D"/>
          <w:sz w:val="29"/>
          <w:szCs w:val="29"/>
        </w:rPr>
        <w:t>）扩增转录物。使用序列检测器软件和相对定量方法（</w:t>
      </w:r>
      <w:r>
        <w:rPr>
          <w:rFonts w:ascii="Times New Roman" w:hAnsi="Times New Roman" w:cs="Times New Roman"/>
          <w:color w:val="4D4D4D"/>
          <w:sz w:val="29"/>
          <w:szCs w:val="29"/>
        </w:rPr>
        <w:t xml:space="preserve">Applied </w:t>
      </w:r>
      <w:proofErr w:type="spellStart"/>
      <w:r>
        <w:rPr>
          <w:rFonts w:ascii="Times New Roman" w:hAnsi="Times New Roman" w:cs="Times New Roman"/>
          <w:color w:val="4D4D4D"/>
          <w:sz w:val="29"/>
          <w:szCs w:val="29"/>
        </w:rPr>
        <w:t>Biosystems</w:t>
      </w:r>
      <w:proofErr w:type="spellEnd"/>
      <w:r>
        <w:rPr>
          <w:rFonts w:ascii="Times New Roman" w:hAnsi="Times New Roman" w:cs="Times New Roman"/>
          <w:color w:val="4D4D4D"/>
          <w:sz w:val="29"/>
          <w:szCs w:val="29"/>
        </w:rPr>
        <w:t>）定量基因表达与</w:t>
      </w:r>
      <w:r>
        <w:rPr>
          <w:rFonts w:ascii="inherit" w:hAnsi="inherit" w:cs="Times New Roman"/>
          <w:i/>
          <w:iCs/>
          <w:color w:val="4D4D4D"/>
          <w:sz w:val="29"/>
          <w:szCs w:val="29"/>
          <w:bdr w:val="none" w:sz="0" w:space="0" w:color="auto" w:frame="1"/>
        </w:rPr>
        <w:t>TBP</w:t>
      </w:r>
      <w:r>
        <w:rPr>
          <w:rFonts w:ascii="Times New Roman" w:hAnsi="Times New Roman" w:cs="Times New Roman"/>
          <w:color w:val="4D4D4D"/>
          <w:sz w:val="29"/>
          <w:szCs w:val="29"/>
        </w:rPr>
        <w:t>的表达相关（详情请参阅</w:t>
      </w:r>
      <w:hyperlink r:id="rId20" w:history="1">
        <w:r>
          <w:rPr>
            <w:rStyle w:val="a3"/>
            <w:rFonts w:ascii="Times New Roman" w:hAnsi="Times New Roman" w:cs="Times New Roman"/>
            <w:color w:val="0B4F82"/>
            <w:sz w:val="29"/>
            <w:szCs w:val="29"/>
          </w:rPr>
          <w:t>补充附录</w:t>
        </w:r>
      </w:hyperlink>
      <w:r>
        <w:rPr>
          <w:rFonts w:ascii="Times New Roman" w:hAnsi="Times New Roman" w:cs="Times New Roman"/>
          <w:color w:val="4D4D4D"/>
          <w:sz w:val="29"/>
          <w:szCs w:val="29"/>
        </w:rPr>
        <w:t>的方法部分，可在</w:t>
      </w:r>
      <w:r>
        <w:rPr>
          <w:rFonts w:ascii="Times New Roman" w:hAnsi="Times New Roman" w:cs="Times New Roman"/>
          <w:color w:val="4D4D4D"/>
          <w:sz w:val="29"/>
          <w:szCs w:val="29"/>
        </w:rPr>
        <w:t>www</w:t>
      </w:r>
      <w:r>
        <w:rPr>
          <w:rFonts w:ascii="Times New Roman" w:hAnsi="Times New Roman" w:cs="Times New Roman"/>
          <w:color w:val="4D4D4D"/>
          <w:sz w:val="29"/>
          <w:szCs w:val="29"/>
        </w:rPr>
        <w:t>的全文中找到）</w:t>
      </w:r>
      <w:r>
        <w:rPr>
          <w:rFonts w:ascii="Times New Roman" w:hAnsi="Times New Roman" w:cs="Times New Roman"/>
          <w:color w:val="4D4D4D"/>
          <w:sz w:val="29"/>
          <w:szCs w:val="29"/>
        </w:rPr>
        <w:t xml:space="preserve"> .nejm.org</w:t>
      </w:r>
      <w:r>
        <w:rPr>
          <w:rFonts w:ascii="Times New Roman" w:hAnsi="Times New Roman" w:cs="Times New Roman"/>
          <w:color w:val="4D4D4D"/>
          <w:sz w:val="29"/>
          <w:szCs w:val="29"/>
        </w:rPr>
        <w:t>）。我们选择了</w:t>
      </w:r>
      <w:r>
        <w:rPr>
          <w:rFonts w:ascii="inherit" w:hAnsi="inherit" w:cs="Times New Roman"/>
          <w:i/>
          <w:iCs/>
          <w:color w:val="4D4D4D"/>
          <w:sz w:val="29"/>
          <w:szCs w:val="29"/>
          <w:bdr w:val="none" w:sz="0" w:space="0" w:color="auto" w:frame="1"/>
        </w:rPr>
        <w:t>TBP</w:t>
      </w:r>
      <w:r>
        <w:rPr>
          <w:rFonts w:ascii="Times New Roman" w:hAnsi="Times New Roman" w:cs="Times New Roman"/>
          <w:color w:val="4D4D4D"/>
          <w:sz w:val="29"/>
          <w:szCs w:val="29"/>
        </w:rPr>
        <w:t>作为实时</w:t>
      </w:r>
      <w:r>
        <w:rPr>
          <w:rFonts w:ascii="Times New Roman" w:hAnsi="Times New Roman" w:cs="Times New Roman"/>
          <w:color w:val="4D4D4D"/>
          <w:sz w:val="29"/>
          <w:szCs w:val="29"/>
        </w:rPr>
        <w:t>RT-PCR</w:t>
      </w:r>
      <w:r>
        <w:rPr>
          <w:rFonts w:ascii="Times New Roman" w:hAnsi="Times New Roman" w:cs="Times New Roman"/>
          <w:color w:val="4D4D4D"/>
          <w:sz w:val="29"/>
          <w:szCs w:val="29"/>
        </w:rPr>
        <w:t>的内部对照，因为它在临床癌症标本中是不变的。</w:t>
      </w:r>
      <w:hyperlink r:id="rId21" w:history="1">
        <w:r>
          <w:rPr>
            <w:rStyle w:val="a3"/>
            <w:rFonts w:ascii="inherit" w:hAnsi="inherit" w:cs="Times New Roman"/>
            <w:color w:val="0B4F82"/>
            <w:sz w:val="22"/>
            <w:szCs w:val="22"/>
            <w:bdr w:val="none" w:sz="0" w:space="0" w:color="auto" w:frame="1"/>
            <w:vertAlign w:val="superscript"/>
          </w:rPr>
          <w:t>23</w:t>
        </w:r>
      </w:hyperlink>
    </w:p>
    <w:p w:rsidR="00A92D7F" w:rsidRDefault="00A92D7F" w:rsidP="00A92D7F">
      <w:pPr>
        <w:pStyle w:val="2"/>
        <w:spacing w:before="300" w:after="0" w:line="420" w:lineRule="atLeast"/>
        <w:textAlignment w:val="baseline"/>
        <w:rPr>
          <w:rFonts w:ascii="Helvetica" w:hAnsi="Helvetica" w:cs="Helvetica"/>
          <w:caps/>
          <w:color w:val="1A1A1A"/>
          <w:spacing w:val="29"/>
          <w:sz w:val="20"/>
          <w:szCs w:val="20"/>
        </w:rPr>
      </w:pPr>
      <w:r>
        <w:rPr>
          <w:rFonts w:ascii="Helvetica" w:hAnsi="Helvetica" w:cs="Helvetica"/>
          <w:caps/>
          <w:color w:val="1A1A1A"/>
          <w:spacing w:val="29"/>
          <w:sz w:val="20"/>
          <w:szCs w:val="20"/>
        </w:rPr>
        <w:t>统计分析</w:t>
      </w:r>
    </w:p>
    <w:p w:rsidR="00A92D7F" w:rsidRDefault="00A92D7F" w:rsidP="00A92D7F">
      <w:pPr>
        <w:pStyle w:val="f-body"/>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将</w:t>
      </w:r>
      <w:r>
        <w:rPr>
          <w:rFonts w:ascii="Times New Roman" w:hAnsi="Times New Roman" w:cs="Times New Roman"/>
          <w:color w:val="4D4D4D"/>
          <w:sz w:val="29"/>
          <w:szCs w:val="29"/>
        </w:rPr>
        <w:t>125</w:t>
      </w:r>
      <w:r>
        <w:rPr>
          <w:rFonts w:ascii="Times New Roman" w:hAnsi="Times New Roman" w:cs="Times New Roman"/>
          <w:color w:val="4D4D4D"/>
          <w:sz w:val="29"/>
          <w:szCs w:val="29"/>
        </w:rPr>
        <w:t>个样本随机分配到训练集或测试集（参见</w:t>
      </w:r>
      <w:hyperlink r:id="rId22" w:history="1">
        <w:r>
          <w:rPr>
            <w:rStyle w:val="a3"/>
            <w:rFonts w:ascii="Times New Roman" w:hAnsi="Times New Roman" w:cs="Times New Roman"/>
            <w:color w:val="0B4F82"/>
            <w:sz w:val="29"/>
            <w:szCs w:val="29"/>
          </w:rPr>
          <w:t>补充附录的</w:t>
        </w:r>
      </w:hyperlink>
      <w:r>
        <w:rPr>
          <w:rFonts w:ascii="Times New Roman" w:hAnsi="Times New Roman" w:cs="Times New Roman"/>
          <w:color w:val="4D4D4D"/>
          <w:sz w:val="29"/>
          <w:szCs w:val="29"/>
        </w:rPr>
        <w:t>表</w:t>
      </w:r>
      <w:r>
        <w:rPr>
          <w:rFonts w:ascii="Times New Roman" w:hAnsi="Times New Roman" w:cs="Times New Roman"/>
          <w:color w:val="4D4D4D"/>
          <w:sz w:val="29"/>
          <w:szCs w:val="29"/>
        </w:rPr>
        <w:t>1 </w:t>
      </w:r>
      <w:r>
        <w:rPr>
          <w:rFonts w:ascii="Times New Roman" w:hAnsi="Times New Roman" w:cs="Times New Roman"/>
          <w:color w:val="4D4D4D"/>
          <w:sz w:val="29"/>
          <w:szCs w:val="29"/>
        </w:rPr>
        <w:t>）。评估微阵列中每个基因的平均强度。为了减少微阵列之间的变化，通过分位数归一化方法重新调整每个微阵列中样品的强度值。</w:t>
      </w:r>
      <w:hyperlink r:id="rId23" w:history="1">
        <w:r>
          <w:rPr>
            <w:rStyle w:val="a3"/>
            <w:rFonts w:ascii="inherit" w:hAnsi="inherit" w:cs="Times New Roman"/>
            <w:color w:val="0B4F82"/>
            <w:sz w:val="22"/>
            <w:szCs w:val="22"/>
            <w:bdr w:val="none" w:sz="0" w:space="0" w:color="auto" w:frame="1"/>
            <w:vertAlign w:val="superscript"/>
          </w:rPr>
          <w:t>24</w:t>
        </w:r>
      </w:hyperlink>
      <w:r>
        <w:rPr>
          <w:rFonts w:ascii="Times New Roman" w:hAnsi="Times New Roman" w:cs="Times New Roman"/>
          <w:color w:val="4D4D4D"/>
          <w:sz w:val="29"/>
          <w:szCs w:val="29"/>
        </w:rPr>
        <w:t>为了减少背景噪音，小于</w:t>
      </w:r>
      <w:r>
        <w:rPr>
          <w:rFonts w:ascii="Times New Roman" w:hAnsi="Times New Roman" w:cs="Times New Roman"/>
          <w:color w:val="4D4D4D"/>
          <w:sz w:val="29"/>
          <w:szCs w:val="29"/>
        </w:rPr>
        <w:t>3000</w:t>
      </w:r>
      <w:r>
        <w:rPr>
          <w:rFonts w:ascii="Times New Roman" w:hAnsi="Times New Roman" w:cs="Times New Roman"/>
          <w:color w:val="4D4D4D"/>
          <w:sz w:val="29"/>
          <w:szCs w:val="29"/>
        </w:rPr>
        <w:t>的背景的强度值被分配的</w:t>
      </w:r>
      <w:r>
        <w:rPr>
          <w:rFonts w:ascii="Times New Roman" w:hAnsi="Times New Roman" w:cs="Times New Roman"/>
          <w:color w:val="4D4D4D"/>
          <w:sz w:val="29"/>
          <w:szCs w:val="29"/>
        </w:rPr>
        <w:t>3000</w:t>
      </w:r>
      <w:r>
        <w:rPr>
          <w:rFonts w:ascii="Times New Roman" w:hAnsi="Times New Roman" w:cs="Times New Roman"/>
          <w:color w:val="4D4D4D"/>
          <w:sz w:val="29"/>
          <w:szCs w:val="29"/>
        </w:rPr>
        <w:t>值</w:t>
      </w:r>
      <w:r>
        <w:rPr>
          <w:rFonts w:ascii="inherit" w:hAnsi="inherit" w:cs="Times New Roman" w:hint="eastAsia"/>
          <w:color w:val="4D4D4D"/>
          <w:sz w:val="22"/>
          <w:szCs w:val="22"/>
          <w:bdr w:val="none" w:sz="0" w:space="0" w:color="auto" w:frame="1"/>
          <w:vertAlign w:val="superscript"/>
        </w:rPr>
        <w:fldChar w:fldCharType="begin"/>
      </w:r>
      <w:r>
        <w:rPr>
          <w:rFonts w:ascii="inherit" w:hAnsi="inherit" w:cs="Times New Roman" w:hint="eastAsia"/>
          <w:color w:val="4D4D4D"/>
          <w:sz w:val="22"/>
          <w:szCs w:val="22"/>
          <w:bdr w:val="none" w:sz="0" w:space="0" w:color="auto" w:frame="1"/>
          <w:vertAlign w:val="superscript"/>
        </w:rPr>
        <w:instrText xml:space="preserve"> HYPERLINK "https://www.nejm.org/doi/full/10.1056/NEJMoa060096" </w:instrText>
      </w:r>
      <w:r>
        <w:rPr>
          <w:rFonts w:ascii="inherit" w:hAnsi="inherit" w:cs="Times New Roman" w:hint="eastAsia"/>
          <w:color w:val="4D4D4D"/>
          <w:sz w:val="22"/>
          <w:szCs w:val="22"/>
          <w:bdr w:val="none" w:sz="0" w:space="0" w:color="auto" w:frame="1"/>
          <w:vertAlign w:val="superscript"/>
        </w:rPr>
        <w:fldChar w:fldCharType="separate"/>
      </w:r>
      <w:r>
        <w:rPr>
          <w:rStyle w:val="a3"/>
          <w:rFonts w:ascii="inherit" w:hAnsi="inherit" w:cs="Times New Roman"/>
          <w:color w:val="0B4F82"/>
          <w:sz w:val="22"/>
          <w:szCs w:val="22"/>
          <w:bdr w:val="none" w:sz="0" w:space="0" w:color="auto" w:frame="1"/>
          <w:vertAlign w:val="superscript"/>
        </w:rPr>
        <w:t>22</w:t>
      </w:r>
      <w:r>
        <w:rPr>
          <w:rFonts w:ascii="inherit" w:hAnsi="inherit" w:cs="Times New Roman" w:hint="eastAsia"/>
          <w:color w:val="4D4D4D"/>
          <w:sz w:val="22"/>
          <w:szCs w:val="22"/>
          <w:bdr w:val="none" w:sz="0" w:space="0" w:color="auto" w:frame="1"/>
          <w:vertAlign w:val="superscript"/>
        </w:rPr>
        <w:fldChar w:fldCharType="end"/>
      </w:r>
      <w:r>
        <w:rPr>
          <w:rFonts w:ascii="Times New Roman" w:hAnsi="Times New Roman" w:cs="Times New Roman"/>
          <w:color w:val="4D4D4D"/>
          <w:sz w:val="29"/>
          <w:szCs w:val="29"/>
        </w:rPr>
        <w:t>然后将每个强度值对数转换为基数</w:t>
      </w:r>
      <w:r>
        <w:rPr>
          <w:rFonts w:ascii="Times New Roman" w:hAnsi="Times New Roman" w:cs="Times New Roman"/>
          <w:color w:val="4D4D4D"/>
          <w:sz w:val="29"/>
          <w:szCs w:val="29"/>
        </w:rPr>
        <w:t>2</w:t>
      </w:r>
      <w:r>
        <w:rPr>
          <w:rFonts w:ascii="Times New Roman" w:hAnsi="Times New Roman" w:cs="Times New Roman"/>
          <w:color w:val="4D4D4D"/>
          <w:sz w:val="29"/>
          <w:szCs w:val="29"/>
        </w:rPr>
        <w:t>标度。变异系数小于</w:t>
      </w:r>
      <w:r>
        <w:rPr>
          <w:rFonts w:ascii="Times New Roman" w:hAnsi="Times New Roman" w:cs="Times New Roman"/>
          <w:color w:val="4D4D4D"/>
          <w:sz w:val="29"/>
          <w:szCs w:val="29"/>
        </w:rPr>
        <w:t>3</w:t>
      </w:r>
      <w:r>
        <w:rPr>
          <w:rFonts w:ascii="Times New Roman" w:hAnsi="Times New Roman" w:cs="Times New Roman"/>
          <w:color w:val="4D4D4D"/>
          <w:sz w:val="29"/>
          <w:szCs w:val="29"/>
        </w:rPr>
        <w:t>％的基因被排除在进一步分析之外。最后，根据</w:t>
      </w:r>
      <w:r>
        <w:rPr>
          <w:rFonts w:ascii="Times New Roman" w:hAnsi="Times New Roman" w:cs="Times New Roman"/>
          <w:color w:val="4D4D4D"/>
          <w:sz w:val="29"/>
          <w:szCs w:val="29"/>
        </w:rPr>
        <w:t>125</w:t>
      </w:r>
      <w:r>
        <w:rPr>
          <w:rFonts w:ascii="Times New Roman" w:hAnsi="Times New Roman" w:cs="Times New Roman"/>
          <w:color w:val="4D4D4D"/>
          <w:sz w:val="29"/>
          <w:szCs w:val="29"/>
        </w:rPr>
        <w:t>名患者中</w:t>
      </w:r>
      <w:r>
        <w:rPr>
          <w:rFonts w:ascii="Times New Roman" w:hAnsi="Times New Roman" w:cs="Times New Roman"/>
          <w:color w:val="4D4D4D"/>
          <w:sz w:val="29"/>
          <w:szCs w:val="29"/>
        </w:rPr>
        <w:t>485</w:t>
      </w:r>
      <w:r>
        <w:rPr>
          <w:rFonts w:ascii="Times New Roman" w:hAnsi="Times New Roman" w:cs="Times New Roman"/>
          <w:color w:val="4D4D4D"/>
          <w:sz w:val="29"/>
          <w:szCs w:val="29"/>
        </w:rPr>
        <w:t>基因中基因表达水平的排序（</w:t>
      </w:r>
      <w:r>
        <w:rPr>
          <w:rFonts w:ascii="Times New Roman" w:hAnsi="Times New Roman" w:cs="Times New Roman"/>
          <w:color w:val="4D4D4D"/>
          <w:sz w:val="29"/>
          <w:szCs w:val="29"/>
        </w:rPr>
        <w:t>60,625</w:t>
      </w:r>
      <w:r>
        <w:rPr>
          <w:rFonts w:ascii="Times New Roman" w:hAnsi="Times New Roman" w:cs="Times New Roman"/>
          <w:color w:val="4D4D4D"/>
          <w:sz w:val="29"/>
          <w:szCs w:val="29"/>
        </w:rPr>
        <w:t>个观察结果），将基因表达强度值转换为序数编码值。强度值编码为</w:t>
      </w:r>
      <w:r>
        <w:rPr>
          <w:rFonts w:ascii="Times New Roman" w:hAnsi="Times New Roman" w:cs="Times New Roman"/>
          <w:color w:val="4D4D4D"/>
          <w:sz w:val="29"/>
          <w:szCs w:val="29"/>
        </w:rPr>
        <w:t>1</w:t>
      </w:r>
      <w:r>
        <w:rPr>
          <w:rFonts w:ascii="Times New Roman" w:hAnsi="Times New Roman" w:cs="Times New Roman"/>
          <w:color w:val="4D4D4D"/>
          <w:sz w:val="29"/>
          <w:szCs w:val="29"/>
        </w:rPr>
        <w:t>，表达水平排在总基因表达的</w:t>
      </w:r>
      <w:r>
        <w:rPr>
          <w:rFonts w:ascii="Times New Roman" w:hAnsi="Times New Roman" w:cs="Times New Roman"/>
          <w:color w:val="4D4D4D"/>
          <w:sz w:val="29"/>
          <w:szCs w:val="29"/>
        </w:rPr>
        <w:t>25</w:t>
      </w:r>
      <w:r>
        <w:rPr>
          <w:rFonts w:ascii="Times New Roman" w:hAnsi="Times New Roman" w:cs="Times New Roman"/>
          <w:color w:val="4D4D4D"/>
          <w:sz w:val="29"/>
          <w:szCs w:val="29"/>
        </w:rPr>
        <w:t>％或以下，</w:t>
      </w:r>
      <w:r>
        <w:rPr>
          <w:rFonts w:ascii="Times New Roman" w:hAnsi="Times New Roman" w:cs="Times New Roman"/>
          <w:color w:val="4D4D4D"/>
          <w:sz w:val="29"/>
          <w:szCs w:val="29"/>
        </w:rPr>
        <w:t>2</w:t>
      </w:r>
      <w:r>
        <w:rPr>
          <w:rFonts w:ascii="Times New Roman" w:hAnsi="Times New Roman" w:cs="Times New Roman"/>
          <w:color w:val="4D4D4D"/>
          <w:sz w:val="29"/>
          <w:szCs w:val="29"/>
        </w:rPr>
        <w:t>表示高于</w:t>
      </w:r>
      <w:r>
        <w:rPr>
          <w:rFonts w:ascii="Times New Roman" w:hAnsi="Times New Roman" w:cs="Times New Roman"/>
          <w:color w:val="4D4D4D"/>
          <w:sz w:val="29"/>
          <w:szCs w:val="29"/>
        </w:rPr>
        <w:t>25</w:t>
      </w:r>
      <w:r>
        <w:rPr>
          <w:rFonts w:ascii="Times New Roman" w:hAnsi="Times New Roman" w:cs="Times New Roman"/>
          <w:color w:val="4D4D4D"/>
          <w:sz w:val="29"/>
          <w:szCs w:val="29"/>
        </w:rPr>
        <w:t>和</w:t>
      </w:r>
      <w:r>
        <w:rPr>
          <w:rFonts w:ascii="Times New Roman" w:hAnsi="Times New Roman" w:cs="Times New Roman"/>
          <w:color w:val="4D4D4D"/>
          <w:sz w:val="29"/>
          <w:szCs w:val="29"/>
        </w:rPr>
        <w:t>50</w:t>
      </w:r>
      <w:r>
        <w:rPr>
          <w:rFonts w:ascii="Times New Roman" w:hAnsi="Times New Roman" w:cs="Times New Roman"/>
          <w:color w:val="4D4D4D"/>
          <w:sz w:val="29"/>
          <w:szCs w:val="29"/>
        </w:rPr>
        <w:t>或低于</w:t>
      </w:r>
      <w:r>
        <w:rPr>
          <w:rFonts w:ascii="Times New Roman" w:hAnsi="Times New Roman" w:cs="Times New Roman"/>
          <w:color w:val="4D4D4D"/>
          <w:sz w:val="29"/>
          <w:szCs w:val="29"/>
        </w:rPr>
        <w:t>50</w:t>
      </w:r>
      <w:r>
        <w:rPr>
          <w:rFonts w:ascii="Times New Roman" w:hAnsi="Times New Roman" w:cs="Times New Roman"/>
          <w:color w:val="4D4D4D"/>
          <w:sz w:val="29"/>
          <w:szCs w:val="29"/>
        </w:rPr>
        <w:t>百分位数，</w:t>
      </w:r>
      <w:r>
        <w:rPr>
          <w:rFonts w:ascii="Times New Roman" w:hAnsi="Times New Roman" w:cs="Times New Roman"/>
          <w:color w:val="4D4D4D"/>
          <w:sz w:val="29"/>
          <w:szCs w:val="29"/>
        </w:rPr>
        <w:t>3</w:t>
      </w:r>
      <w:r>
        <w:rPr>
          <w:rFonts w:ascii="Times New Roman" w:hAnsi="Times New Roman" w:cs="Times New Roman"/>
          <w:color w:val="4D4D4D"/>
          <w:sz w:val="29"/>
          <w:szCs w:val="29"/>
        </w:rPr>
        <w:t>表示高于</w:t>
      </w:r>
      <w:r>
        <w:rPr>
          <w:rFonts w:ascii="Times New Roman" w:hAnsi="Times New Roman" w:cs="Times New Roman"/>
          <w:color w:val="4D4D4D"/>
          <w:sz w:val="29"/>
          <w:szCs w:val="29"/>
        </w:rPr>
        <w:t>50</w:t>
      </w:r>
      <w:r>
        <w:rPr>
          <w:rFonts w:ascii="Times New Roman" w:hAnsi="Times New Roman" w:cs="Times New Roman"/>
          <w:color w:val="4D4D4D"/>
          <w:sz w:val="29"/>
          <w:szCs w:val="29"/>
        </w:rPr>
        <w:t>和</w:t>
      </w:r>
      <w:r>
        <w:rPr>
          <w:rFonts w:ascii="Times New Roman" w:hAnsi="Times New Roman" w:cs="Times New Roman"/>
          <w:color w:val="4D4D4D"/>
          <w:sz w:val="29"/>
          <w:szCs w:val="29"/>
        </w:rPr>
        <w:t>75</w:t>
      </w:r>
      <w:r>
        <w:rPr>
          <w:rFonts w:ascii="Times New Roman" w:hAnsi="Times New Roman" w:cs="Times New Roman"/>
          <w:color w:val="4D4D4D"/>
          <w:sz w:val="29"/>
          <w:szCs w:val="29"/>
        </w:rPr>
        <w:t>或低于</w:t>
      </w:r>
      <w:r>
        <w:rPr>
          <w:rFonts w:ascii="Times New Roman" w:hAnsi="Times New Roman" w:cs="Times New Roman"/>
          <w:color w:val="4D4D4D"/>
          <w:sz w:val="29"/>
          <w:szCs w:val="29"/>
        </w:rPr>
        <w:t>75</w:t>
      </w:r>
      <w:r>
        <w:rPr>
          <w:rFonts w:ascii="Times New Roman" w:hAnsi="Times New Roman" w:cs="Times New Roman"/>
          <w:color w:val="4D4D4D"/>
          <w:sz w:val="29"/>
          <w:szCs w:val="29"/>
        </w:rPr>
        <w:t>百分位数，以及高于第</w:t>
      </w:r>
      <w:r>
        <w:rPr>
          <w:rFonts w:ascii="Times New Roman" w:hAnsi="Times New Roman" w:cs="Times New Roman"/>
          <w:color w:val="4D4D4D"/>
          <w:sz w:val="29"/>
          <w:szCs w:val="29"/>
        </w:rPr>
        <w:t>75</w:t>
      </w:r>
      <w:r>
        <w:rPr>
          <w:rFonts w:ascii="Times New Roman" w:hAnsi="Times New Roman" w:cs="Times New Roman"/>
          <w:color w:val="4D4D4D"/>
          <w:sz w:val="29"/>
          <w:szCs w:val="29"/>
        </w:rPr>
        <w:t>百分位数的</w:t>
      </w:r>
      <w:r>
        <w:rPr>
          <w:rFonts w:ascii="Times New Roman" w:hAnsi="Times New Roman" w:cs="Times New Roman"/>
          <w:color w:val="4D4D4D"/>
          <w:sz w:val="29"/>
          <w:szCs w:val="29"/>
        </w:rPr>
        <w:t>4</w:t>
      </w:r>
      <w:r>
        <w:rPr>
          <w:rFonts w:ascii="Times New Roman" w:hAnsi="Times New Roman" w:cs="Times New Roman"/>
          <w:color w:val="4D4D4D"/>
          <w:sz w:val="29"/>
          <w:szCs w:val="29"/>
        </w:rPr>
        <w:t>。</w:t>
      </w:r>
    </w:p>
    <w:p w:rsidR="00A92D7F" w:rsidRDefault="00A92D7F" w:rsidP="00A92D7F">
      <w:pPr>
        <w:pStyle w:val="f-body"/>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lastRenderedPageBreak/>
        <w:t>单因素</w:t>
      </w:r>
      <w:r>
        <w:rPr>
          <w:rFonts w:ascii="Times New Roman" w:hAnsi="Times New Roman" w:cs="Times New Roman"/>
          <w:color w:val="4D4D4D"/>
          <w:sz w:val="29"/>
          <w:szCs w:val="29"/>
        </w:rPr>
        <w:t>Cox</w:t>
      </w:r>
      <w:r>
        <w:rPr>
          <w:rFonts w:ascii="Times New Roman" w:hAnsi="Times New Roman" w:cs="Times New Roman"/>
          <w:color w:val="4D4D4D"/>
          <w:sz w:val="29"/>
          <w:szCs w:val="29"/>
        </w:rPr>
        <w:t>回归分析的危险比用于确定哪些基因与癌症的任何原因或复发有关。保护性基因定义为与死亡风险比小于</w:t>
      </w:r>
      <w:r>
        <w:rPr>
          <w:rFonts w:ascii="Times New Roman" w:hAnsi="Times New Roman" w:cs="Times New Roman"/>
          <w:color w:val="4D4D4D"/>
          <w:sz w:val="29"/>
          <w:szCs w:val="29"/>
        </w:rPr>
        <w:t>1</w:t>
      </w:r>
      <w:r>
        <w:rPr>
          <w:rFonts w:ascii="Times New Roman" w:hAnsi="Times New Roman" w:cs="Times New Roman"/>
          <w:color w:val="4D4D4D"/>
          <w:sz w:val="29"/>
          <w:szCs w:val="29"/>
        </w:rPr>
        <w:t>相关的基因</w:t>
      </w:r>
      <w:r>
        <w:rPr>
          <w:rFonts w:ascii="Times New Roman" w:hAnsi="Times New Roman" w:cs="Times New Roman"/>
          <w:color w:val="4D4D4D"/>
          <w:sz w:val="29"/>
          <w:szCs w:val="29"/>
        </w:rPr>
        <w:t>; </w:t>
      </w:r>
      <w:r>
        <w:rPr>
          <w:rFonts w:ascii="Times New Roman" w:hAnsi="Times New Roman" w:cs="Times New Roman"/>
          <w:color w:val="4D4D4D"/>
          <w:sz w:val="29"/>
          <w:szCs w:val="29"/>
        </w:rPr>
        <w:t>风险基因定义为与死亡风险比相关的风险基因超过</w:t>
      </w:r>
      <w:r>
        <w:rPr>
          <w:rFonts w:ascii="Times New Roman" w:hAnsi="Times New Roman" w:cs="Times New Roman"/>
          <w:color w:val="4D4D4D"/>
          <w:sz w:val="29"/>
          <w:szCs w:val="29"/>
        </w:rPr>
        <w:t>1.</w:t>
      </w:r>
      <w:r>
        <w:rPr>
          <w:rFonts w:ascii="Times New Roman" w:hAnsi="Times New Roman" w:cs="Times New Roman"/>
          <w:color w:val="4D4D4D"/>
          <w:sz w:val="29"/>
          <w:szCs w:val="29"/>
        </w:rPr>
        <w:t>我们使用单变量</w:t>
      </w:r>
      <w:r>
        <w:rPr>
          <w:rFonts w:ascii="Times New Roman" w:hAnsi="Times New Roman" w:cs="Times New Roman"/>
          <w:color w:val="4D4D4D"/>
          <w:sz w:val="29"/>
          <w:szCs w:val="29"/>
        </w:rPr>
        <w:t>Cox</w:t>
      </w:r>
      <w:r>
        <w:rPr>
          <w:rFonts w:ascii="Times New Roman" w:hAnsi="Times New Roman" w:cs="Times New Roman"/>
          <w:color w:val="4D4D4D"/>
          <w:sz w:val="29"/>
          <w:szCs w:val="29"/>
        </w:rPr>
        <w:t>比例风险回归分析来评估生存与微阵列分析中每个基因表达水平之间的关联。</w:t>
      </w:r>
      <w:hyperlink r:id="rId24" w:history="1">
        <w:r>
          <w:rPr>
            <w:rStyle w:val="a3"/>
            <w:rFonts w:ascii="inherit" w:hAnsi="inherit" w:cs="Times New Roman"/>
            <w:color w:val="0B4F82"/>
            <w:sz w:val="22"/>
            <w:szCs w:val="22"/>
            <w:bdr w:val="none" w:sz="0" w:space="0" w:color="auto" w:frame="1"/>
            <w:vertAlign w:val="superscript"/>
          </w:rPr>
          <w:t>25</w:t>
        </w:r>
      </w:hyperlink>
      <w:r>
        <w:rPr>
          <w:rFonts w:ascii="Times New Roman" w:hAnsi="Times New Roman" w:cs="Times New Roman"/>
          <w:color w:val="4D4D4D"/>
          <w:sz w:val="29"/>
          <w:szCs w:val="29"/>
        </w:rPr>
        <w:t>对于已经显著与存活相关的基因，我们所用的基因表达编码由回归系数加权来计算风险分数为每个病人的值的线性组合。</w:t>
      </w:r>
      <w:hyperlink r:id="rId25" w:history="1">
        <w:r>
          <w:rPr>
            <w:rStyle w:val="a3"/>
            <w:rFonts w:ascii="inherit" w:hAnsi="inherit" w:cs="Times New Roman"/>
            <w:color w:val="0B4F82"/>
            <w:sz w:val="22"/>
            <w:szCs w:val="22"/>
            <w:bdr w:val="none" w:sz="0" w:space="0" w:color="auto" w:frame="1"/>
            <w:vertAlign w:val="superscript"/>
          </w:rPr>
          <w:t>6,10</w:t>
        </w:r>
      </w:hyperlink>
    </w:p>
    <w:p w:rsidR="00A92D7F" w:rsidRDefault="00A92D7F" w:rsidP="00A92D7F">
      <w:pPr>
        <w:pStyle w:val="3"/>
        <w:spacing w:before="0" w:after="0" w:line="420" w:lineRule="atLeast"/>
        <w:textAlignment w:val="baseline"/>
        <w:rPr>
          <w:rFonts w:ascii="Times New Roman" w:hAnsi="Times New Roman" w:cs="Times New Roman"/>
          <w:color w:val="1A1A1A"/>
          <w:sz w:val="29"/>
          <w:szCs w:val="29"/>
        </w:rPr>
      </w:pPr>
      <w:r>
        <w:rPr>
          <w:rFonts w:ascii="inherit" w:hAnsi="inherit" w:cs="Times New Roman"/>
          <w:i/>
          <w:iCs/>
          <w:color w:val="1A1A1A"/>
          <w:sz w:val="29"/>
          <w:szCs w:val="29"/>
          <w:bdr w:val="none" w:sz="0" w:space="0" w:color="auto" w:frame="1"/>
        </w:rPr>
        <w:t>16</w:t>
      </w:r>
      <w:r>
        <w:rPr>
          <w:rFonts w:ascii="inherit" w:hAnsi="inherit" w:cs="Times New Roman"/>
          <w:i/>
          <w:iCs/>
          <w:color w:val="1A1A1A"/>
          <w:sz w:val="29"/>
          <w:szCs w:val="29"/>
          <w:bdr w:val="none" w:sz="0" w:space="0" w:color="auto" w:frame="1"/>
        </w:rPr>
        <w:t>基因签名</w:t>
      </w:r>
    </w:p>
    <w:p w:rsidR="00A92D7F" w:rsidRDefault="00A92D7F" w:rsidP="00A92D7F">
      <w:pPr>
        <w:pStyle w:val="f-body"/>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计算</w:t>
      </w:r>
      <w:r>
        <w:rPr>
          <w:rFonts w:ascii="Times New Roman" w:hAnsi="Times New Roman" w:cs="Times New Roman"/>
          <w:color w:val="4D4D4D"/>
          <w:sz w:val="29"/>
          <w:szCs w:val="29"/>
        </w:rPr>
        <w:t>16</w:t>
      </w:r>
      <w:r>
        <w:rPr>
          <w:rFonts w:ascii="Times New Roman" w:hAnsi="Times New Roman" w:cs="Times New Roman"/>
          <w:color w:val="4D4D4D"/>
          <w:sz w:val="29"/>
          <w:szCs w:val="29"/>
        </w:rPr>
        <w:t>个基因的风险评分。患者的风险评分计算为每个基因的表达水平之和，通过微阵列分析测量，乘以相应的回归系数（参见</w:t>
      </w:r>
      <w:hyperlink r:id="rId26" w:history="1">
        <w:r>
          <w:rPr>
            <w:rStyle w:val="a3"/>
            <w:rFonts w:ascii="Times New Roman" w:hAnsi="Times New Roman" w:cs="Times New Roman"/>
            <w:color w:val="0B4F82"/>
            <w:sz w:val="29"/>
            <w:szCs w:val="29"/>
          </w:rPr>
          <w:t>补充附录</w:t>
        </w:r>
      </w:hyperlink>
      <w:r>
        <w:rPr>
          <w:rFonts w:ascii="Times New Roman" w:hAnsi="Times New Roman" w:cs="Times New Roman"/>
          <w:color w:val="4D4D4D"/>
          <w:sz w:val="29"/>
          <w:szCs w:val="29"/>
        </w:rPr>
        <w:t>的方法部分）。患者被分类为具有高风险基因特征或低风险基因特征，风险评分的第</w:t>
      </w:r>
      <w:r>
        <w:rPr>
          <w:rFonts w:ascii="Times New Roman" w:hAnsi="Times New Roman" w:cs="Times New Roman"/>
          <w:color w:val="4D4D4D"/>
          <w:sz w:val="29"/>
          <w:szCs w:val="29"/>
        </w:rPr>
        <w:t>50</w:t>
      </w:r>
      <w:r>
        <w:rPr>
          <w:rFonts w:ascii="Times New Roman" w:hAnsi="Times New Roman" w:cs="Times New Roman"/>
          <w:color w:val="4D4D4D"/>
          <w:sz w:val="29"/>
          <w:szCs w:val="29"/>
        </w:rPr>
        <w:t>百分位数（中位数）为阈值（中位数，</w:t>
      </w:r>
      <w:r>
        <w:rPr>
          <w:rFonts w:ascii="Times New Roman" w:hAnsi="Times New Roman" w:cs="Times New Roman"/>
          <w:color w:val="4D4D4D"/>
          <w:sz w:val="29"/>
          <w:szCs w:val="29"/>
        </w:rPr>
        <w:t>4.9;</w:t>
      </w:r>
      <w:r>
        <w:rPr>
          <w:rFonts w:ascii="Times New Roman" w:hAnsi="Times New Roman" w:cs="Times New Roman"/>
          <w:color w:val="4D4D4D"/>
          <w:sz w:val="29"/>
          <w:szCs w:val="29"/>
        </w:rPr>
        <w:t>范围，</w:t>
      </w:r>
      <w:r>
        <w:rPr>
          <w:rFonts w:ascii="Times New Roman" w:hAnsi="Times New Roman" w:cs="Times New Roman"/>
          <w:color w:val="4D4D4D"/>
          <w:sz w:val="29"/>
          <w:szCs w:val="29"/>
        </w:rPr>
        <w:t>1.3</w:t>
      </w:r>
      <w:r>
        <w:rPr>
          <w:rFonts w:ascii="Times New Roman" w:hAnsi="Times New Roman" w:cs="Times New Roman"/>
          <w:color w:val="4D4D4D"/>
          <w:sz w:val="29"/>
          <w:szCs w:val="29"/>
        </w:rPr>
        <w:t>至</w:t>
      </w:r>
      <w:r>
        <w:rPr>
          <w:rFonts w:ascii="Times New Roman" w:hAnsi="Times New Roman" w:cs="Times New Roman"/>
          <w:color w:val="4D4D4D"/>
          <w:sz w:val="29"/>
          <w:szCs w:val="29"/>
        </w:rPr>
        <w:t>21.9</w:t>
      </w:r>
      <w:r>
        <w:rPr>
          <w:rFonts w:ascii="Times New Roman" w:hAnsi="Times New Roman" w:cs="Times New Roman"/>
          <w:color w:val="4D4D4D"/>
          <w:sz w:val="29"/>
          <w:szCs w:val="29"/>
        </w:rPr>
        <w:t>）。选择中位风险评分作为阈值，以反映近半数早期</w:t>
      </w:r>
      <w:r>
        <w:rPr>
          <w:rFonts w:ascii="Times New Roman" w:hAnsi="Times New Roman" w:cs="Times New Roman"/>
          <w:color w:val="4D4D4D"/>
          <w:sz w:val="29"/>
          <w:szCs w:val="29"/>
        </w:rPr>
        <w:t>NSCLC</w:t>
      </w:r>
      <w:r>
        <w:rPr>
          <w:rFonts w:ascii="Times New Roman" w:hAnsi="Times New Roman" w:cs="Times New Roman"/>
          <w:color w:val="4D4D4D"/>
          <w:sz w:val="29"/>
          <w:szCs w:val="29"/>
        </w:rPr>
        <w:t>患者在潜在治愈性手术后</w:t>
      </w:r>
      <w:r>
        <w:rPr>
          <w:rFonts w:ascii="Times New Roman" w:hAnsi="Times New Roman" w:cs="Times New Roman"/>
          <w:color w:val="4D4D4D"/>
          <w:sz w:val="29"/>
          <w:szCs w:val="29"/>
        </w:rPr>
        <w:t>5</w:t>
      </w:r>
      <w:r>
        <w:rPr>
          <w:rFonts w:ascii="Times New Roman" w:hAnsi="Times New Roman" w:cs="Times New Roman"/>
          <w:color w:val="4D4D4D"/>
          <w:sz w:val="29"/>
          <w:szCs w:val="29"/>
        </w:rPr>
        <w:t>年内复发的事实</w:t>
      </w:r>
      <w:hyperlink r:id="rId27" w:history="1">
        <w:r>
          <w:rPr>
            <w:rStyle w:val="a3"/>
            <w:rFonts w:ascii="inherit" w:hAnsi="inherit" w:cs="Times New Roman"/>
            <w:color w:val="0B4F82"/>
            <w:sz w:val="22"/>
            <w:szCs w:val="22"/>
            <w:bdr w:val="none" w:sz="0" w:space="0" w:color="auto" w:frame="1"/>
            <w:vertAlign w:val="superscript"/>
          </w:rPr>
          <w:t>2</w:t>
        </w:r>
      </w:hyperlink>
      <w:r>
        <w:rPr>
          <w:rFonts w:ascii="Times New Roman" w:hAnsi="Times New Roman" w:cs="Times New Roman"/>
          <w:color w:val="4D4D4D"/>
          <w:sz w:val="29"/>
          <w:szCs w:val="29"/>
        </w:rPr>
        <w:t>并且通过确保在高风险和低风险组中有相同数量的患者来消除训练队列中极端值的影响。来自训练组的风险评分和阈值未被重新估计，而是直接应用于测试组。</w:t>
      </w:r>
    </w:p>
    <w:p w:rsidR="00A92D7F" w:rsidRDefault="00A92D7F" w:rsidP="00A92D7F">
      <w:pPr>
        <w:pStyle w:val="3"/>
        <w:spacing w:before="0" w:after="0" w:line="420" w:lineRule="atLeast"/>
        <w:textAlignment w:val="baseline"/>
        <w:rPr>
          <w:rFonts w:ascii="Times New Roman" w:hAnsi="Times New Roman" w:cs="Times New Roman"/>
          <w:color w:val="1A1A1A"/>
          <w:sz w:val="29"/>
          <w:szCs w:val="29"/>
        </w:rPr>
      </w:pPr>
      <w:r>
        <w:rPr>
          <w:rFonts w:ascii="inherit" w:hAnsi="inherit" w:cs="Times New Roman"/>
          <w:i/>
          <w:iCs/>
          <w:color w:val="1A1A1A"/>
          <w:sz w:val="29"/>
          <w:szCs w:val="29"/>
          <w:bdr w:val="none" w:sz="0" w:space="0" w:color="auto" w:frame="1"/>
        </w:rPr>
        <w:t>五基因签名</w:t>
      </w:r>
    </w:p>
    <w:p w:rsidR="00A92D7F" w:rsidRDefault="00A92D7F" w:rsidP="00A92D7F">
      <w:pPr>
        <w:pStyle w:val="f-body"/>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通过</w:t>
      </w:r>
      <w:r>
        <w:rPr>
          <w:rFonts w:ascii="Times New Roman" w:hAnsi="Times New Roman" w:cs="Times New Roman"/>
          <w:color w:val="4D4D4D"/>
          <w:sz w:val="29"/>
          <w:szCs w:val="29"/>
        </w:rPr>
        <w:t>RT-PCR</w:t>
      </w:r>
      <w:r>
        <w:rPr>
          <w:rFonts w:ascii="Times New Roman" w:hAnsi="Times New Roman" w:cs="Times New Roman"/>
          <w:color w:val="4D4D4D"/>
          <w:sz w:val="29"/>
          <w:szCs w:val="29"/>
        </w:rPr>
        <w:t>确认</w:t>
      </w:r>
      <w:r>
        <w:rPr>
          <w:rFonts w:ascii="Times New Roman" w:hAnsi="Times New Roman" w:cs="Times New Roman"/>
          <w:color w:val="4D4D4D"/>
          <w:sz w:val="29"/>
          <w:szCs w:val="29"/>
        </w:rPr>
        <w:t>16</w:t>
      </w:r>
      <w:r>
        <w:rPr>
          <w:rFonts w:ascii="Times New Roman" w:hAnsi="Times New Roman" w:cs="Times New Roman"/>
          <w:color w:val="4D4D4D"/>
          <w:sz w:val="29"/>
          <w:szCs w:val="29"/>
        </w:rPr>
        <w:t>种基因的表达水平，并通过</w:t>
      </w:r>
      <w:r>
        <w:rPr>
          <w:rFonts w:ascii="Times New Roman" w:hAnsi="Times New Roman" w:cs="Times New Roman"/>
          <w:color w:val="4D4D4D"/>
          <w:sz w:val="29"/>
          <w:szCs w:val="29"/>
        </w:rPr>
        <w:t>Spearman</w:t>
      </w:r>
      <w:r>
        <w:rPr>
          <w:rFonts w:ascii="Times New Roman" w:hAnsi="Times New Roman" w:cs="Times New Roman"/>
          <w:color w:val="4D4D4D"/>
          <w:sz w:val="29"/>
          <w:szCs w:val="29"/>
        </w:rPr>
        <w:t>的秩相关性检验进行索引。</w:t>
      </w:r>
      <w:hyperlink r:id="rId28" w:history="1">
        <w:r>
          <w:rPr>
            <w:rStyle w:val="a3"/>
            <w:rFonts w:ascii="inherit" w:hAnsi="inherit" w:cs="Times New Roman"/>
            <w:color w:val="0B4F82"/>
            <w:sz w:val="22"/>
            <w:szCs w:val="22"/>
            <w:bdr w:val="none" w:sz="0" w:space="0" w:color="auto" w:frame="1"/>
            <w:vertAlign w:val="superscript"/>
          </w:rPr>
          <w:t>26</w:t>
        </w:r>
      </w:hyperlink>
      <w:r>
        <w:rPr>
          <w:rFonts w:ascii="Times New Roman" w:hAnsi="Times New Roman" w:cs="Times New Roman"/>
          <w:color w:val="4D4D4D"/>
          <w:sz w:val="29"/>
          <w:szCs w:val="29"/>
        </w:rPr>
        <w:t>这</w:t>
      </w:r>
      <w:r>
        <w:rPr>
          <w:rFonts w:ascii="Times New Roman" w:hAnsi="Times New Roman" w:cs="Times New Roman"/>
          <w:color w:val="4D4D4D"/>
          <w:sz w:val="29"/>
          <w:szCs w:val="29"/>
        </w:rPr>
        <w:t>16</w:t>
      </w:r>
      <w:r>
        <w:rPr>
          <w:rFonts w:ascii="Times New Roman" w:hAnsi="Times New Roman" w:cs="Times New Roman"/>
          <w:color w:val="4D4D4D"/>
          <w:sz w:val="29"/>
          <w:szCs w:val="29"/>
        </w:rPr>
        <w:t>个基因，我们进一步确定了将显著与生存相关的五个基因。通过</w:t>
      </w:r>
      <w:r>
        <w:rPr>
          <w:rFonts w:ascii="Times New Roman" w:hAnsi="Times New Roman" w:cs="Times New Roman"/>
          <w:color w:val="4D4D4D"/>
          <w:sz w:val="29"/>
          <w:szCs w:val="29"/>
        </w:rPr>
        <w:t>RT-PCR</w:t>
      </w:r>
      <w:r>
        <w:rPr>
          <w:rFonts w:ascii="Times New Roman" w:hAnsi="Times New Roman" w:cs="Times New Roman"/>
          <w:color w:val="4D4D4D"/>
          <w:sz w:val="29"/>
          <w:szCs w:val="29"/>
        </w:rPr>
        <w:t>测量的这五种基因的表达水平用于构建递归分区决策树。然后使用</w:t>
      </w:r>
      <w:hyperlink r:id="rId29" w:history="1">
        <w:r>
          <w:rPr>
            <w:rStyle w:val="a3"/>
            <w:rFonts w:ascii="inherit" w:hAnsi="inherit" w:cs="Times New Roman"/>
            <w:color w:val="0B4F82"/>
            <w:sz w:val="22"/>
            <w:szCs w:val="22"/>
            <w:bdr w:val="none" w:sz="0" w:space="0" w:color="auto" w:frame="1"/>
            <w:vertAlign w:val="superscript"/>
          </w:rPr>
          <w:t>27,28</w:t>
        </w:r>
      </w:hyperlink>
      <w:r>
        <w:rPr>
          <w:rFonts w:ascii="Times New Roman" w:hAnsi="Times New Roman" w:cs="Times New Roman"/>
          <w:color w:val="4D4D4D"/>
          <w:sz w:val="29"/>
          <w:szCs w:val="29"/>
        </w:rPr>
        <w:t> </w:t>
      </w:r>
      <w:proofErr w:type="spellStart"/>
      <w:r>
        <w:rPr>
          <w:rFonts w:ascii="Times New Roman" w:hAnsi="Times New Roman" w:cs="Times New Roman"/>
          <w:color w:val="4D4D4D"/>
          <w:sz w:val="29"/>
          <w:szCs w:val="29"/>
        </w:rPr>
        <w:t>Avadis</w:t>
      </w:r>
      <w:proofErr w:type="spellEnd"/>
      <w:r>
        <w:rPr>
          <w:rFonts w:ascii="Times New Roman" w:hAnsi="Times New Roman" w:cs="Times New Roman"/>
          <w:color w:val="4D4D4D"/>
          <w:sz w:val="29"/>
          <w:szCs w:val="29"/>
        </w:rPr>
        <w:t>软件</w:t>
      </w:r>
      <w:hyperlink r:id="rId30" w:history="1">
        <w:r>
          <w:rPr>
            <w:rStyle w:val="a3"/>
            <w:rFonts w:ascii="inherit" w:hAnsi="inherit" w:cs="Times New Roman"/>
            <w:color w:val="0B4F82"/>
            <w:sz w:val="22"/>
            <w:szCs w:val="22"/>
            <w:bdr w:val="none" w:sz="0" w:space="0" w:color="auto" w:frame="1"/>
            <w:vertAlign w:val="superscript"/>
          </w:rPr>
          <w:t>29,30</w:t>
        </w:r>
      </w:hyperlink>
      <w:r>
        <w:rPr>
          <w:rFonts w:ascii="Times New Roman" w:hAnsi="Times New Roman" w:cs="Times New Roman"/>
          <w:color w:val="4D4D4D"/>
          <w:sz w:val="29"/>
          <w:szCs w:val="29"/>
        </w:rPr>
        <w:t>（</w:t>
      </w:r>
      <w:r>
        <w:rPr>
          <w:rFonts w:ascii="Times New Roman" w:hAnsi="Times New Roman" w:cs="Times New Roman"/>
          <w:color w:val="4D4D4D"/>
          <w:sz w:val="29"/>
          <w:szCs w:val="29"/>
        </w:rPr>
        <w:t>Strand Genomic</w:t>
      </w:r>
      <w:r>
        <w:rPr>
          <w:rFonts w:ascii="Times New Roman" w:hAnsi="Times New Roman" w:cs="Times New Roman"/>
          <w:color w:val="4D4D4D"/>
          <w:sz w:val="29"/>
          <w:szCs w:val="29"/>
        </w:rPr>
        <w:t>）将患者分类为具有高风险基因特征或基于决策树的低风险基因特征。</w:t>
      </w:r>
    </w:p>
    <w:p w:rsidR="00A92D7F" w:rsidRDefault="00A92D7F" w:rsidP="00A92D7F">
      <w:pPr>
        <w:pStyle w:val="f-body"/>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我们使用基于</w:t>
      </w:r>
      <w:r>
        <w:rPr>
          <w:rFonts w:ascii="Times New Roman" w:hAnsi="Times New Roman" w:cs="Times New Roman"/>
          <w:color w:val="4D4D4D"/>
          <w:sz w:val="29"/>
          <w:szCs w:val="29"/>
        </w:rPr>
        <w:t>RT-PCR</w:t>
      </w:r>
      <w:r>
        <w:rPr>
          <w:rFonts w:ascii="Times New Roman" w:hAnsi="Times New Roman" w:cs="Times New Roman"/>
          <w:color w:val="4D4D4D"/>
          <w:sz w:val="29"/>
          <w:szCs w:val="29"/>
        </w:rPr>
        <w:t>而不是微阵列分析的决策树的基本原理是实用性。</w:t>
      </w:r>
      <w:r>
        <w:rPr>
          <w:rFonts w:ascii="Times New Roman" w:hAnsi="Times New Roman" w:cs="Times New Roman"/>
          <w:color w:val="4D4D4D"/>
          <w:sz w:val="29"/>
          <w:szCs w:val="29"/>
        </w:rPr>
        <w:t>RT-PCR</w:t>
      </w:r>
      <w:r>
        <w:rPr>
          <w:rFonts w:ascii="Times New Roman" w:hAnsi="Times New Roman" w:cs="Times New Roman"/>
          <w:color w:val="4D4D4D"/>
          <w:sz w:val="29"/>
          <w:szCs w:val="29"/>
        </w:rPr>
        <w:t>使用少量基因来捕获相关的协变量结构，尤其是基因表达水平的复杂相互作用和非线性。</w:t>
      </w:r>
      <w:hyperlink r:id="rId31" w:history="1">
        <w:r>
          <w:rPr>
            <w:rStyle w:val="a3"/>
            <w:rFonts w:ascii="inherit" w:hAnsi="inherit" w:cs="Times New Roman"/>
            <w:color w:val="0B4F82"/>
            <w:sz w:val="22"/>
            <w:szCs w:val="22"/>
            <w:bdr w:val="none" w:sz="0" w:space="0" w:color="auto" w:frame="1"/>
            <w:vertAlign w:val="superscript"/>
          </w:rPr>
          <w:t>28</w:t>
        </w:r>
      </w:hyperlink>
      <w:r>
        <w:rPr>
          <w:rFonts w:ascii="Times New Roman" w:hAnsi="Times New Roman" w:cs="Times New Roman"/>
          <w:color w:val="4D4D4D"/>
          <w:sz w:val="29"/>
          <w:szCs w:val="29"/>
        </w:rPr>
        <w:t>在我们的单变量分裂树中，五个基因中只有一个用于在每个中间节点做出分裂决策。为了避免过度拟合，我们使用了一种称为最小误差的修剪方法（参见</w:t>
      </w:r>
      <w:r>
        <w:rPr>
          <w:rFonts w:ascii="Times New Roman" w:hAnsi="Times New Roman" w:cs="Times New Roman"/>
          <w:color w:val="4D4D4D"/>
          <w:sz w:val="29"/>
          <w:szCs w:val="29"/>
        </w:rPr>
        <w:t>“ </w:t>
      </w:r>
      <w:hyperlink r:id="rId32" w:history="1">
        <w:r>
          <w:rPr>
            <w:rStyle w:val="a3"/>
            <w:rFonts w:ascii="Times New Roman" w:hAnsi="Times New Roman" w:cs="Times New Roman"/>
            <w:color w:val="0B4F82"/>
            <w:sz w:val="29"/>
            <w:szCs w:val="29"/>
          </w:rPr>
          <w:t>补充附录</w:t>
        </w:r>
        <w:r>
          <w:rPr>
            <w:rStyle w:val="a3"/>
            <w:rFonts w:ascii="Times New Roman" w:hAnsi="Times New Roman" w:cs="Times New Roman"/>
            <w:color w:val="0B4F82"/>
            <w:sz w:val="29"/>
            <w:szCs w:val="29"/>
          </w:rPr>
          <w:t>”</w:t>
        </w:r>
      </w:hyperlink>
      <w:r>
        <w:rPr>
          <w:rFonts w:ascii="Times New Roman" w:hAnsi="Times New Roman" w:cs="Times New Roman"/>
          <w:color w:val="4D4D4D"/>
          <w:sz w:val="29"/>
          <w:szCs w:val="29"/>
        </w:rPr>
        <w:t>的</w:t>
      </w:r>
      <w:r>
        <w:rPr>
          <w:rFonts w:ascii="Times New Roman" w:hAnsi="Times New Roman" w:cs="Times New Roman"/>
          <w:color w:val="4D4D4D"/>
          <w:sz w:val="29"/>
          <w:szCs w:val="29"/>
        </w:rPr>
        <w:t>“</w:t>
      </w:r>
      <w:r>
        <w:rPr>
          <w:rFonts w:ascii="Times New Roman" w:hAnsi="Times New Roman" w:cs="Times New Roman"/>
          <w:color w:val="4D4D4D"/>
          <w:sz w:val="29"/>
          <w:szCs w:val="29"/>
        </w:rPr>
        <w:t>方法</w:t>
      </w:r>
      <w:r>
        <w:rPr>
          <w:rFonts w:ascii="Times New Roman" w:hAnsi="Times New Roman" w:cs="Times New Roman"/>
          <w:color w:val="4D4D4D"/>
          <w:sz w:val="29"/>
          <w:szCs w:val="29"/>
        </w:rPr>
        <w:t>”</w:t>
      </w:r>
      <w:r>
        <w:rPr>
          <w:rFonts w:ascii="Times New Roman" w:hAnsi="Times New Roman" w:cs="Times New Roman"/>
          <w:color w:val="4D4D4D"/>
          <w:sz w:val="29"/>
          <w:szCs w:val="29"/>
        </w:rPr>
        <w:t>部分和图</w:t>
      </w:r>
      <w:r>
        <w:rPr>
          <w:rFonts w:ascii="Times New Roman" w:hAnsi="Times New Roman" w:cs="Times New Roman"/>
          <w:color w:val="4D4D4D"/>
          <w:sz w:val="29"/>
          <w:szCs w:val="29"/>
        </w:rPr>
        <w:t>1 </w:t>
      </w:r>
      <w:r>
        <w:rPr>
          <w:rFonts w:ascii="Times New Roman" w:hAnsi="Times New Roman" w:cs="Times New Roman"/>
          <w:color w:val="4D4D4D"/>
          <w:sz w:val="29"/>
          <w:szCs w:val="29"/>
        </w:rPr>
        <w:t>）。</w:t>
      </w:r>
    </w:p>
    <w:p w:rsidR="00A92D7F" w:rsidRDefault="00A92D7F" w:rsidP="00A92D7F">
      <w:pPr>
        <w:pStyle w:val="f-body"/>
        <w:spacing w:before="30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Kaplan-Meier</w:t>
      </w:r>
      <w:r>
        <w:rPr>
          <w:rFonts w:ascii="Times New Roman" w:hAnsi="Times New Roman" w:cs="Times New Roman"/>
          <w:color w:val="4D4D4D"/>
          <w:sz w:val="29"/>
          <w:szCs w:val="29"/>
        </w:rPr>
        <w:t>方法用于估计总体存活率和无复发存活率。使用对数秩检验分析高风险组和低风险组之间的存活差异。采用逐步选</w:t>
      </w:r>
      <w:r>
        <w:rPr>
          <w:rFonts w:ascii="Times New Roman" w:hAnsi="Times New Roman" w:cs="Times New Roman"/>
          <w:color w:val="4D4D4D"/>
          <w:sz w:val="29"/>
          <w:szCs w:val="29"/>
        </w:rPr>
        <w:lastRenderedPageBreak/>
        <w:t>择的多变量</w:t>
      </w:r>
      <w:r>
        <w:rPr>
          <w:rFonts w:ascii="Times New Roman" w:hAnsi="Times New Roman" w:cs="Times New Roman"/>
          <w:color w:val="4D4D4D"/>
          <w:sz w:val="29"/>
          <w:szCs w:val="29"/>
        </w:rPr>
        <w:t>Cox</w:t>
      </w:r>
      <w:r>
        <w:rPr>
          <w:rFonts w:ascii="Times New Roman" w:hAnsi="Times New Roman" w:cs="Times New Roman"/>
          <w:color w:val="4D4D4D"/>
          <w:sz w:val="29"/>
          <w:szCs w:val="29"/>
        </w:rPr>
        <w:t>比例风险回归分析评估与生存相关的独立预后因素，并将五基因特征，年龄，性别，肿瘤分期和组织学特征用作协变量。</w:t>
      </w:r>
      <w:r>
        <w:rPr>
          <w:rFonts w:ascii="Times New Roman" w:hAnsi="Times New Roman" w:cs="Times New Roman"/>
          <w:color w:val="4D4D4D"/>
          <w:sz w:val="29"/>
          <w:szCs w:val="29"/>
        </w:rPr>
        <w:t>AP</w:t>
      </w:r>
      <w:r>
        <w:rPr>
          <w:rFonts w:ascii="Times New Roman" w:hAnsi="Times New Roman" w:cs="Times New Roman"/>
          <w:color w:val="4D4D4D"/>
          <w:sz w:val="29"/>
          <w:szCs w:val="29"/>
        </w:rPr>
        <w:t>值小于</w:t>
      </w:r>
      <w:r>
        <w:rPr>
          <w:rFonts w:ascii="Times New Roman" w:hAnsi="Times New Roman" w:cs="Times New Roman"/>
          <w:color w:val="4D4D4D"/>
          <w:sz w:val="29"/>
          <w:szCs w:val="29"/>
        </w:rPr>
        <w:t>0.05</w:t>
      </w:r>
      <w:r>
        <w:rPr>
          <w:rFonts w:ascii="Times New Roman" w:hAnsi="Times New Roman" w:cs="Times New Roman"/>
          <w:color w:val="4D4D4D"/>
          <w:sz w:val="29"/>
          <w:szCs w:val="29"/>
        </w:rPr>
        <w:t>被认为表示统计学显着性，并且所有测试都是双尾的。</w:t>
      </w:r>
    </w:p>
    <w:p w:rsidR="00A92D7F" w:rsidRDefault="00A92D7F" w:rsidP="00A92D7F">
      <w:pPr>
        <w:pStyle w:val="f-body"/>
        <w:spacing w:before="30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我们还在</w:t>
      </w:r>
      <w:r>
        <w:rPr>
          <w:rFonts w:ascii="Times New Roman" w:hAnsi="Times New Roman" w:cs="Times New Roman"/>
          <w:color w:val="4D4D4D"/>
          <w:sz w:val="29"/>
          <w:szCs w:val="29"/>
        </w:rPr>
        <w:t>1999</w:t>
      </w:r>
      <w:r>
        <w:rPr>
          <w:rFonts w:ascii="Times New Roman" w:hAnsi="Times New Roman" w:cs="Times New Roman"/>
          <w:color w:val="4D4D4D"/>
          <w:sz w:val="29"/>
          <w:szCs w:val="29"/>
        </w:rPr>
        <w:t>年</w:t>
      </w:r>
      <w:r>
        <w:rPr>
          <w:rFonts w:ascii="Times New Roman" w:hAnsi="Times New Roman" w:cs="Times New Roman"/>
          <w:color w:val="4D4D4D"/>
          <w:sz w:val="29"/>
          <w:szCs w:val="29"/>
        </w:rPr>
        <w:t>11</w:t>
      </w:r>
      <w:r>
        <w:rPr>
          <w:rFonts w:ascii="Times New Roman" w:hAnsi="Times New Roman" w:cs="Times New Roman"/>
          <w:color w:val="4D4D4D"/>
          <w:sz w:val="29"/>
          <w:szCs w:val="29"/>
        </w:rPr>
        <w:t>月至</w:t>
      </w:r>
      <w:r>
        <w:rPr>
          <w:rFonts w:ascii="Times New Roman" w:hAnsi="Times New Roman" w:cs="Times New Roman"/>
          <w:color w:val="4D4D4D"/>
          <w:sz w:val="29"/>
          <w:szCs w:val="29"/>
        </w:rPr>
        <w:t>2003</w:t>
      </w:r>
      <w:r>
        <w:rPr>
          <w:rFonts w:ascii="Times New Roman" w:hAnsi="Times New Roman" w:cs="Times New Roman"/>
          <w:color w:val="4D4D4D"/>
          <w:sz w:val="29"/>
          <w:szCs w:val="29"/>
        </w:rPr>
        <w:t>年</w:t>
      </w:r>
      <w:r>
        <w:rPr>
          <w:rFonts w:ascii="Times New Roman" w:hAnsi="Times New Roman" w:cs="Times New Roman"/>
          <w:color w:val="4D4D4D"/>
          <w:sz w:val="29"/>
          <w:szCs w:val="29"/>
        </w:rPr>
        <w:t>12</w:t>
      </w:r>
      <w:r>
        <w:rPr>
          <w:rFonts w:ascii="Times New Roman" w:hAnsi="Times New Roman" w:cs="Times New Roman"/>
          <w:color w:val="4D4D4D"/>
          <w:sz w:val="29"/>
          <w:szCs w:val="29"/>
        </w:rPr>
        <w:t>月期间在台中退伍军人总医院对</w:t>
      </w:r>
      <w:r>
        <w:rPr>
          <w:rFonts w:ascii="Times New Roman" w:hAnsi="Times New Roman" w:cs="Times New Roman"/>
          <w:color w:val="4D4D4D"/>
          <w:sz w:val="29"/>
          <w:szCs w:val="29"/>
        </w:rPr>
        <w:t>60</w:t>
      </w:r>
      <w:r>
        <w:rPr>
          <w:rFonts w:ascii="Times New Roman" w:hAnsi="Times New Roman" w:cs="Times New Roman"/>
          <w:color w:val="4D4D4D"/>
          <w:sz w:val="29"/>
          <w:szCs w:val="29"/>
        </w:rPr>
        <w:t>名接受</w:t>
      </w:r>
      <w:r>
        <w:rPr>
          <w:rFonts w:ascii="Times New Roman" w:hAnsi="Times New Roman" w:cs="Times New Roman"/>
          <w:color w:val="4D4D4D"/>
          <w:sz w:val="29"/>
          <w:szCs w:val="29"/>
        </w:rPr>
        <w:t>NSCLC</w:t>
      </w:r>
      <w:r>
        <w:rPr>
          <w:rFonts w:ascii="Times New Roman" w:hAnsi="Times New Roman" w:cs="Times New Roman"/>
          <w:color w:val="4D4D4D"/>
          <w:sz w:val="29"/>
          <w:szCs w:val="29"/>
        </w:rPr>
        <w:t>手术切除的患者进行了独立研究。该队列用于验证我们的五基因风险预测模型。</w:t>
      </w:r>
    </w:p>
    <w:p w:rsidR="00A92D7F" w:rsidRDefault="00A92D7F" w:rsidP="00A92D7F">
      <w:pPr>
        <w:pStyle w:val="f-body"/>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为进一步验证我们的模型，我们将其应用于</w:t>
      </w:r>
      <w:r>
        <w:rPr>
          <w:rFonts w:ascii="Times New Roman" w:hAnsi="Times New Roman" w:cs="Times New Roman"/>
          <w:color w:val="4D4D4D"/>
          <w:sz w:val="29"/>
          <w:szCs w:val="29"/>
        </w:rPr>
        <w:t>86</w:t>
      </w:r>
      <w:r>
        <w:rPr>
          <w:rFonts w:ascii="Times New Roman" w:hAnsi="Times New Roman" w:cs="Times New Roman"/>
          <w:color w:val="4D4D4D"/>
          <w:sz w:val="29"/>
          <w:szCs w:val="29"/>
        </w:rPr>
        <w:t>例</w:t>
      </w:r>
      <w:r>
        <w:rPr>
          <w:rFonts w:ascii="Times New Roman" w:hAnsi="Times New Roman" w:cs="Times New Roman"/>
          <w:color w:val="4D4D4D"/>
          <w:sz w:val="29"/>
          <w:szCs w:val="29"/>
        </w:rPr>
        <w:t>NSCLC</w:t>
      </w:r>
      <w:r>
        <w:rPr>
          <w:rFonts w:ascii="Times New Roman" w:hAnsi="Times New Roman" w:cs="Times New Roman"/>
          <w:color w:val="4D4D4D"/>
          <w:sz w:val="29"/>
          <w:szCs w:val="29"/>
        </w:rPr>
        <w:t>患者的微阵列数据，</w:t>
      </w:r>
      <w:r>
        <w:rPr>
          <w:rFonts w:ascii="Times New Roman" w:hAnsi="Times New Roman" w:cs="Times New Roman"/>
          <w:color w:val="4D4D4D"/>
          <w:sz w:val="29"/>
          <w:szCs w:val="29"/>
        </w:rPr>
        <w:t>Beer</w:t>
      </w:r>
      <w:r>
        <w:rPr>
          <w:rFonts w:ascii="Times New Roman" w:hAnsi="Times New Roman" w:cs="Times New Roman"/>
          <w:color w:val="4D4D4D"/>
          <w:sz w:val="29"/>
          <w:szCs w:val="29"/>
        </w:rPr>
        <w:t>等报道。</w:t>
      </w:r>
      <w:hyperlink r:id="rId33" w:history="1">
        <w:r>
          <w:rPr>
            <w:rStyle w:val="a3"/>
            <w:rFonts w:ascii="inherit" w:hAnsi="inherit" w:cs="Times New Roman"/>
            <w:color w:val="0B4F82"/>
            <w:sz w:val="22"/>
            <w:szCs w:val="22"/>
            <w:bdr w:val="none" w:sz="0" w:space="0" w:color="auto" w:frame="1"/>
            <w:vertAlign w:val="superscript"/>
          </w:rPr>
          <w:t>10</w:t>
        </w:r>
      </w:hyperlink>
      <w:r>
        <w:rPr>
          <w:rFonts w:ascii="Times New Roman" w:hAnsi="Times New Roman" w:cs="Times New Roman"/>
          <w:color w:val="4D4D4D"/>
          <w:sz w:val="29"/>
          <w:szCs w:val="29"/>
        </w:rPr>
        <w:t>（可从</w:t>
      </w:r>
      <w:hyperlink r:id="rId34" w:tgtFrame="_blank" w:history="1">
        <w:r>
          <w:rPr>
            <w:rStyle w:val="a3"/>
            <w:rFonts w:ascii="Times New Roman" w:hAnsi="Times New Roman" w:cs="Times New Roman"/>
            <w:color w:val="0B4F82"/>
            <w:sz w:val="29"/>
            <w:szCs w:val="29"/>
          </w:rPr>
          <w:t>http://dot.ped.med.umich.edu:2000/ourimage/pub/Lung/index.html</w:t>
        </w:r>
        <w:r>
          <w:rPr>
            <w:rStyle w:val="a3"/>
            <w:rFonts w:ascii="Times New Roman" w:hAnsi="Times New Roman" w:cs="Times New Roman"/>
            <w:color w:val="0B4F82"/>
            <w:sz w:val="29"/>
            <w:szCs w:val="29"/>
          </w:rPr>
          <w:t>获取</w:t>
        </w:r>
      </w:hyperlink>
      <w:r>
        <w:rPr>
          <w:rFonts w:ascii="Times New Roman" w:hAnsi="Times New Roman" w:cs="Times New Roman"/>
          <w:color w:val="4D4D4D"/>
          <w:sz w:val="29"/>
          <w:szCs w:val="29"/>
        </w:rPr>
        <w:t>）。五个基因（及其相应的</w:t>
      </w:r>
      <w:proofErr w:type="spellStart"/>
      <w:r>
        <w:rPr>
          <w:rFonts w:ascii="Times New Roman" w:hAnsi="Times New Roman" w:cs="Times New Roman"/>
          <w:color w:val="4D4D4D"/>
          <w:sz w:val="29"/>
          <w:szCs w:val="29"/>
        </w:rPr>
        <w:t>Affymetrix</w:t>
      </w:r>
      <w:proofErr w:type="spellEnd"/>
      <w:r>
        <w:rPr>
          <w:rFonts w:ascii="Times New Roman" w:hAnsi="Times New Roman" w:cs="Times New Roman"/>
          <w:color w:val="4D4D4D"/>
          <w:sz w:val="29"/>
          <w:szCs w:val="29"/>
        </w:rPr>
        <w:t>探针组）是</w:t>
      </w:r>
      <w:r>
        <w:rPr>
          <w:rFonts w:ascii="inherit" w:hAnsi="inherit" w:cs="Times New Roman"/>
          <w:i/>
          <w:iCs/>
          <w:color w:val="4D4D4D"/>
          <w:sz w:val="29"/>
          <w:szCs w:val="29"/>
          <w:bdr w:val="none" w:sz="0" w:space="0" w:color="auto" w:frame="1"/>
        </w:rPr>
        <w:t>DUSP6</w:t>
      </w:r>
      <w:r>
        <w:rPr>
          <w:rFonts w:ascii="Times New Roman" w:hAnsi="Times New Roman" w:cs="Times New Roman"/>
          <w:color w:val="4D4D4D"/>
          <w:sz w:val="29"/>
          <w:szCs w:val="29"/>
        </w:rPr>
        <w:t>（</w:t>
      </w:r>
      <w:r>
        <w:rPr>
          <w:rFonts w:ascii="Times New Roman" w:hAnsi="Times New Roman" w:cs="Times New Roman"/>
          <w:color w:val="4D4D4D"/>
          <w:sz w:val="29"/>
          <w:szCs w:val="29"/>
        </w:rPr>
        <w:t>X93920_at</w:t>
      </w:r>
      <w:r>
        <w:rPr>
          <w:rFonts w:ascii="Times New Roman" w:hAnsi="Times New Roman" w:cs="Times New Roman"/>
          <w:color w:val="4D4D4D"/>
          <w:sz w:val="29"/>
          <w:szCs w:val="29"/>
        </w:rPr>
        <w:t>），</w:t>
      </w:r>
      <w:r>
        <w:rPr>
          <w:rFonts w:ascii="inherit" w:hAnsi="inherit" w:cs="Times New Roman"/>
          <w:i/>
          <w:iCs/>
          <w:color w:val="4D4D4D"/>
          <w:sz w:val="29"/>
          <w:szCs w:val="29"/>
          <w:bdr w:val="none" w:sz="0" w:space="0" w:color="auto" w:frame="1"/>
        </w:rPr>
        <w:t>MMD</w:t>
      </w:r>
      <w:r>
        <w:rPr>
          <w:rFonts w:ascii="Times New Roman" w:hAnsi="Times New Roman" w:cs="Times New Roman"/>
          <w:color w:val="4D4D4D"/>
          <w:sz w:val="29"/>
          <w:szCs w:val="29"/>
        </w:rPr>
        <w:t>（</w:t>
      </w:r>
      <w:r>
        <w:rPr>
          <w:rFonts w:ascii="Times New Roman" w:hAnsi="Times New Roman" w:cs="Times New Roman"/>
          <w:color w:val="4D4D4D"/>
          <w:sz w:val="29"/>
          <w:szCs w:val="29"/>
        </w:rPr>
        <w:t>X85750_at</w:t>
      </w:r>
      <w:r>
        <w:rPr>
          <w:rFonts w:ascii="Times New Roman" w:hAnsi="Times New Roman" w:cs="Times New Roman"/>
          <w:color w:val="4D4D4D"/>
          <w:sz w:val="29"/>
          <w:szCs w:val="29"/>
        </w:rPr>
        <w:t>），</w:t>
      </w:r>
      <w:r>
        <w:rPr>
          <w:rFonts w:ascii="inherit" w:hAnsi="inherit" w:cs="Times New Roman"/>
          <w:i/>
          <w:iCs/>
          <w:color w:val="4D4D4D"/>
          <w:sz w:val="29"/>
          <w:szCs w:val="29"/>
          <w:bdr w:val="none" w:sz="0" w:space="0" w:color="auto" w:frame="1"/>
        </w:rPr>
        <w:t>STAT1</w:t>
      </w:r>
      <w:r>
        <w:rPr>
          <w:rFonts w:ascii="Times New Roman" w:hAnsi="Times New Roman" w:cs="Times New Roman"/>
          <w:color w:val="4D4D4D"/>
          <w:sz w:val="29"/>
          <w:szCs w:val="29"/>
        </w:rPr>
        <w:t>（</w:t>
      </w:r>
      <w:r>
        <w:rPr>
          <w:rFonts w:ascii="Times New Roman" w:hAnsi="Times New Roman" w:cs="Times New Roman"/>
          <w:color w:val="4D4D4D"/>
          <w:sz w:val="29"/>
          <w:szCs w:val="29"/>
        </w:rPr>
        <w:t>M97936_at</w:t>
      </w:r>
      <w:r>
        <w:rPr>
          <w:rFonts w:ascii="Times New Roman" w:hAnsi="Times New Roman" w:cs="Times New Roman"/>
          <w:color w:val="4D4D4D"/>
          <w:sz w:val="29"/>
          <w:szCs w:val="29"/>
        </w:rPr>
        <w:t>），</w:t>
      </w:r>
      <w:r>
        <w:rPr>
          <w:rFonts w:ascii="inherit" w:hAnsi="inherit" w:cs="Times New Roman"/>
          <w:i/>
          <w:iCs/>
          <w:color w:val="4D4D4D"/>
          <w:sz w:val="29"/>
          <w:szCs w:val="29"/>
          <w:bdr w:val="none" w:sz="0" w:space="0" w:color="auto" w:frame="1"/>
        </w:rPr>
        <w:t>ERBB3</w:t>
      </w:r>
      <w:r>
        <w:rPr>
          <w:rFonts w:ascii="Times New Roman" w:hAnsi="Times New Roman" w:cs="Times New Roman"/>
          <w:color w:val="4D4D4D"/>
          <w:sz w:val="29"/>
          <w:szCs w:val="29"/>
        </w:rPr>
        <w:t>（</w:t>
      </w:r>
      <w:r>
        <w:rPr>
          <w:rFonts w:ascii="Times New Roman" w:hAnsi="Times New Roman" w:cs="Times New Roman"/>
          <w:color w:val="4D4D4D"/>
          <w:sz w:val="29"/>
          <w:szCs w:val="29"/>
        </w:rPr>
        <w:t>S61953_at</w:t>
      </w:r>
      <w:r>
        <w:rPr>
          <w:rFonts w:ascii="Times New Roman" w:hAnsi="Times New Roman" w:cs="Times New Roman"/>
          <w:color w:val="4D4D4D"/>
          <w:sz w:val="29"/>
          <w:szCs w:val="29"/>
        </w:rPr>
        <w:t>）和</w:t>
      </w:r>
      <w:r>
        <w:rPr>
          <w:rFonts w:ascii="inherit" w:hAnsi="inherit" w:cs="Times New Roman"/>
          <w:i/>
          <w:iCs/>
          <w:color w:val="4D4D4D"/>
          <w:sz w:val="29"/>
          <w:szCs w:val="29"/>
          <w:bdr w:val="none" w:sz="0" w:space="0" w:color="auto" w:frame="1"/>
        </w:rPr>
        <w:t>LCK</w:t>
      </w:r>
      <w:r>
        <w:rPr>
          <w:rFonts w:ascii="Times New Roman" w:hAnsi="Times New Roman" w:cs="Times New Roman"/>
          <w:color w:val="4D4D4D"/>
          <w:sz w:val="29"/>
          <w:szCs w:val="29"/>
        </w:rPr>
        <w:t>（</w:t>
      </w:r>
      <w:r>
        <w:rPr>
          <w:rFonts w:ascii="Times New Roman" w:hAnsi="Times New Roman" w:cs="Times New Roman"/>
          <w:color w:val="4D4D4D"/>
          <w:sz w:val="29"/>
          <w:szCs w:val="29"/>
        </w:rPr>
        <w:t>M26692_s_at</w:t>
      </w:r>
      <w:r>
        <w:rPr>
          <w:rFonts w:ascii="Times New Roman" w:hAnsi="Times New Roman" w:cs="Times New Roman"/>
          <w:color w:val="4D4D4D"/>
          <w:sz w:val="29"/>
          <w:szCs w:val="29"/>
        </w:rPr>
        <w:t>）</w:t>
      </w:r>
      <w:r>
        <w:rPr>
          <w:rFonts w:ascii="Times New Roman" w:hAnsi="Times New Roman" w:cs="Times New Roman"/>
          <w:color w:val="4D4D4D"/>
          <w:sz w:val="29"/>
          <w:szCs w:val="29"/>
        </w:rPr>
        <w:t>; </w:t>
      </w:r>
      <w:r>
        <w:rPr>
          <w:rFonts w:ascii="Times New Roman" w:hAnsi="Times New Roman" w:cs="Times New Roman"/>
          <w:color w:val="4D4D4D"/>
          <w:sz w:val="29"/>
          <w:szCs w:val="29"/>
        </w:rPr>
        <w:t>对照基因是</w:t>
      </w:r>
      <w:r>
        <w:rPr>
          <w:rFonts w:ascii="inherit" w:hAnsi="inherit" w:cs="Times New Roman"/>
          <w:i/>
          <w:iCs/>
          <w:color w:val="4D4D4D"/>
          <w:sz w:val="29"/>
          <w:szCs w:val="29"/>
          <w:bdr w:val="none" w:sz="0" w:space="0" w:color="auto" w:frame="1"/>
        </w:rPr>
        <w:t>TBP</w:t>
      </w:r>
      <w:r>
        <w:rPr>
          <w:rFonts w:ascii="Times New Roman" w:hAnsi="Times New Roman" w:cs="Times New Roman"/>
          <w:color w:val="4D4D4D"/>
          <w:sz w:val="29"/>
          <w:szCs w:val="29"/>
        </w:rPr>
        <w:t>（</w:t>
      </w:r>
      <w:r>
        <w:rPr>
          <w:rFonts w:ascii="Times New Roman" w:hAnsi="Times New Roman" w:cs="Times New Roman"/>
          <w:color w:val="4D4D4D"/>
          <w:sz w:val="29"/>
          <w:szCs w:val="29"/>
        </w:rPr>
        <w:t>X54993_s_at</w:t>
      </w:r>
      <w:r>
        <w:rPr>
          <w:rFonts w:ascii="Times New Roman" w:hAnsi="Times New Roman" w:cs="Times New Roman"/>
          <w:color w:val="4D4D4D"/>
          <w:sz w:val="29"/>
          <w:szCs w:val="29"/>
        </w:rPr>
        <w:t>）。为了使来自微阵列和来自</w:t>
      </w:r>
      <w:r>
        <w:rPr>
          <w:rFonts w:ascii="Times New Roman" w:hAnsi="Times New Roman" w:cs="Times New Roman"/>
          <w:color w:val="4D4D4D"/>
          <w:sz w:val="29"/>
          <w:szCs w:val="29"/>
        </w:rPr>
        <w:t>RT-PCR</w:t>
      </w:r>
      <w:r>
        <w:rPr>
          <w:rFonts w:ascii="Times New Roman" w:hAnsi="Times New Roman" w:cs="Times New Roman"/>
          <w:color w:val="4D4D4D"/>
          <w:sz w:val="29"/>
          <w:szCs w:val="29"/>
        </w:rPr>
        <w:t>的基因表达水平相当，我们在将值</w:t>
      </w:r>
      <w:r>
        <w:rPr>
          <w:rFonts w:ascii="Times New Roman" w:hAnsi="Times New Roman" w:cs="Times New Roman"/>
          <w:color w:val="4D4D4D"/>
          <w:sz w:val="29"/>
          <w:szCs w:val="29"/>
        </w:rPr>
        <w:t>1.1</w:t>
      </w:r>
      <w:r>
        <w:rPr>
          <w:rFonts w:ascii="Times New Roman" w:hAnsi="Times New Roman" w:cs="Times New Roman"/>
          <w:color w:val="4D4D4D"/>
          <w:sz w:val="29"/>
          <w:szCs w:val="29"/>
        </w:rPr>
        <w:t>赋予强度值小于</w:t>
      </w:r>
      <w:r>
        <w:rPr>
          <w:rFonts w:ascii="Times New Roman" w:hAnsi="Times New Roman" w:cs="Times New Roman"/>
          <w:color w:val="4D4D4D"/>
          <w:sz w:val="29"/>
          <w:szCs w:val="29"/>
        </w:rPr>
        <w:t>1.1</w:t>
      </w:r>
      <w:r>
        <w:rPr>
          <w:rFonts w:ascii="Times New Roman" w:hAnsi="Times New Roman" w:cs="Times New Roman"/>
          <w:color w:val="4D4D4D"/>
          <w:sz w:val="29"/>
          <w:szCs w:val="29"/>
        </w:rPr>
        <w:t>之后将微阵列数据对数转换为基数</w:t>
      </w:r>
      <w:r>
        <w:rPr>
          <w:rFonts w:ascii="Times New Roman" w:hAnsi="Times New Roman" w:cs="Times New Roman"/>
          <w:color w:val="4D4D4D"/>
          <w:sz w:val="29"/>
          <w:szCs w:val="29"/>
        </w:rPr>
        <w:t>2</w:t>
      </w:r>
      <w:r>
        <w:rPr>
          <w:rFonts w:ascii="Times New Roman" w:hAnsi="Times New Roman" w:cs="Times New Roman"/>
          <w:color w:val="4D4D4D"/>
          <w:sz w:val="29"/>
          <w:szCs w:val="29"/>
        </w:rPr>
        <w:t>。对数转换后，将</w:t>
      </w:r>
      <w:r>
        <w:rPr>
          <w:rFonts w:ascii="Times New Roman" w:hAnsi="Times New Roman" w:cs="Times New Roman"/>
          <w:color w:val="4D4D4D"/>
          <w:sz w:val="29"/>
          <w:szCs w:val="29"/>
        </w:rPr>
        <w:t>5</w:t>
      </w:r>
      <w:r>
        <w:rPr>
          <w:rFonts w:ascii="Times New Roman" w:hAnsi="Times New Roman" w:cs="Times New Roman"/>
          <w:color w:val="4D4D4D"/>
          <w:sz w:val="29"/>
          <w:szCs w:val="29"/>
        </w:rPr>
        <w:t>个基因的表达水平除以对照基因</w:t>
      </w:r>
      <w:r>
        <w:rPr>
          <w:rFonts w:ascii="inherit" w:hAnsi="inherit" w:cs="Times New Roman"/>
          <w:i/>
          <w:iCs/>
          <w:color w:val="4D4D4D"/>
          <w:sz w:val="29"/>
          <w:szCs w:val="29"/>
          <w:bdr w:val="none" w:sz="0" w:space="0" w:color="auto" w:frame="1"/>
        </w:rPr>
        <w:t>TBP</w:t>
      </w:r>
      <w:r>
        <w:rPr>
          <w:rFonts w:ascii="Times New Roman" w:hAnsi="Times New Roman" w:cs="Times New Roman"/>
          <w:color w:val="4D4D4D"/>
          <w:sz w:val="29"/>
          <w:szCs w:val="29"/>
        </w:rPr>
        <w:t>的表达水平，以计算相对表达水平。我们使用来自</w:t>
      </w:r>
      <w:r>
        <w:rPr>
          <w:rFonts w:ascii="Times New Roman" w:hAnsi="Times New Roman" w:cs="Times New Roman"/>
          <w:color w:val="4D4D4D"/>
          <w:sz w:val="29"/>
          <w:szCs w:val="29"/>
        </w:rPr>
        <w:t>86</w:t>
      </w:r>
      <w:r>
        <w:rPr>
          <w:rFonts w:ascii="Times New Roman" w:hAnsi="Times New Roman" w:cs="Times New Roman"/>
          <w:color w:val="4D4D4D"/>
          <w:sz w:val="29"/>
          <w:szCs w:val="29"/>
        </w:rPr>
        <w:t>名</w:t>
      </w:r>
      <w:r>
        <w:rPr>
          <w:rFonts w:ascii="Times New Roman" w:hAnsi="Times New Roman" w:cs="Times New Roman"/>
          <w:color w:val="4D4D4D"/>
          <w:sz w:val="29"/>
          <w:szCs w:val="29"/>
        </w:rPr>
        <w:t>NSCLC</w:t>
      </w:r>
      <w:r>
        <w:rPr>
          <w:rFonts w:ascii="Times New Roman" w:hAnsi="Times New Roman" w:cs="Times New Roman"/>
          <w:color w:val="4D4D4D"/>
          <w:sz w:val="29"/>
          <w:szCs w:val="29"/>
        </w:rPr>
        <w:t>患者的数据将决策树模型应用于这些相对表达水平。</w:t>
      </w:r>
      <w:hyperlink r:id="rId35" w:history="1">
        <w:r>
          <w:rPr>
            <w:rStyle w:val="a3"/>
            <w:rFonts w:ascii="inherit" w:hAnsi="inherit" w:cs="Times New Roman"/>
            <w:color w:val="0B4F82"/>
            <w:sz w:val="22"/>
            <w:szCs w:val="22"/>
            <w:bdr w:val="none" w:sz="0" w:space="0" w:color="auto" w:frame="1"/>
            <w:vertAlign w:val="superscript"/>
          </w:rPr>
          <w:t>10</w:t>
        </w:r>
      </w:hyperlink>
      <w:r>
        <w:rPr>
          <w:rFonts w:ascii="Times New Roman" w:hAnsi="Times New Roman" w:cs="Times New Roman"/>
          <w:color w:val="4D4D4D"/>
          <w:sz w:val="29"/>
          <w:szCs w:val="29"/>
        </w:rPr>
        <w:t>由于我们研究中生存分析的最大随访时间为</w:t>
      </w:r>
      <w:r>
        <w:rPr>
          <w:rFonts w:ascii="Times New Roman" w:hAnsi="Times New Roman" w:cs="Times New Roman"/>
          <w:color w:val="4D4D4D"/>
          <w:sz w:val="29"/>
          <w:szCs w:val="29"/>
        </w:rPr>
        <w:t>62</w:t>
      </w:r>
      <w:r>
        <w:rPr>
          <w:rFonts w:ascii="Times New Roman" w:hAnsi="Times New Roman" w:cs="Times New Roman"/>
          <w:color w:val="4D4D4D"/>
          <w:sz w:val="29"/>
          <w:szCs w:val="29"/>
        </w:rPr>
        <w:t>个月，因此我们使用了</w:t>
      </w:r>
      <w:r>
        <w:rPr>
          <w:rFonts w:ascii="Times New Roman" w:hAnsi="Times New Roman" w:cs="Times New Roman"/>
          <w:color w:val="4D4D4D"/>
          <w:sz w:val="29"/>
          <w:szCs w:val="29"/>
        </w:rPr>
        <w:t>86</w:t>
      </w:r>
      <w:r>
        <w:rPr>
          <w:rFonts w:ascii="Times New Roman" w:hAnsi="Times New Roman" w:cs="Times New Roman"/>
          <w:color w:val="4D4D4D"/>
          <w:sz w:val="29"/>
          <w:szCs w:val="29"/>
        </w:rPr>
        <w:t>例患者的</w:t>
      </w:r>
      <w:r>
        <w:rPr>
          <w:rFonts w:ascii="Times New Roman" w:hAnsi="Times New Roman" w:cs="Times New Roman"/>
          <w:color w:val="4D4D4D"/>
          <w:sz w:val="29"/>
          <w:szCs w:val="29"/>
        </w:rPr>
        <w:t>5</w:t>
      </w:r>
      <w:r>
        <w:rPr>
          <w:rFonts w:ascii="Times New Roman" w:hAnsi="Times New Roman" w:cs="Times New Roman"/>
          <w:color w:val="4D4D4D"/>
          <w:sz w:val="29"/>
          <w:szCs w:val="29"/>
        </w:rPr>
        <w:t>年生存率数据。</w:t>
      </w:r>
    </w:p>
    <w:p w:rsidR="00A92D7F" w:rsidRDefault="00A92D7F" w:rsidP="00A92D7F">
      <w:pPr>
        <w:pStyle w:val="2"/>
        <w:pBdr>
          <w:bottom w:val="single" w:sz="6" w:space="17" w:color="E2E2E2"/>
        </w:pBdr>
        <w:shd w:val="clear" w:color="auto" w:fill="FFFFFF"/>
        <w:spacing w:before="0" w:after="0" w:line="480" w:lineRule="atLeast"/>
        <w:textAlignment w:val="baseline"/>
        <w:rPr>
          <w:rFonts w:ascii="Times New Roman" w:hAnsi="Times New Roman" w:cs="Times New Roman" w:hint="eastAsia"/>
          <w:color w:val="1A1A1A"/>
          <w:spacing w:val="-1"/>
          <w:sz w:val="42"/>
          <w:szCs w:val="42"/>
        </w:rPr>
      </w:pPr>
    </w:p>
    <w:p w:rsidR="00A92D7F" w:rsidRDefault="00A92D7F" w:rsidP="00A92D7F">
      <w:pPr>
        <w:pStyle w:val="2"/>
        <w:pBdr>
          <w:bottom w:val="single" w:sz="6" w:space="17" w:color="E2E2E2"/>
        </w:pBdr>
        <w:shd w:val="clear" w:color="auto" w:fill="FFFFFF"/>
        <w:spacing w:before="0" w:after="0" w:line="480" w:lineRule="atLeast"/>
        <w:textAlignment w:val="baseline"/>
        <w:rPr>
          <w:rFonts w:ascii="Times New Roman" w:hAnsi="Times New Roman" w:cs="Times New Roman"/>
          <w:color w:val="1A1A1A"/>
          <w:spacing w:val="-1"/>
          <w:sz w:val="42"/>
          <w:szCs w:val="42"/>
        </w:rPr>
      </w:pPr>
      <w:r>
        <w:rPr>
          <w:rFonts w:ascii="Times New Roman" w:hAnsi="Times New Roman" w:cs="Times New Roman"/>
          <w:color w:val="1A1A1A"/>
          <w:spacing w:val="-1"/>
          <w:sz w:val="42"/>
          <w:szCs w:val="42"/>
        </w:rPr>
        <w:t>结果</w:t>
      </w:r>
    </w:p>
    <w:p w:rsidR="00A92D7F" w:rsidRDefault="00A92D7F" w:rsidP="00A92D7F">
      <w:pPr>
        <w:pStyle w:val="2"/>
        <w:spacing w:before="300" w:after="0" w:line="420" w:lineRule="atLeast"/>
        <w:textAlignment w:val="baseline"/>
        <w:rPr>
          <w:rFonts w:ascii="Helvetica" w:hAnsi="Helvetica" w:cs="Helvetica"/>
          <w:caps/>
          <w:color w:val="1A1A1A"/>
          <w:spacing w:val="29"/>
          <w:sz w:val="20"/>
          <w:szCs w:val="20"/>
        </w:rPr>
      </w:pPr>
      <w:r>
        <w:rPr>
          <w:rFonts w:ascii="Helvetica" w:hAnsi="Helvetica" w:cs="Helvetica"/>
          <w:caps/>
          <w:color w:val="1A1A1A"/>
          <w:spacing w:val="29"/>
          <w:sz w:val="20"/>
          <w:szCs w:val="20"/>
        </w:rPr>
        <w:t>16</w:t>
      </w:r>
      <w:r>
        <w:rPr>
          <w:rFonts w:ascii="Helvetica" w:hAnsi="Helvetica" w:cs="Helvetica"/>
          <w:caps/>
          <w:color w:val="1A1A1A"/>
          <w:spacing w:val="29"/>
          <w:sz w:val="20"/>
          <w:szCs w:val="20"/>
        </w:rPr>
        <w:t>基因签名和生存</w:t>
      </w:r>
    </w:p>
    <w:p w:rsidR="00A92D7F" w:rsidRDefault="00A92D7F" w:rsidP="00A92D7F">
      <w:pPr>
        <w:rPr>
          <w:rFonts w:ascii="Times New Roman" w:hAnsi="Times New Roman" w:cs="Times New Roman" w:hint="eastAsia"/>
          <w:color w:val="4D4D4D"/>
          <w:sz w:val="29"/>
          <w:szCs w:val="29"/>
          <w:shd w:val="clear" w:color="auto" w:fill="FFFFFF"/>
        </w:rPr>
      </w:pPr>
      <w:r>
        <w:rPr>
          <w:rFonts w:ascii="Times New Roman" w:hAnsi="Times New Roman" w:cs="Times New Roman"/>
          <w:color w:val="4D4D4D"/>
          <w:sz w:val="29"/>
          <w:szCs w:val="29"/>
          <w:shd w:val="clear" w:color="auto" w:fill="FFFFFF"/>
        </w:rPr>
        <w:t>在对来自</w:t>
      </w:r>
      <w:r>
        <w:rPr>
          <w:rFonts w:ascii="Times New Roman" w:hAnsi="Times New Roman" w:cs="Times New Roman"/>
          <w:color w:val="4D4D4D"/>
          <w:sz w:val="29"/>
          <w:szCs w:val="29"/>
          <w:shd w:val="clear" w:color="auto" w:fill="FFFFFF"/>
        </w:rPr>
        <w:t>125</w:t>
      </w:r>
      <w:r>
        <w:rPr>
          <w:rFonts w:ascii="Times New Roman" w:hAnsi="Times New Roman" w:cs="Times New Roman"/>
          <w:color w:val="4D4D4D"/>
          <w:sz w:val="29"/>
          <w:szCs w:val="29"/>
          <w:shd w:val="clear" w:color="auto" w:fill="FFFFFF"/>
        </w:rPr>
        <w:t>名患者的肿瘤的微阵列分析中，</w:t>
      </w:r>
      <w:r>
        <w:rPr>
          <w:rFonts w:ascii="Times New Roman" w:hAnsi="Times New Roman" w:cs="Times New Roman"/>
          <w:color w:val="4D4D4D"/>
          <w:sz w:val="29"/>
          <w:szCs w:val="29"/>
          <w:shd w:val="clear" w:color="auto" w:fill="FFFFFF"/>
        </w:rPr>
        <w:t>672</w:t>
      </w:r>
      <w:r>
        <w:rPr>
          <w:rFonts w:ascii="Times New Roman" w:hAnsi="Times New Roman" w:cs="Times New Roman"/>
          <w:color w:val="4D4D4D"/>
          <w:sz w:val="29"/>
          <w:szCs w:val="29"/>
          <w:shd w:val="clear" w:color="auto" w:fill="FFFFFF"/>
        </w:rPr>
        <w:t>个基因中的</w:t>
      </w:r>
      <w:r>
        <w:rPr>
          <w:rFonts w:ascii="Times New Roman" w:hAnsi="Times New Roman" w:cs="Times New Roman"/>
          <w:color w:val="4D4D4D"/>
          <w:sz w:val="29"/>
          <w:szCs w:val="29"/>
          <w:shd w:val="clear" w:color="auto" w:fill="FFFFFF"/>
        </w:rPr>
        <w:t>485</w:t>
      </w:r>
      <w:r>
        <w:rPr>
          <w:rFonts w:ascii="Times New Roman" w:hAnsi="Times New Roman" w:cs="Times New Roman"/>
          <w:color w:val="4D4D4D"/>
          <w:sz w:val="29"/>
          <w:szCs w:val="29"/>
          <w:shd w:val="clear" w:color="auto" w:fill="FFFFFF"/>
        </w:rPr>
        <w:t>个具有大于</w:t>
      </w:r>
      <w:r>
        <w:rPr>
          <w:rFonts w:ascii="Times New Roman" w:hAnsi="Times New Roman" w:cs="Times New Roman"/>
          <w:color w:val="4D4D4D"/>
          <w:sz w:val="29"/>
          <w:szCs w:val="29"/>
          <w:shd w:val="clear" w:color="auto" w:fill="FFFFFF"/>
        </w:rPr>
        <w:t>3</w:t>
      </w:r>
      <w:r>
        <w:rPr>
          <w:rFonts w:ascii="Times New Roman" w:hAnsi="Times New Roman" w:cs="Times New Roman"/>
          <w:color w:val="4D4D4D"/>
          <w:sz w:val="29"/>
          <w:szCs w:val="29"/>
          <w:shd w:val="clear" w:color="auto" w:fill="FFFFFF"/>
        </w:rPr>
        <w:t>％的变异系数，因此包括在分析中。单变量</w:t>
      </w:r>
      <w:r>
        <w:rPr>
          <w:rFonts w:ascii="Times New Roman" w:hAnsi="Times New Roman" w:cs="Times New Roman"/>
          <w:color w:val="4D4D4D"/>
          <w:sz w:val="29"/>
          <w:szCs w:val="29"/>
          <w:shd w:val="clear" w:color="auto" w:fill="FFFFFF"/>
        </w:rPr>
        <w:t>Cox</w:t>
      </w:r>
      <w:r>
        <w:rPr>
          <w:rFonts w:ascii="Times New Roman" w:hAnsi="Times New Roman" w:cs="Times New Roman"/>
          <w:color w:val="4D4D4D"/>
          <w:sz w:val="29"/>
          <w:szCs w:val="29"/>
          <w:shd w:val="clear" w:color="auto" w:fill="FFFFFF"/>
        </w:rPr>
        <w:t>回归分析的危险比表明，</w:t>
      </w:r>
      <w:r>
        <w:rPr>
          <w:rFonts w:ascii="Times New Roman" w:hAnsi="Times New Roman" w:cs="Times New Roman"/>
          <w:color w:val="4D4D4D"/>
          <w:sz w:val="29"/>
          <w:szCs w:val="29"/>
          <w:shd w:val="clear" w:color="auto" w:fill="FFFFFF"/>
        </w:rPr>
        <w:t>16</w:t>
      </w:r>
      <w:r>
        <w:rPr>
          <w:rFonts w:ascii="Times New Roman" w:hAnsi="Times New Roman" w:cs="Times New Roman"/>
          <w:color w:val="4D4D4D"/>
          <w:sz w:val="29"/>
          <w:szCs w:val="29"/>
          <w:shd w:val="clear" w:color="auto" w:fill="FFFFFF"/>
        </w:rPr>
        <w:t>种基因的表达水平与任何原因的死亡相关：</w:t>
      </w:r>
      <w:r>
        <w:rPr>
          <w:rFonts w:ascii="Times New Roman" w:hAnsi="Times New Roman" w:cs="Times New Roman"/>
          <w:color w:val="4D4D4D"/>
          <w:sz w:val="29"/>
          <w:szCs w:val="29"/>
          <w:shd w:val="clear" w:color="auto" w:fill="FFFFFF"/>
        </w:rPr>
        <w:t>4</w:t>
      </w:r>
      <w:r>
        <w:rPr>
          <w:rFonts w:ascii="Times New Roman" w:hAnsi="Times New Roman" w:cs="Times New Roman"/>
          <w:color w:val="4D4D4D"/>
          <w:sz w:val="29"/>
          <w:szCs w:val="29"/>
          <w:shd w:val="clear" w:color="auto" w:fill="FFFFFF"/>
        </w:rPr>
        <w:t>种是保护性基因（风险比小于</w:t>
      </w:r>
      <w:r>
        <w:rPr>
          <w:rFonts w:ascii="Times New Roman" w:hAnsi="Times New Roman" w:cs="Times New Roman"/>
          <w:color w:val="4D4D4D"/>
          <w:sz w:val="29"/>
          <w:szCs w:val="29"/>
          <w:shd w:val="clear" w:color="auto" w:fill="FFFFFF"/>
        </w:rPr>
        <w:t>1</w:t>
      </w:r>
      <w:r>
        <w:rPr>
          <w:rFonts w:ascii="Times New Roman" w:hAnsi="Times New Roman" w:cs="Times New Roman"/>
          <w:color w:val="4D4D4D"/>
          <w:sz w:val="29"/>
          <w:szCs w:val="29"/>
          <w:shd w:val="clear" w:color="auto" w:fill="FFFFFF"/>
        </w:rPr>
        <w:t>），</w:t>
      </w:r>
      <w:r>
        <w:rPr>
          <w:rFonts w:ascii="Times New Roman" w:hAnsi="Times New Roman" w:cs="Times New Roman"/>
          <w:color w:val="4D4D4D"/>
          <w:sz w:val="29"/>
          <w:szCs w:val="29"/>
          <w:shd w:val="clear" w:color="auto" w:fill="FFFFFF"/>
        </w:rPr>
        <w:t>12</w:t>
      </w:r>
      <w:r>
        <w:rPr>
          <w:rFonts w:ascii="Times New Roman" w:hAnsi="Times New Roman" w:cs="Times New Roman"/>
          <w:color w:val="4D4D4D"/>
          <w:sz w:val="29"/>
          <w:szCs w:val="29"/>
          <w:shd w:val="clear" w:color="auto" w:fill="FFFFFF"/>
        </w:rPr>
        <w:t>种是风险基因（与风险比相关）超过</w:t>
      </w:r>
      <w:r>
        <w:rPr>
          <w:rFonts w:ascii="Times New Roman" w:hAnsi="Times New Roman" w:cs="Times New Roman"/>
          <w:color w:val="4D4D4D"/>
          <w:sz w:val="29"/>
          <w:szCs w:val="29"/>
          <w:shd w:val="clear" w:color="auto" w:fill="FFFFFF"/>
        </w:rPr>
        <w:t>1</w:t>
      </w:r>
      <w:r>
        <w:rPr>
          <w:rFonts w:ascii="Times New Roman" w:hAnsi="Times New Roman" w:cs="Times New Roman"/>
          <w:color w:val="4D4D4D"/>
          <w:sz w:val="29"/>
          <w:szCs w:val="29"/>
          <w:shd w:val="clear" w:color="auto" w:fill="FFFFFF"/>
        </w:rPr>
        <w:t>（</w:t>
      </w:r>
      <w:hyperlink r:id="rId36" w:tooltip="查看完整尺寸" w:history="1">
        <w:r>
          <w:rPr>
            <w:rStyle w:val="a3"/>
            <w:rFonts w:ascii="Times New Roman" w:hAnsi="Times New Roman" w:cs="Times New Roman"/>
            <w:color w:val="0B4F82"/>
            <w:sz w:val="29"/>
            <w:szCs w:val="29"/>
            <w:bdr w:val="none" w:sz="0" w:space="0" w:color="auto" w:frame="1"/>
            <w:shd w:val="clear" w:color="auto" w:fill="FFFFFF"/>
          </w:rPr>
          <w:t>表</w:t>
        </w:r>
        <w:r>
          <w:rPr>
            <w:rStyle w:val="a3"/>
            <w:rFonts w:ascii="Times New Roman" w:hAnsi="Times New Roman" w:cs="Times New Roman"/>
            <w:color w:val="0B4F82"/>
            <w:sz w:val="29"/>
            <w:szCs w:val="29"/>
            <w:bdr w:val="none" w:sz="0" w:space="0" w:color="auto" w:frame="1"/>
            <w:shd w:val="clear" w:color="auto" w:fill="FFFFFF"/>
          </w:rPr>
          <w:t>1</w:t>
        </w:r>
      </w:hyperlink>
      <w:r>
        <w:rPr>
          <w:rFonts w:ascii="Times New Roman" w:hAnsi="Times New Roman" w:cs="Times New Roman"/>
          <w:color w:val="4D4D4D"/>
          <w:sz w:val="29"/>
          <w:szCs w:val="29"/>
          <w:shd w:val="clear" w:color="auto" w:fill="FFFFFF"/>
        </w:rPr>
        <w:t>）。</w:t>
      </w:r>
    </w:p>
    <w:p w:rsidR="00A92D7F" w:rsidRDefault="00A92D7F" w:rsidP="00A92D7F">
      <w:pPr>
        <w:rPr>
          <w:rFonts w:ascii="Times New Roman" w:hAnsi="Times New Roman" w:cs="Times New Roman" w:hint="eastAsia"/>
          <w:color w:val="4D4D4D"/>
          <w:sz w:val="29"/>
          <w:szCs w:val="29"/>
          <w:shd w:val="clear" w:color="auto" w:fill="FFFFFF"/>
        </w:rPr>
      </w:pPr>
      <w:hyperlink r:id="rId37" w:history="1">
        <w:r>
          <w:rPr>
            <w:rStyle w:val="a3"/>
            <w:rFonts w:ascii="Times New Roman" w:hAnsi="Times New Roman" w:cs="Times New Roman"/>
            <w:color w:val="0B4F82"/>
            <w:sz w:val="29"/>
            <w:szCs w:val="29"/>
            <w:shd w:val="clear" w:color="auto" w:fill="FFFFFF"/>
          </w:rPr>
          <w:t>补充附录</w:t>
        </w:r>
      </w:hyperlink>
      <w:r>
        <w:rPr>
          <w:rFonts w:ascii="Times New Roman" w:hAnsi="Times New Roman" w:cs="Times New Roman"/>
          <w:color w:val="4D4D4D"/>
          <w:sz w:val="29"/>
          <w:szCs w:val="29"/>
          <w:shd w:val="clear" w:color="auto" w:fill="FFFFFF"/>
        </w:rPr>
        <w:t>表</w:t>
      </w:r>
      <w:r>
        <w:rPr>
          <w:rFonts w:ascii="Times New Roman" w:hAnsi="Times New Roman" w:cs="Times New Roman"/>
          <w:color w:val="4D4D4D"/>
          <w:sz w:val="29"/>
          <w:szCs w:val="29"/>
          <w:shd w:val="clear" w:color="auto" w:fill="FFFFFF"/>
        </w:rPr>
        <w:t>1 </w:t>
      </w:r>
      <w:r>
        <w:rPr>
          <w:rFonts w:ascii="Times New Roman" w:hAnsi="Times New Roman" w:cs="Times New Roman"/>
          <w:color w:val="4D4D4D"/>
          <w:sz w:val="29"/>
          <w:szCs w:val="29"/>
          <w:shd w:val="clear" w:color="auto" w:fill="FFFFFF"/>
        </w:rPr>
        <w:t>列出了第一次分析中</w:t>
      </w:r>
      <w:r>
        <w:rPr>
          <w:rFonts w:ascii="Times New Roman" w:hAnsi="Times New Roman" w:cs="Times New Roman"/>
          <w:color w:val="4D4D4D"/>
          <w:sz w:val="29"/>
          <w:szCs w:val="29"/>
          <w:shd w:val="clear" w:color="auto" w:fill="FFFFFF"/>
        </w:rPr>
        <w:t>125</w:t>
      </w:r>
      <w:r>
        <w:rPr>
          <w:rFonts w:ascii="Times New Roman" w:hAnsi="Times New Roman" w:cs="Times New Roman"/>
          <w:color w:val="4D4D4D"/>
          <w:sz w:val="29"/>
          <w:szCs w:val="29"/>
          <w:shd w:val="clear" w:color="auto" w:fill="FFFFFF"/>
        </w:rPr>
        <w:t>名患者的特征。在训练组中的</w:t>
      </w:r>
      <w:r>
        <w:rPr>
          <w:rFonts w:ascii="Times New Roman" w:hAnsi="Times New Roman" w:cs="Times New Roman"/>
          <w:color w:val="4D4D4D"/>
          <w:sz w:val="29"/>
          <w:szCs w:val="29"/>
          <w:shd w:val="clear" w:color="auto" w:fill="FFFFFF"/>
        </w:rPr>
        <w:t>63</w:t>
      </w:r>
      <w:r>
        <w:rPr>
          <w:rFonts w:ascii="Times New Roman" w:hAnsi="Times New Roman" w:cs="Times New Roman"/>
          <w:color w:val="4D4D4D"/>
          <w:sz w:val="29"/>
          <w:szCs w:val="29"/>
          <w:shd w:val="clear" w:color="auto" w:fill="FFFFFF"/>
        </w:rPr>
        <w:t>名患者中，具有高风险评分的肿瘤表达风险基因，而具有低风险评分的肿瘤表达保护性基因（</w:t>
      </w:r>
      <w:hyperlink r:id="rId38" w:tooltip="查看完整尺寸" w:history="1">
        <w:r>
          <w:rPr>
            <w:rStyle w:val="a3"/>
            <w:rFonts w:ascii="Times New Roman" w:hAnsi="Times New Roman" w:cs="Times New Roman"/>
            <w:color w:val="0B4F82"/>
            <w:sz w:val="29"/>
            <w:szCs w:val="29"/>
            <w:bdr w:val="none" w:sz="0" w:space="0" w:color="auto" w:frame="1"/>
            <w:shd w:val="clear" w:color="auto" w:fill="FFFFFF"/>
          </w:rPr>
          <w:t>图</w:t>
        </w:r>
        <w:r>
          <w:rPr>
            <w:rStyle w:val="a3"/>
            <w:rFonts w:ascii="Times New Roman" w:hAnsi="Times New Roman" w:cs="Times New Roman"/>
            <w:color w:val="0B4F82"/>
            <w:sz w:val="29"/>
            <w:szCs w:val="29"/>
            <w:bdr w:val="none" w:sz="0" w:space="0" w:color="auto" w:frame="1"/>
            <w:shd w:val="clear" w:color="auto" w:fill="FFFFFF"/>
          </w:rPr>
          <w:t>1A</w:t>
        </w:r>
      </w:hyperlink>
      <w:r>
        <w:rPr>
          <w:rFonts w:ascii="Times New Roman" w:hAnsi="Times New Roman" w:cs="Times New Roman"/>
          <w:color w:val="4D4D4D"/>
          <w:sz w:val="29"/>
          <w:szCs w:val="29"/>
          <w:shd w:val="clear" w:color="auto" w:fill="FFFFFF"/>
        </w:rPr>
        <w:t>）。具有高风险</w:t>
      </w:r>
      <w:r>
        <w:rPr>
          <w:rFonts w:ascii="Times New Roman" w:hAnsi="Times New Roman" w:cs="Times New Roman"/>
          <w:color w:val="4D4D4D"/>
          <w:sz w:val="29"/>
          <w:szCs w:val="29"/>
          <w:shd w:val="clear" w:color="auto" w:fill="FFFFFF"/>
        </w:rPr>
        <w:t>16</w:t>
      </w:r>
      <w:r>
        <w:rPr>
          <w:rFonts w:ascii="Times New Roman" w:hAnsi="Times New Roman" w:cs="Times New Roman"/>
          <w:color w:val="4D4D4D"/>
          <w:sz w:val="29"/>
          <w:szCs w:val="29"/>
          <w:shd w:val="clear" w:color="auto" w:fill="FFFFFF"/>
        </w:rPr>
        <w:t>基因特征的患者的中位总生存期低于具有低风险</w:t>
      </w:r>
      <w:r>
        <w:rPr>
          <w:rFonts w:ascii="Times New Roman" w:hAnsi="Times New Roman" w:cs="Times New Roman"/>
          <w:color w:val="4D4D4D"/>
          <w:sz w:val="29"/>
          <w:szCs w:val="29"/>
          <w:shd w:val="clear" w:color="auto" w:fill="FFFFFF"/>
        </w:rPr>
        <w:t>16</w:t>
      </w:r>
      <w:r>
        <w:rPr>
          <w:rFonts w:ascii="Times New Roman" w:hAnsi="Times New Roman" w:cs="Times New Roman"/>
          <w:color w:val="4D4D4D"/>
          <w:sz w:val="29"/>
          <w:szCs w:val="29"/>
          <w:shd w:val="clear" w:color="auto" w:fill="FFFFFF"/>
        </w:rPr>
        <w:t>基因特征的患者（</w:t>
      </w:r>
      <w:r>
        <w:rPr>
          <w:rFonts w:ascii="Times New Roman" w:hAnsi="Times New Roman" w:cs="Times New Roman"/>
          <w:color w:val="4D4D4D"/>
          <w:sz w:val="29"/>
          <w:szCs w:val="29"/>
          <w:shd w:val="clear" w:color="auto" w:fill="FFFFFF"/>
        </w:rPr>
        <w:t>20</w:t>
      </w:r>
      <w:r>
        <w:rPr>
          <w:rFonts w:ascii="Times New Roman" w:hAnsi="Times New Roman" w:cs="Times New Roman"/>
          <w:color w:val="4D4D4D"/>
          <w:sz w:val="29"/>
          <w:szCs w:val="29"/>
          <w:shd w:val="clear" w:color="auto" w:fill="FFFFFF"/>
        </w:rPr>
        <w:t>个月与未达到）（</w:t>
      </w:r>
      <w:hyperlink r:id="rId39" w:tooltip="查看完整尺寸" w:history="1">
        <w:r>
          <w:rPr>
            <w:rStyle w:val="a3"/>
            <w:rFonts w:ascii="Times New Roman" w:hAnsi="Times New Roman" w:cs="Times New Roman"/>
            <w:color w:val="0B4F82"/>
            <w:sz w:val="29"/>
            <w:szCs w:val="29"/>
            <w:bdr w:val="none" w:sz="0" w:space="0" w:color="auto" w:frame="1"/>
            <w:shd w:val="clear" w:color="auto" w:fill="FFFFFF"/>
          </w:rPr>
          <w:t>图</w:t>
        </w:r>
        <w:r>
          <w:rPr>
            <w:rStyle w:val="a3"/>
            <w:rFonts w:ascii="Times New Roman" w:hAnsi="Times New Roman" w:cs="Times New Roman"/>
            <w:color w:val="0B4F82"/>
            <w:sz w:val="29"/>
            <w:szCs w:val="29"/>
            <w:bdr w:val="none" w:sz="0" w:space="0" w:color="auto" w:frame="1"/>
            <w:shd w:val="clear" w:color="auto" w:fill="FFFFFF"/>
          </w:rPr>
          <w:t>1B</w:t>
        </w:r>
      </w:hyperlink>
      <w:r>
        <w:rPr>
          <w:rFonts w:ascii="Times New Roman" w:hAnsi="Times New Roman" w:cs="Times New Roman"/>
          <w:color w:val="4D4D4D"/>
          <w:sz w:val="29"/>
          <w:szCs w:val="29"/>
          <w:shd w:val="clear" w:color="auto" w:fill="FFFFFF"/>
        </w:rPr>
        <w:t>）。具有高风险基因特征的肿瘤与具有低风险基因特征的肿瘤（</w:t>
      </w:r>
      <w:r>
        <w:rPr>
          <w:rFonts w:ascii="Times New Roman" w:hAnsi="Times New Roman" w:cs="Times New Roman"/>
          <w:color w:val="4D4D4D"/>
          <w:sz w:val="29"/>
          <w:szCs w:val="29"/>
          <w:shd w:val="clear" w:color="auto" w:fill="FFFFFF"/>
        </w:rPr>
        <w:t>12</w:t>
      </w:r>
      <w:r>
        <w:rPr>
          <w:rFonts w:ascii="Times New Roman" w:hAnsi="Times New Roman" w:cs="Times New Roman"/>
          <w:color w:val="4D4D4D"/>
          <w:sz w:val="29"/>
          <w:szCs w:val="29"/>
          <w:shd w:val="clear" w:color="auto" w:fill="FFFFFF"/>
        </w:rPr>
        <w:t>个月与未达到）相比具有较低的中位无复发存活率（</w:t>
      </w:r>
      <w:hyperlink r:id="rId40" w:tooltip="查看完整尺寸" w:history="1">
        <w:r>
          <w:rPr>
            <w:rStyle w:val="a3"/>
            <w:rFonts w:ascii="Times New Roman" w:hAnsi="Times New Roman" w:cs="Times New Roman"/>
            <w:color w:val="0B4F82"/>
            <w:sz w:val="29"/>
            <w:szCs w:val="29"/>
            <w:bdr w:val="none" w:sz="0" w:space="0" w:color="auto" w:frame="1"/>
            <w:shd w:val="clear" w:color="auto" w:fill="FFFFFF"/>
          </w:rPr>
          <w:t>图</w:t>
        </w:r>
        <w:r>
          <w:rPr>
            <w:rStyle w:val="a3"/>
            <w:rFonts w:ascii="Times New Roman" w:hAnsi="Times New Roman" w:cs="Times New Roman"/>
            <w:color w:val="0B4F82"/>
            <w:sz w:val="29"/>
            <w:szCs w:val="29"/>
            <w:bdr w:val="none" w:sz="0" w:space="0" w:color="auto" w:frame="1"/>
            <w:shd w:val="clear" w:color="auto" w:fill="FFFFFF"/>
          </w:rPr>
          <w:t>1B</w:t>
        </w:r>
      </w:hyperlink>
      <w:r>
        <w:rPr>
          <w:rFonts w:ascii="Times New Roman" w:hAnsi="Times New Roman" w:cs="Times New Roman"/>
          <w:color w:val="4D4D4D"/>
          <w:sz w:val="29"/>
          <w:szCs w:val="29"/>
          <w:shd w:val="clear" w:color="auto" w:fill="FFFFFF"/>
        </w:rPr>
        <w:t>）。培训队列的中位随访时间为</w:t>
      </w:r>
      <w:r>
        <w:rPr>
          <w:rFonts w:ascii="Times New Roman" w:hAnsi="Times New Roman" w:cs="Times New Roman"/>
          <w:color w:val="4D4D4D"/>
          <w:sz w:val="29"/>
          <w:szCs w:val="29"/>
          <w:shd w:val="clear" w:color="auto" w:fill="FFFFFF"/>
        </w:rPr>
        <w:t>20</w:t>
      </w:r>
      <w:r>
        <w:rPr>
          <w:rFonts w:ascii="Times New Roman" w:hAnsi="Times New Roman" w:cs="Times New Roman"/>
          <w:color w:val="4D4D4D"/>
          <w:sz w:val="29"/>
          <w:szCs w:val="29"/>
          <w:shd w:val="clear" w:color="auto" w:fill="FFFFFF"/>
        </w:rPr>
        <w:t>个月。</w:t>
      </w:r>
    </w:p>
    <w:p w:rsidR="00A92D7F" w:rsidRDefault="00A92D7F" w:rsidP="00A92D7F">
      <w:pPr>
        <w:rPr>
          <w:rFonts w:ascii="Times New Roman" w:hAnsi="Times New Roman" w:cs="Times New Roman" w:hint="eastAsia"/>
          <w:color w:val="4D4D4D"/>
          <w:sz w:val="29"/>
          <w:szCs w:val="29"/>
          <w:shd w:val="clear" w:color="auto" w:fill="FFFFFF"/>
        </w:rPr>
      </w:pPr>
      <w:r>
        <w:rPr>
          <w:rFonts w:ascii="Times New Roman" w:hAnsi="Times New Roman" w:cs="Times New Roman"/>
          <w:color w:val="4D4D4D"/>
          <w:sz w:val="29"/>
          <w:szCs w:val="29"/>
          <w:shd w:val="clear" w:color="auto" w:fill="FFFFFF"/>
        </w:rPr>
        <w:t>测试组中的结果与训练组中的结果相似。在</w:t>
      </w:r>
      <w:r>
        <w:rPr>
          <w:rFonts w:ascii="Times New Roman" w:hAnsi="Times New Roman" w:cs="Times New Roman"/>
          <w:color w:val="4D4D4D"/>
          <w:sz w:val="29"/>
          <w:szCs w:val="29"/>
          <w:shd w:val="clear" w:color="auto" w:fill="FFFFFF"/>
        </w:rPr>
        <w:t>62</w:t>
      </w:r>
      <w:r>
        <w:rPr>
          <w:rFonts w:ascii="Times New Roman" w:hAnsi="Times New Roman" w:cs="Times New Roman"/>
          <w:color w:val="4D4D4D"/>
          <w:sz w:val="29"/>
          <w:szCs w:val="29"/>
          <w:shd w:val="clear" w:color="auto" w:fill="FFFFFF"/>
        </w:rPr>
        <w:t>名患者中，具有高风险评分的肿瘤表达风险基因，而具有低风险评分的肿瘤表达保护性基因（</w:t>
      </w:r>
      <w:hyperlink r:id="rId41" w:tooltip="查看完整尺寸" w:history="1">
        <w:r>
          <w:rPr>
            <w:rStyle w:val="a3"/>
            <w:rFonts w:ascii="Times New Roman" w:hAnsi="Times New Roman" w:cs="Times New Roman"/>
            <w:color w:val="0B4F82"/>
            <w:sz w:val="29"/>
            <w:szCs w:val="29"/>
            <w:bdr w:val="none" w:sz="0" w:space="0" w:color="auto" w:frame="1"/>
            <w:shd w:val="clear" w:color="auto" w:fill="FFFFFF"/>
          </w:rPr>
          <w:t>图</w:t>
        </w:r>
        <w:r>
          <w:rPr>
            <w:rStyle w:val="a3"/>
            <w:rFonts w:ascii="Times New Roman" w:hAnsi="Times New Roman" w:cs="Times New Roman"/>
            <w:color w:val="0B4F82"/>
            <w:sz w:val="29"/>
            <w:szCs w:val="29"/>
            <w:bdr w:val="none" w:sz="0" w:space="0" w:color="auto" w:frame="1"/>
            <w:shd w:val="clear" w:color="auto" w:fill="FFFFFF"/>
          </w:rPr>
          <w:t>1A</w:t>
        </w:r>
      </w:hyperlink>
      <w:r>
        <w:rPr>
          <w:rFonts w:ascii="Times New Roman" w:hAnsi="Times New Roman" w:cs="Times New Roman"/>
          <w:color w:val="4D4D4D"/>
          <w:sz w:val="29"/>
          <w:szCs w:val="29"/>
          <w:shd w:val="clear" w:color="auto" w:fill="FFFFFF"/>
        </w:rPr>
        <w:t>）。具有高风险</w:t>
      </w:r>
      <w:r>
        <w:rPr>
          <w:rFonts w:ascii="Times New Roman" w:hAnsi="Times New Roman" w:cs="Times New Roman"/>
          <w:color w:val="4D4D4D"/>
          <w:sz w:val="29"/>
          <w:szCs w:val="29"/>
          <w:shd w:val="clear" w:color="auto" w:fill="FFFFFF"/>
        </w:rPr>
        <w:t>16</w:t>
      </w:r>
      <w:r>
        <w:rPr>
          <w:rFonts w:ascii="Times New Roman" w:hAnsi="Times New Roman" w:cs="Times New Roman"/>
          <w:color w:val="4D4D4D"/>
          <w:sz w:val="29"/>
          <w:szCs w:val="29"/>
          <w:shd w:val="clear" w:color="auto" w:fill="FFFFFF"/>
        </w:rPr>
        <w:t>基因特征的患者的中位总生存期低于具有低风险基因特征的患者（</w:t>
      </w:r>
      <w:hyperlink r:id="rId42" w:tooltip="查看完整尺寸" w:history="1">
        <w:r>
          <w:rPr>
            <w:rStyle w:val="a3"/>
            <w:rFonts w:ascii="Times New Roman" w:hAnsi="Times New Roman" w:cs="Times New Roman"/>
            <w:color w:val="0B4F82"/>
            <w:sz w:val="29"/>
            <w:szCs w:val="29"/>
            <w:bdr w:val="none" w:sz="0" w:space="0" w:color="auto" w:frame="1"/>
            <w:shd w:val="clear" w:color="auto" w:fill="FFFFFF"/>
          </w:rPr>
          <w:t>图</w:t>
        </w:r>
        <w:r>
          <w:rPr>
            <w:rStyle w:val="a3"/>
            <w:rFonts w:ascii="Times New Roman" w:hAnsi="Times New Roman" w:cs="Times New Roman"/>
            <w:color w:val="0B4F82"/>
            <w:sz w:val="29"/>
            <w:szCs w:val="29"/>
            <w:bdr w:val="none" w:sz="0" w:space="0" w:color="auto" w:frame="1"/>
            <w:shd w:val="clear" w:color="auto" w:fill="FFFFFF"/>
          </w:rPr>
          <w:t>1C</w:t>
        </w:r>
      </w:hyperlink>
      <w:r>
        <w:rPr>
          <w:rFonts w:ascii="Times New Roman" w:hAnsi="Times New Roman" w:cs="Times New Roman"/>
          <w:color w:val="4D4D4D"/>
          <w:sz w:val="29"/>
          <w:szCs w:val="29"/>
          <w:shd w:val="clear" w:color="auto" w:fill="FFFFFF"/>
        </w:rPr>
        <w:t>）。具有高风险基因特征的肿瘤与具有低风险基因特征的肿瘤（</w:t>
      </w:r>
      <w:r>
        <w:rPr>
          <w:rFonts w:ascii="Times New Roman" w:hAnsi="Times New Roman" w:cs="Times New Roman"/>
          <w:color w:val="4D4D4D"/>
          <w:sz w:val="29"/>
          <w:szCs w:val="29"/>
          <w:shd w:val="clear" w:color="auto" w:fill="FFFFFF"/>
        </w:rPr>
        <w:t>18</w:t>
      </w:r>
      <w:r>
        <w:rPr>
          <w:rFonts w:ascii="Times New Roman" w:hAnsi="Times New Roman" w:cs="Times New Roman"/>
          <w:color w:val="4D4D4D"/>
          <w:sz w:val="29"/>
          <w:szCs w:val="29"/>
          <w:shd w:val="clear" w:color="auto" w:fill="FFFFFF"/>
        </w:rPr>
        <w:t>个月与未达到）相比具有较低的中位无复发存活率（</w:t>
      </w:r>
      <w:hyperlink r:id="rId43" w:tooltip="查看完整尺寸" w:history="1">
        <w:r>
          <w:rPr>
            <w:rStyle w:val="a3"/>
            <w:rFonts w:ascii="Times New Roman" w:hAnsi="Times New Roman" w:cs="Times New Roman"/>
            <w:color w:val="0B4F82"/>
            <w:sz w:val="29"/>
            <w:szCs w:val="29"/>
            <w:bdr w:val="none" w:sz="0" w:space="0" w:color="auto" w:frame="1"/>
            <w:shd w:val="clear" w:color="auto" w:fill="FFFFFF"/>
          </w:rPr>
          <w:t>图</w:t>
        </w:r>
        <w:r>
          <w:rPr>
            <w:rStyle w:val="a3"/>
            <w:rFonts w:ascii="Times New Roman" w:hAnsi="Times New Roman" w:cs="Times New Roman"/>
            <w:color w:val="0B4F82"/>
            <w:sz w:val="29"/>
            <w:szCs w:val="29"/>
            <w:bdr w:val="none" w:sz="0" w:space="0" w:color="auto" w:frame="1"/>
            <w:shd w:val="clear" w:color="auto" w:fill="FFFFFF"/>
          </w:rPr>
          <w:t>1C</w:t>
        </w:r>
      </w:hyperlink>
      <w:r>
        <w:rPr>
          <w:rFonts w:ascii="Times New Roman" w:hAnsi="Times New Roman" w:cs="Times New Roman"/>
          <w:color w:val="4D4D4D"/>
          <w:sz w:val="29"/>
          <w:szCs w:val="29"/>
          <w:shd w:val="clear" w:color="auto" w:fill="FFFFFF"/>
        </w:rPr>
        <w:t>）。检测队列的中位随访时间为</w:t>
      </w:r>
      <w:r>
        <w:rPr>
          <w:rFonts w:ascii="Times New Roman" w:hAnsi="Times New Roman" w:cs="Times New Roman"/>
          <w:color w:val="4D4D4D"/>
          <w:sz w:val="29"/>
          <w:szCs w:val="29"/>
          <w:shd w:val="clear" w:color="auto" w:fill="FFFFFF"/>
        </w:rPr>
        <w:t>18</w:t>
      </w:r>
      <w:r>
        <w:rPr>
          <w:rFonts w:ascii="Times New Roman" w:hAnsi="Times New Roman" w:cs="Times New Roman"/>
          <w:color w:val="4D4D4D"/>
          <w:sz w:val="29"/>
          <w:szCs w:val="29"/>
          <w:shd w:val="clear" w:color="auto" w:fill="FFFFFF"/>
        </w:rPr>
        <w:t>个月。我们的整个微阵列数据集可在线获取（</w:t>
      </w:r>
      <w:hyperlink r:id="rId44" w:history="1">
        <w:r w:rsidRPr="005933C1">
          <w:rPr>
            <w:rStyle w:val="a3"/>
            <w:rFonts w:ascii="Times New Roman" w:hAnsi="Times New Roman" w:cs="Times New Roman"/>
            <w:sz w:val="29"/>
            <w:szCs w:val="29"/>
            <w:shd w:val="clear" w:color="auto" w:fill="FFFFFF"/>
          </w:rPr>
          <w:t>www.ncbi.nlm.nih.gov/projects/geo/</w:t>
        </w:r>
        <w:r w:rsidRPr="005933C1">
          <w:rPr>
            <w:rStyle w:val="a3"/>
            <w:rFonts w:ascii="Times New Roman" w:hAnsi="Times New Roman" w:cs="Times New Roman"/>
            <w:sz w:val="29"/>
            <w:szCs w:val="29"/>
            <w:shd w:val="clear" w:color="auto" w:fill="FFFFFF"/>
          </w:rPr>
          <w:t>）数据系列登记号为</w:t>
        </w:r>
        <w:r w:rsidRPr="005933C1">
          <w:rPr>
            <w:rStyle w:val="a3"/>
            <w:rFonts w:ascii="Times New Roman" w:hAnsi="Times New Roman" w:cs="Times New Roman"/>
            <w:sz w:val="29"/>
            <w:szCs w:val="29"/>
            <w:shd w:val="clear" w:color="auto" w:fill="FFFFFF"/>
          </w:rPr>
          <w:t>GSE4882</w:t>
        </w:r>
      </w:hyperlink>
      <w:r>
        <w:rPr>
          <w:rFonts w:ascii="Times New Roman" w:hAnsi="Times New Roman" w:cs="Times New Roman"/>
          <w:color w:val="4D4D4D"/>
          <w:sz w:val="29"/>
          <w:szCs w:val="29"/>
          <w:shd w:val="clear" w:color="auto" w:fill="FFFFFF"/>
        </w:rPr>
        <w:t>。</w:t>
      </w:r>
    </w:p>
    <w:p w:rsidR="00A92D7F" w:rsidRDefault="00A92D7F" w:rsidP="00A92D7F">
      <w:pPr>
        <w:pStyle w:val="2"/>
        <w:shd w:val="clear" w:color="auto" w:fill="FFFFFF"/>
        <w:spacing w:before="300" w:after="0" w:line="420" w:lineRule="atLeast"/>
        <w:textAlignment w:val="baseline"/>
        <w:rPr>
          <w:rFonts w:ascii="Helvetica" w:hAnsi="Helvetica" w:cs="Helvetica"/>
          <w:caps/>
          <w:color w:val="1A1A1A"/>
          <w:spacing w:val="29"/>
          <w:sz w:val="20"/>
          <w:szCs w:val="20"/>
        </w:rPr>
      </w:pPr>
      <w:r>
        <w:rPr>
          <w:rFonts w:ascii="Helvetica" w:hAnsi="Helvetica" w:cs="Helvetica"/>
          <w:caps/>
          <w:color w:val="1A1A1A"/>
          <w:spacing w:val="29"/>
          <w:sz w:val="20"/>
          <w:szCs w:val="20"/>
        </w:rPr>
        <w:t>五基因签名与生存</w:t>
      </w:r>
    </w:p>
    <w:p w:rsidR="00A92D7F" w:rsidRDefault="00A92D7F" w:rsidP="00A92D7F">
      <w:pPr>
        <w:pStyle w:val="f-body"/>
        <w:shd w:val="clear" w:color="auto" w:fill="FFFFFF"/>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对于</w:t>
      </w:r>
      <w:r>
        <w:rPr>
          <w:rFonts w:ascii="Times New Roman" w:hAnsi="Times New Roman" w:cs="Times New Roman"/>
          <w:color w:val="4D4D4D"/>
          <w:sz w:val="29"/>
          <w:szCs w:val="29"/>
        </w:rPr>
        <w:t>125</w:t>
      </w:r>
      <w:r>
        <w:rPr>
          <w:rFonts w:ascii="Times New Roman" w:hAnsi="Times New Roman" w:cs="Times New Roman"/>
          <w:color w:val="4D4D4D"/>
          <w:sz w:val="29"/>
          <w:szCs w:val="29"/>
        </w:rPr>
        <w:t>个肿瘤样本中的</w:t>
      </w:r>
      <w:r>
        <w:rPr>
          <w:rFonts w:ascii="Times New Roman" w:hAnsi="Times New Roman" w:cs="Times New Roman"/>
          <w:color w:val="4D4D4D"/>
          <w:sz w:val="29"/>
          <w:szCs w:val="29"/>
        </w:rPr>
        <w:t>101</w:t>
      </w:r>
      <w:r>
        <w:rPr>
          <w:rFonts w:ascii="Times New Roman" w:hAnsi="Times New Roman" w:cs="Times New Roman"/>
          <w:color w:val="4D4D4D"/>
          <w:sz w:val="29"/>
          <w:szCs w:val="29"/>
        </w:rPr>
        <w:t>个中的</w:t>
      </w:r>
      <w:r>
        <w:rPr>
          <w:rFonts w:ascii="Times New Roman" w:hAnsi="Times New Roman" w:cs="Times New Roman"/>
          <w:color w:val="4D4D4D"/>
          <w:sz w:val="29"/>
          <w:szCs w:val="29"/>
        </w:rPr>
        <w:t>16</w:t>
      </w:r>
      <w:r>
        <w:rPr>
          <w:rFonts w:ascii="Times New Roman" w:hAnsi="Times New Roman" w:cs="Times New Roman"/>
          <w:color w:val="4D4D4D"/>
          <w:sz w:val="29"/>
          <w:szCs w:val="29"/>
        </w:rPr>
        <w:t>个基因中的</w:t>
      </w:r>
      <w:r>
        <w:rPr>
          <w:rFonts w:ascii="Times New Roman" w:hAnsi="Times New Roman" w:cs="Times New Roman"/>
          <w:color w:val="4D4D4D"/>
          <w:sz w:val="29"/>
          <w:szCs w:val="29"/>
        </w:rPr>
        <w:t>5</w:t>
      </w:r>
      <w:r>
        <w:rPr>
          <w:rFonts w:ascii="Times New Roman" w:hAnsi="Times New Roman" w:cs="Times New Roman"/>
          <w:color w:val="4D4D4D"/>
          <w:sz w:val="29"/>
          <w:szCs w:val="29"/>
        </w:rPr>
        <w:t>个的基因表达数据，微阵列和</w:t>
      </w:r>
      <w:r>
        <w:rPr>
          <w:rFonts w:ascii="Times New Roman" w:hAnsi="Times New Roman" w:cs="Times New Roman"/>
          <w:color w:val="4D4D4D"/>
          <w:sz w:val="29"/>
          <w:szCs w:val="29"/>
        </w:rPr>
        <w:t>RT-PCR</w:t>
      </w:r>
      <w:r>
        <w:rPr>
          <w:rFonts w:ascii="Times New Roman" w:hAnsi="Times New Roman" w:cs="Times New Roman"/>
          <w:color w:val="4D4D4D"/>
          <w:sz w:val="29"/>
          <w:szCs w:val="29"/>
        </w:rPr>
        <w:t>分析的结果之间存在显着相关性（</w:t>
      </w:r>
      <w:hyperlink r:id="rId45" w:tooltip="查看完整尺寸" w:history="1">
        <w:r>
          <w:rPr>
            <w:rStyle w:val="a3"/>
            <w:rFonts w:ascii="inherit" w:hAnsi="inherit" w:cs="Times New Roman"/>
            <w:color w:val="0B4F82"/>
            <w:sz w:val="29"/>
            <w:szCs w:val="29"/>
            <w:bdr w:val="none" w:sz="0" w:space="0" w:color="auto" w:frame="1"/>
          </w:rPr>
          <w:t>表</w:t>
        </w:r>
        <w:r>
          <w:rPr>
            <w:rStyle w:val="a3"/>
            <w:rFonts w:ascii="inherit" w:hAnsi="inherit" w:cs="Times New Roman"/>
            <w:color w:val="0B4F82"/>
            <w:sz w:val="29"/>
            <w:szCs w:val="29"/>
            <w:bdr w:val="none" w:sz="0" w:space="0" w:color="auto" w:frame="1"/>
          </w:rPr>
          <w:t>1</w:t>
        </w:r>
      </w:hyperlink>
      <w:r>
        <w:rPr>
          <w:rFonts w:ascii="Times New Roman" w:hAnsi="Times New Roman" w:cs="Times New Roman"/>
          <w:color w:val="4D4D4D"/>
          <w:sz w:val="29"/>
          <w:szCs w:val="29"/>
        </w:rPr>
        <w:t>）。这五个基因用于双特异性磷酸酶</w:t>
      </w:r>
      <w:r>
        <w:rPr>
          <w:rFonts w:ascii="Times New Roman" w:hAnsi="Times New Roman" w:cs="Times New Roman"/>
          <w:color w:val="4D4D4D"/>
          <w:sz w:val="29"/>
          <w:szCs w:val="29"/>
        </w:rPr>
        <w:t>6</w:t>
      </w:r>
      <w:r>
        <w:rPr>
          <w:rFonts w:ascii="Times New Roman" w:hAnsi="Times New Roman" w:cs="Times New Roman"/>
          <w:color w:val="4D4D4D"/>
          <w:sz w:val="29"/>
          <w:szCs w:val="29"/>
        </w:rPr>
        <w:t>（</w:t>
      </w:r>
      <w:r>
        <w:rPr>
          <w:rFonts w:ascii="inherit" w:hAnsi="inherit" w:cs="Times New Roman"/>
          <w:i/>
          <w:iCs/>
          <w:color w:val="4D4D4D"/>
          <w:sz w:val="29"/>
          <w:szCs w:val="29"/>
          <w:bdr w:val="none" w:sz="0" w:space="0" w:color="auto" w:frame="1"/>
        </w:rPr>
        <w:t>DUSP6</w:t>
      </w:r>
      <w:r>
        <w:rPr>
          <w:rFonts w:ascii="Times New Roman" w:hAnsi="Times New Roman" w:cs="Times New Roman"/>
          <w:color w:val="4D4D4D"/>
          <w:sz w:val="29"/>
          <w:szCs w:val="29"/>
        </w:rPr>
        <w:t>），单核细胞</w:t>
      </w:r>
      <w:r>
        <w:rPr>
          <w:rFonts w:ascii="Times New Roman" w:hAnsi="Times New Roman" w:cs="Times New Roman"/>
          <w:color w:val="4D4D4D"/>
          <w:sz w:val="29"/>
          <w:szCs w:val="29"/>
        </w:rPr>
        <w:t xml:space="preserve"> - </w:t>
      </w:r>
      <w:r>
        <w:rPr>
          <w:rFonts w:ascii="Times New Roman" w:hAnsi="Times New Roman" w:cs="Times New Roman"/>
          <w:color w:val="4D4D4D"/>
          <w:sz w:val="29"/>
          <w:szCs w:val="29"/>
        </w:rPr>
        <w:t>巨噬细胞分化相关蛋白（</w:t>
      </w:r>
      <w:r>
        <w:rPr>
          <w:rFonts w:ascii="inherit" w:hAnsi="inherit" w:cs="Times New Roman"/>
          <w:i/>
          <w:iCs/>
          <w:color w:val="4D4D4D"/>
          <w:sz w:val="29"/>
          <w:szCs w:val="29"/>
          <w:bdr w:val="none" w:sz="0" w:space="0" w:color="auto" w:frame="1"/>
        </w:rPr>
        <w:t>MMD</w:t>
      </w:r>
      <w:r>
        <w:rPr>
          <w:rFonts w:ascii="Times New Roman" w:hAnsi="Times New Roman" w:cs="Times New Roman"/>
          <w:color w:val="4D4D4D"/>
          <w:sz w:val="29"/>
          <w:szCs w:val="29"/>
        </w:rPr>
        <w:t>），信号转导和转录激活因子</w:t>
      </w:r>
      <w:r>
        <w:rPr>
          <w:rFonts w:ascii="Times New Roman" w:hAnsi="Times New Roman" w:cs="Times New Roman"/>
          <w:color w:val="4D4D4D"/>
          <w:sz w:val="29"/>
          <w:szCs w:val="29"/>
        </w:rPr>
        <w:t>1</w:t>
      </w:r>
      <w:r>
        <w:rPr>
          <w:rFonts w:ascii="Times New Roman" w:hAnsi="Times New Roman" w:cs="Times New Roman"/>
          <w:color w:val="4D4D4D"/>
          <w:sz w:val="29"/>
          <w:szCs w:val="29"/>
        </w:rPr>
        <w:t>（</w:t>
      </w:r>
      <w:r>
        <w:rPr>
          <w:rFonts w:ascii="inherit" w:hAnsi="inherit" w:cs="Times New Roman"/>
          <w:i/>
          <w:iCs/>
          <w:color w:val="4D4D4D"/>
          <w:sz w:val="29"/>
          <w:szCs w:val="29"/>
          <w:bdr w:val="none" w:sz="0" w:space="0" w:color="auto" w:frame="1"/>
        </w:rPr>
        <w:t>STAT1</w:t>
      </w:r>
      <w:r>
        <w:rPr>
          <w:rFonts w:ascii="Times New Roman" w:hAnsi="Times New Roman" w:cs="Times New Roman"/>
          <w:color w:val="4D4D4D"/>
          <w:sz w:val="29"/>
          <w:szCs w:val="29"/>
        </w:rPr>
        <w:t>），</w:t>
      </w:r>
      <w:r>
        <w:rPr>
          <w:rFonts w:ascii="Times New Roman" w:hAnsi="Times New Roman" w:cs="Times New Roman"/>
          <w:color w:val="4D4D4D"/>
          <w:sz w:val="29"/>
          <w:szCs w:val="29"/>
        </w:rPr>
        <w:t>v-erb-b2</w:t>
      </w:r>
      <w:r>
        <w:rPr>
          <w:rFonts w:ascii="Times New Roman" w:hAnsi="Times New Roman" w:cs="Times New Roman"/>
          <w:color w:val="4D4D4D"/>
          <w:sz w:val="29"/>
          <w:szCs w:val="29"/>
        </w:rPr>
        <w:t>禽红细胞白血病病毒致癌基因同源</w:t>
      </w:r>
      <w:r>
        <w:rPr>
          <w:rFonts w:ascii="Times New Roman" w:hAnsi="Times New Roman" w:cs="Times New Roman"/>
          <w:color w:val="4D4D4D"/>
          <w:sz w:val="29"/>
          <w:szCs w:val="29"/>
        </w:rPr>
        <w:t xml:space="preserve">3 </w:t>
      </w:r>
      <w:r>
        <w:rPr>
          <w:rFonts w:ascii="Times New Roman" w:hAnsi="Times New Roman" w:cs="Times New Roman"/>
          <w:color w:val="4D4D4D"/>
          <w:sz w:val="29"/>
          <w:szCs w:val="29"/>
        </w:rPr>
        <w:t>（</w:t>
      </w:r>
      <w:r>
        <w:rPr>
          <w:rFonts w:ascii="inherit" w:hAnsi="inherit" w:cs="Times New Roman"/>
          <w:i/>
          <w:iCs/>
          <w:color w:val="4D4D4D"/>
          <w:sz w:val="29"/>
          <w:szCs w:val="29"/>
          <w:bdr w:val="none" w:sz="0" w:space="0" w:color="auto" w:frame="1"/>
        </w:rPr>
        <w:t>ERBB3</w:t>
      </w:r>
      <w:r>
        <w:rPr>
          <w:rFonts w:ascii="Times New Roman" w:hAnsi="Times New Roman" w:cs="Times New Roman"/>
          <w:color w:val="4D4D4D"/>
          <w:sz w:val="29"/>
          <w:szCs w:val="29"/>
        </w:rPr>
        <w:t>）和淋巴细胞特异性蛋白酪氨酸激酶（</w:t>
      </w:r>
      <w:r>
        <w:rPr>
          <w:rFonts w:ascii="inherit" w:hAnsi="inherit" w:cs="Times New Roman"/>
          <w:i/>
          <w:iCs/>
          <w:color w:val="4D4D4D"/>
          <w:sz w:val="29"/>
          <w:szCs w:val="29"/>
          <w:bdr w:val="none" w:sz="0" w:space="0" w:color="auto" w:frame="1"/>
        </w:rPr>
        <w:t>LCK</w:t>
      </w:r>
      <w:r>
        <w:rPr>
          <w:rFonts w:ascii="Times New Roman" w:hAnsi="Times New Roman" w:cs="Times New Roman"/>
          <w:color w:val="4D4D4D"/>
          <w:sz w:val="29"/>
          <w:szCs w:val="29"/>
        </w:rPr>
        <w:t>）。</w:t>
      </w:r>
    </w:p>
    <w:p w:rsidR="00A92D7F" w:rsidRDefault="00A92D7F" w:rsidP="00A92D7F">
      <w:pPr>
        <w:rPr>
          <w:rFonts w:ascii="Times New Roman" w:hAnsi="Times New Roman" w:cs="Times New Roman" w:hint="eastAsia"/>
          <w:color w:val="4D4D4D"/>
          <w:sz w:val="29"/>
          <w:szCs w:val="29"/>
          <w:shd w:val="clear" w:color="auto" w:fill="FFFFFF"/>
        </w:rPr>
      </w:pPr>
      <w:r>
        <w:rPr>
          <w:rFonts w:ascii="Times New Roman" w:hAnsi="Times New Roman" w:cs="Times New Roman"/>
          <w:color w:val="4D4D4D"/>
          <w:sz w:val="29"/>
          <w:szCs w:val="29"/>
          <w:shd w:val="clear" w:color="auto" w:fill="FFFFFF"/>
        </w:rPr>
        <w:t>根据用</w:t>
      </w:r>
      <w:r>
        <w:rPr>
          <w:rFonts w:ascii="Times New Roman" w:hAnsi="Times New Roman" w:cs="Times New Roman"/>
          <w:color w:val="4D4D4D"/>
          <w:sz w:val="29"/>
          <w:szCs w:val="29"/>
          <w:shd w:val="clear" w:color="auto" w:fill="FFFFFF"/>
        </w:rPr>
        <w:t>RT-PCR</w:t>
      </w:r>
      <w:r>
        <w:rPr>
          <w:rFonts w:ascii="Times New Roman" w:hAnsi="Times New Roman" w:cs="Times New Roman"/>
          <w:color w:val="4D4D4D"/>
          <w:sz w:val="29"/>
          <w:szCs w:val="29"/>
          <w:shd w:val="clear" w:color="auto" w:fill="FFFFFF"/>
        </w:rPr>
        <w:t>和决策树分析测量的基因表达，我们鉴定了</w:t>
      </w:r>
      <w:r>
        <w:rPr>
          <w:rFonts w:ascii="Times New Roman" w:hAnsi="Times New Roman" w:cs="Times New Roman"/>
          <w:color w:val="4D4D4D"/>
          <w:sz w:val="29"/>
          <w:szCs w:val="29"/>
          <w:shd w:val="clear" w:color="auto" w:fill="FFFFFF"/>
        </w:rPr>
        <w:t>59</w:t>
      </w:r>
      <w:r>
        <w:rPr>
          <w:rFonts w:ascii="Times New Roman" w:hAnsi="Times New Roman" w:cs="Times New Roman"/>
          <w:color w:val="4D4D4D"/>
          <w:sz w:val="29"/>
          <w:szCs w:val="29"/>
          <w:shd w:val="clear" w:color="auto" w:fill="FFFFFF"/>
        </w:rPr>
        <w:t>名具有高风险基因特征的患者和</w:t>
      </w:r>
      <w:r>
        <w:rPr>
          <w:rFonts w:ascii="Times New Roman" w:hAnsi="Times New Roman" w:cs="Times New Roman"/>
          <w:color w:val="4D4D4D"/>
          <w:sz w:val="29"/>
          <w:szCs w:val="29"/>
          <w:shd w:val="clear" w:color="auto" w:fill="FFFFFF"/>
        </w:rPr>
        <w:t>42</w:t>
      </w:r>
      <w:r>
        <w:rPr>
          <w:rFonts w:ascii="Times New Roman" w:hAnsi="Times New Roman" w:cs="Times New Roman"/>
          <w:color w:val="4D4D4D"/>
          <w:sz w:val="29"/>
          <w:szCs w:val="29"/>
          <w:shd w:val="clear" w:color="auto" w:fill="FFFFFF"/>
        </w:rPr>
        <w:t>名具有低风险基因特征的患者（参见</w:t>
      </w:r>
      <w:hyperlink r:id="rId46" w:history="1">
        <w:r>
          <w:rPr>
            <w:rStyle w:val="a3"/>
            <w:rFonts w:ascii="Times New Roman" w:hAnsi="Times New Roman" w:cs="Times New Roman"/>
            <w:color w:val="0B4F82"/>
            <w:sz w:val="29"/>
            <w:szCs w:val="29"/>
            <w:shd w:val="clear" w:color="auto" w:fill="FFFFFF"/>
          </w:rPr>
          <w:t>补充附录的</w:t>
        </w:r>
      </w:hyperlink>
      <w:r>
        <w:rPr>
          <w:rFonts w:ascii="Times New Roman" w:hAnsi="Times New Roman" w:cs="Times New Roman"/>
          <w:color w:val="4D4D4D"/>
          <w:sz w:val="29"/>
          <w:szCs w:val="29"/>
          <w:shd w:val="clear" w:color="auto" w:fill="FFFFFF"/>
        </w:rPr>
        <w:t>图</w:t>
      </w:r>
      <w:r>
        <w:rPr>
          <w:rFonts w:ascii="Times New Roman" w:hAnsi="Times New Roman" w:cs="Times New Roman"/>
          <w:color w:val="4D4D4D"/>
          <w:sz w:val="29"/>
          <w:szCs w:val="29"/>
          <w:shd w:val="clear" w:color="auto" w:fill="FFFFFF"/>
        </w:rPr>
        <w:t>1 </w:t>
      </w:r>
      <w:r>
        <w:rPr>
          <w:rFonts w:ascii="Times New Roman" w:hAnsi="Times New Roman" w:cs="Times New Roman"/>
          <w:color w:val="4D4D4D"/>
          <w:sz w:val="29"/>
          <w:szCs w:val="29"/>
          <w:shd w:val="clear" w:color="auto" w:fill="FFFFFF"/>
        </w:rPr>
        <w:t>）。决策树的结构基于五个基因中每一个的表达阈值，如根据递归分区算法自动确定的。使用该算法可以将具有高风险特征的患者与具有低风险特征的患者最准确地分离。</w:t>
      </w:r>
      <w:hyperlink r:id="rId47" w:tooltip="查看完整尺寸" w:history="1">
        <w:r>
          <w:rPr>
            <w:rStyle w:val="a3"/>
            <w:rFonts w:ascii="Times New Roman" w:hAnsi="Times New Roman" w:cs="Times New Roman"/>
            <w:color w:val="0B4F82"/>
            <w:sz w:val="29"/>
            <w:szCs w:val="29"/>
            <w:bdr w:val="none" w:sz="0" w:space="0" w:color="auto" w:frame="1"/>
            <w:shd w:val="clear" w:color="auto" w:fill="FFFFFF"/>
          </w:rPr>
          <w:t>表</w:t>
        </w:r>
        <w:r>
          <w:rPr>
            <w:rStyle w:val="a3"/>
            <w:rFonts w:ascii="Times New Roman" w:hAnsi="Times New Roman" w:cs="Times New Roman"/>
            <w:color w:val="0B4F82"/>
            <w:sz w:val="29"/>
            <w:szCs w:val="29"/>
            <w:bdr w:val="none" w:sz="0" w:space="0" w:color="auto" w:frame="1"/>
            <w:shd w:val="clear" w:color="auto" w:fill="FFFFFF"/>
          </w:rPr>
          <w:t>2</w:t>
        </w:r>
      </w:hyperlink>
      <w:r>
        <w:rPr>
          <w:rFonts w:ascii="Times New Roman" w:hAnsi="Times New Roman" w:cs="Times New Roman"/>
          <w:color w:val="4D4D4D"/>
          <w:sz w:val="29"/>
          <w:szCs w:val="29"/>
          <w:shd w:val="clear" w:color="auto" w:fill="FFFFFF"/>
        </w:rPr>
        <w:t>根据他们的五基因特征，总结了</w:t>
      </w:r>
      <w:r>
        <w:rPr>
          <w:rFonts w:ascii="Times New Roman" w:hAnsi="Times New Roman" w:cs="Times New Roman"/>
          <w:color w:val="4D4D4D"/>
          <w:sz w:val="29"/>
          <w:szCs w:val="29"/>
          <w:shd w:val="clear" w:color="auto" w:fill="FFFFFF"/>
        </w:rPr>
        <w:t>101</w:t>
      </w:r>
      <w:r>
        <w:rPr>
          <w:rFonts w:ascii="Times New Roman" w:hAnsi="Times New Roman" w:cs="Times New Roman"/>
          <w:color w:val="4D4D4D"/>
          <w:sz w:val="29"/>
          <w:szCs w:val="29"/>
          <w:shd w:val="clear" w:color="auto" w:fill="FFFFFF"/>
        </w:rPr>
        <w:t>名患者的临床特征，以下称为原始队列。五基因特征与总体存活率密切相关（敏感性，</w:t>
      </w:r>
      <w:r>
        <w:rPr>
          <w:rFonts w:ascii="Times New Roman" w:hAnsi="Times New Roman" w:cs="Times New Roman"/>
          <w:color w:val="4D4D4D"/>
          <w:sz w:val="29"/>
          <w:szCs w:val="29"/>
          <w:shd w:val="clear" w:color="auto" w:fill="FFFFFF"/>
        </w:rPr>
        <w:t>98</w:t>
      </w:r>
      <w:r>
        <w:rPr>
          <w:rFonts w:ascii="Times New Roman" w:hAnsi="Times New Roman" w:cs="Times New Roman"/>
          <w:color w:val="4D4D4D"/>
          <w:sz w:val="29"/>
          <w:szCs w:val="29"/>
          <w:shd w:val="clear" w:color="auto" w:fill="FFFFFF"/>
        </w:rPr>
        <w:t>％</w:t>
      </w:r>
      <w:r>
        <w:rPr>
          <w:rFonts w:ascii="Times New Roman" w:hAnsi="Times New Roman" w:cs="Times New Roman"/>
          <w:color w:val="4D4D4D"/>
          <w:sz w:val="29"/>
          <w:szCs w:val="29"/>
          <w:shd w:val="clear" w:color="auto" w:fill="FFFFFF"/>
        </w:rPr>
        <w:t>;</w:t>
      </w:r>
      <w:r>
        <w:rPr>
          <w:rFonts w:ascii="Times New Roman" w:hAnsi="Times New Roman" w:cs="Times New Roman"/>
          <w:color w:val="4D4D4D"/>
          <w:sz w:val="29"/>
          <w:szCs w:val="29"/>
          <w:shd w:val="clear" w:color="auto" w:fill="FFFFFF"/>
        </w:rPr>
        <w:t>特异性，</w:t>
      </w:r>
      <w:r>
        <w:rPr>
          <w:rFonts w:ascii="Times New Roman" w:hAnsi="Times New Roman" w:cs="Times New Roman"/>
          <w:color w:val="4D4D4D"/>
          <w:sz w:val="29"/>
          <w:szCs w:val="29"/>
          <w:shd w:val="clear" w:color="auto" w:fill="FFFFFF"/>
        </w:rPr>
        <w:t>93</w:t>
      </w:r>
      <w:r>
        <w:rPr>
          <w:rFonts w:ascii="Times New Roman" w:hAnsi="Times New Roman" w:cs="Times New Roman"/>
          <w:color w:val="4D4D4D"/>
          <w:sz w:val="29"/>
          <w:szCs w:val="29"/>
          <w:shd w:val="clear" w:color="auto" w:fill="FFFFFF"/>
        </w:rPr>
        <w:t>％</w:t>
      </w:r>
      <w:r>
        <w:rPr>
          <w:rFonts w:ascii="Times New Roman" w:hAnsi="Times New Roman" w:cs="Times New Roman"/>
          <w:color w:val="4D4D4D"/>
          <w:sz w:val="29"/>
          <w:szCs w:val="29"/>
          <w:shd w:val="clear" w:color="auto" w:fill="FFFFFF"/>
        </w:rPr>
        <w:t>;</w:t>
      </w:r>
      <w:r>
        <w:rPr>
          <w:rFonts w:ascii="Times New Roman" w:hAnsi="Times New Roman" w:cs="Times New Roman"/>
          <w:color w:val="4D4D4D"/>
          <w:sz w:val="29"/>
          <w:szCs w:val="29"/>
          <w:shd w:val="clear" w:color="auto" w:fill="FFFFFF"/>
        </w:rPr>
        <w:t>阳性预测值，</w:t>
      </w:r>
      <w:r>
        <w:rPr>
          <w:rFonts w:ascii="Times New Roman" w:hAnsi="Times New Roman" w:cs="Times New Roman"/>
          <w:color w:val="4D4D4D"/>
          <w:sz w:val="29"/>
          <w:szCs w:val="29"/>
          <w:shd w:val="clear" w:color="auto" w:fill="FFFFFF"/>
        </w:rPr>
        <w:t>95</w:t>
      </w:r>
      <w:r>
        <w:rPr>
          <w:rFonts w:ascii="Times New Roman" w:hAnsi="Times New Roman" w:cs="Times New Roman"/>
          <w:color w:val="4D4D4D"/>
          <w:sz w:val="29"/>
          <w:szCs w:val="29"/>
          <w:shd w:val="clear" w:color="auto" w:fill="FFFFFF"/>
        </w:rPr>
        <w:t>％</w:t>
      </w:r>
      <w:r>
        <w:rPr>
          <w:rFonts w:ascii="Times New Roman" w:hAnsi="Times New Roman" w:cs="Times New Roman"/>
          <w:color w:val="4D4D4D"/>
          <w:sz w:val="29"/>
          <w:szCs w:val="29"/>
          <w:shd w:val="clear" w:color="auto" w:fill="FFFFFF"/>
        </w:rPr>
        <w:t>;</w:t>
      </w:r>
      <w:r>
        <w:rPr>
          <w:rFonts w:ascii="Times New Roman" w:hAnsi="Times New Roman" w:cs="Times New Roman"/>
          <w:color w:val="4D4D4D"/>
          <w:sz w:val="29"/>
          <w:szCs w:val="29"/>
          <w:shd w:val="clear" w:color="auto" w:fill="FFFFFF"/>
        </w:rPr>
        <w:t>阴性预测值，</w:t>
      </w:r>
      <w:r>
        <w:rPr>
          <w:rFonts w:ascii="Times New Roman" w:hAnsi="Times New Roman" w:cs="Times New Roman"/>
          <w:color w:val="4D4D4D"/>
          <w:sz w:val="29"/>
          <w:szCs w:val="29"/>
          <w:shd w:val="clear" w:color="auto" w:fill="FFFFFF"/>
        </w:rPr>
        <w:t>98</w:t>
      </w:r>
      <w:r>
        <w:rPr>
          <w:rFonts w:ascii="Times New Roman" w:hAnsi="Times New Roman" w:cs="Times New Roman"/>
          <w:color w:val="4D4D4D"/>
          <w:sz w:val="29"/>
          <w:szCs w:val="29"/>
          <w:shd w:val="clear" w:color="auto" w:fill="FFFFFF"/>
        </w:rPr>
        <w:t>％</w:t>
      </w:r>
      <w:r>
        <w:rPr>
          <w:rFonts w:ascii="Times New Roman" w:hAnsi="Times New Roman" w:cs="Times New Roman"/>
          <w:color w:val="4D4D4D"/>
          <w:sz w:val="29"/>
          <w:szCs w:val="29"/>
          <w:shd w:val="clear" w:color="auto" w:fill="FFFFFF"/>
        </w:rPr>
        <w:t>;</w:t>
      </w:r>
      <w:r>
        <w:rPr>
          <w:rFonts w:ascii="Times New Roman" w:hAnsi="Times New Roman" w:cs="Times New Roman"/>
          <w:color w:val="4D4D4D"/>
          <w:sz w:val="29"/>
          <w:szCs w:val="29"/>
          <w:shd w:val="clear" w:color="auto" w:fill="FFFFFF"/>
        </w:rPr>
        <w:t>总体准确性，</w:t>
      </w:r>
      <w:r>
        <w:rPr>
          <w:rFonts w:ascii="Times New Roman" w:hAnsi="Times New Roman" w:cs="Times New Roman"/>
          <w:color w:val="4D4D4D"/>
          <w:sz w:val="29"/>
          <w:szCs w:val="29"/>
          <w:shd w:val="clear" w:color="auto" w:fill="FFFFFF"/>
        </w:rPr>
        <w:t>96</w:t>
      </w:r>
      <w:r>
        <w:rPr>
          <w:rFonts w:ascii="Times New Roman" w:hAnsi="Times New Roman" w:cs="Times New Roman"/>
          <w:color w:val="4D4D4D"/>
          <w:sz w:val="29"/>
          <w:szCs w:val="29"/>
          <w:shd w:val="clear" w:color="auto" w:fill="FFFFFF"/>
        </w:rPr>
        <w:t>％）。</w:t>
      </w:r>
    </w:p>
    <w:p w:rsidR="00A92D7F" w:rsidRDefault="00A92D7F" w:rsidP="00A92D7F">
      <w:pPr>
        <w:rPr>
          <w:rFonts w:ascii="Times New Roman" w:hAnsi="Times New Roman" w:cs="Times New Roman" w:hint="eastAsia"/>
          <w:color w:val="4D4D4D"/>
          <w:sz w:val="29"/>
          <w:szCs w:val="29"/>
          <w:shd w:val="clear" w:color="auto" w:fill="FFFFFF"/>
        </w:rPr>
      </w:pPr>
      <w:r>
        <w:rPr>
          <w:rFonts w:ascii="Times New Roman" w:hAnsi="Times New Roman" w:cs="Times New Roman"/>
          <w:color w:val="4D4D4D"/>
          <w:sz w:val="29"/>
          <w:szCs w:val="29"/>
          <w:shd w:val="clear" w:color="auto" w:fill="FFFFFF"/>
        </w:rPr>
        <w:t>101</w:t>
      </w:r>
      <w:r>
        <w:rPr>
          <w:rFonts w:ascii="Times New Roman" w:hAnsi="Times New Roman" w:cs="Times New Roman"/>
          <w:color w:val="4D4D4D"/>
          <w:sz w:val="29"/>
          <w:szCs w:val="29"/>
          <w:shd w:val="clear" w:color="auto" w:fill="FFFFFF"/>
        </w:rPr>
        <w:t>名患者的中位随访时间为</w:t>
      </w:r>
      <w:r>
        <w:rPr>
          <w:rFonts w:ascii="Times New Roman" w:hAnsi="Times New Roman" w:cs="Times New Roman"/>
          <w:color w:val="4D4D4D"/>
          <w:sz w:val="29"/>
          <w:szCs w:val="29"/>
          <w:shd w:val="clear" w:color="auto" w:fill="FFFFFF"/>
        </w:rPr>
        <w:t>20</w:t>
      </w:r>
      <w:r>
        <w:rPr>
          <w:rFonts w:ascii="Times New Roman" w:hAnsi="Times New Roman" w:cs="Times New Roman"/>
          <w:color w:val="4D4D4D"/>
          <w:sz w:val="29"/>
          <w:szCs w:val="29"/>
          <w:shd w:val="clear" w:color="auto" w:fill="FFFFFF"/>
        </w:rPr>
        <w:t>个月。具有高风险基因特征的患者具有比具有低风险基因特征的患者更短的中位总生存期（</w:t>
      </w:r>
      <w:r>
        <w:rPr>
          <w:rFonts w:ascii="Times New Roman" w:hAnsi="Times New Roman" w:cs="Times New Roman"/>
          <w:color w:val="4D4D4D"/>
          <w:sz w:val="29"/>
          <w:szCs w:val="29"/>
          <w:shd w:val="clear" w:color="auto" w:fill="FFFFFF"/>
        </w:rPr>
        <w:t>20</w:t>
      </w:r>
      <w:r>
        <w:rPr>
          <w:rFonts w:ascii="Times New Roman" w:hAnsi="Times New Roman" w:cs="Times New Roman"/>
          <w:color w:val="4D4D4D"/>
          <w:sz w:val="29"/>
          <w:szCs w:val="29"/>
          <w:shd w:val="clear" w:color="auto" w:fill="FFFFFF"/>
        </w:rPr>
        <w:t>个月对</w:t>
      </w:r>
      <w:r>
        <w:rPr>
          <w:rFonts w:ascii="Times New Roman" w:hAnsi="Times New Roman" w:cs="Times New Roman"/>
          <w:color w:val="4D4D4D"/>
          <w:sz w:val="29"/>
          <w:szCs w:val="29"/>
          <w:shd w:val="clear" w:color="auto" w:fill="FFFFFF"/>
        </w:rPr>
        <w:t>40</w:t>
      </w:r>
      <w:r>
        <w:rPr>
          <w:rFonts w:ascii="Times New Roman" w:hAnsi="Times New Roman" w:cs="Times New Roman"/>
          <w:color w:val="4D4D4D"/>
          <w:sz w:val="29"/>
          <w:szCs w:val="29"/>
          <w:shd w:val="clear" w:color="auto" w:fill="FFFFFF"/>
        </w:rPr>
        <w:t>个月，通过对数秩检验</w:t>
      </w:r>
      <w:r>
        <w:rPr>
          <w:rFonts w:ascii="Times New Roman" w:hAnsi="Times New Roman" w:cs="Times New Roman"/>
          <w:color w:val="4D4D4D"/>
          <w:sz w:val="29"/>
          <w:szCs w:val="29"/>
          <w:shd w:val="clear" w:color="auto" w:fill="FFFFFF"/>
        </w:rPr>
        <w:t>P &lt;0.001</w:t>
      </w:r>
      <w:r>
        <w:rPr>
          <w:rFonts w:ascii="Times New Roman" w:hAnsi="Times New Roman" w:cs="Times New Roman"/>
          <w:color w:val="4D4D4D"/>
          <w:sz w:val="29"/>
          <w:szCs w:val="29"/>
          <w:shd w:val="clear" w:color="auto" w:fill="FFFFFF"/>
        </w:rPr>
        <w:t>）（</w:t>
      </w:r>
      <w:hyperlink r:id="rId48" w:tooltip="查看完整尺寸" w:history="1">
        <w:r>
          <w:rPr>
            <w:rStyle w:val="a3"/>
            <w:rFonts w:ascii="Times New Roman" w:hAnsi="Times New Roman" w:cs="Times New Roman"/>
            <w:color w:val="0B4F82"/>
            <w:sz w:val="29"/>
            <w:szCs w:val="29"/>
            <w:bdr w:val="none" w:sz="0" w:space="0" w:color="auto" w:frame="1"/>
            <w:shd w:val="clear" w:color="auto" w:fill="FFFFFF"/>
          </w:rPr>
          <w:t>图</w:t>
        </w:r>
        <w:r>
          <w:rPr>
            <w:rStyle w:val="a3"/>
            <w:rFonts w:ascii="Times New Roman" w:hAnsi="Times New Roman" w:cs="Times New Roman"/>
            <w:color w:val="0B4F82"/>
            <w:sz w:val="29"/>
            <w:szCs w:val="29"/>
            <w:bdr w:val="none" w:sz="0" w:space="0" w:color="auto" w:frame="1"/>
            <w:shd w:val="clear" w:color="auto" w:fill="FFFFFF"/>
          </w:rPr>
          <w:t>2A</w:t>
        </w:r>
      </w:hyperlink>
      <w:r>
        <w:rPr>
          <w:rFonts w:ascii="Times New Roman" w:hAnsi="Times New Roman" w:cs="Times New Roman"/>
          <w:color w:val="4D4D4D"/>
          <w:sz w:val="29"/>
          <w:szCs w:val="29"/>
          <w:shd w:val="clear" w:color="auto" w:fill="FFFFFF"/>
        </w:rPr>
        <w:t>）。高风险基因特征与</w:t>
      </w:r>
      <w:r>
        <w:rPr>
          <w:rFonts w:ascii="Times New Roman" w:hAnsi="Times New Roman" w:cs="Times New Roman"/>
          <w:color w:val="4D4D4D"/>
          <w:sz w:val="29"/>
          <w:szCs w:val="29"/>
          <w:shd w:val="clear" w:color="auto" w:fill="FFFFFF"/>
        </w:rPr>
        <w:t>13</w:t>
      </w:r>
      <w:r>
        <w:rPr>
          <w:rFonts w:ascii="Times New Roman" w:hAnsi="Times New Roman" w:cs="Times New Roman"/>
          <w:color w:val="4D4D4D"/>
          <w:sz w:val="29"/>
          <w:szCs w:val="29"/>
          <w:shd w:val="clear" w:color="auto" w:fill="FFFFFF"/>
        </w:rPr>
        <w:t>个月无中位无复发生存期相关，而低风险基因特征与</w:t>
      </w:r>
      <w:r>
        <w:rPr>
          <w:rFonts w:ascii="Times New Roman" w:hAnsi="Times New Roman" w:cs="Times New Roman"/>
          <w:color w:val="4D4D4D"/>
          <w:sz w:val="29"/>
          <w:szCs w:val="29"/>
          <w:shd w:val="clear" w:color="auto" w:fill="FFFFFF"/>
        </w:rPr>
        <w:t>29</w:t>
      </w:r>
      <w:r>
        <w:rPr>
          <w:rFonts w:ascii="Times New Roman" w:hAnsi="Times New Roman" w:cs="Times New Roman"/>
          <w:color w:val="4D4D4D"/>
          <w:sz w:val="29"/>
          <w:szCs w:val="29"/>
          <w:shd w:val="clear" w:color="auto" w:fill="FFFFFF"/>
        </w:rPr>
        <w:t>个月无中位无复发生存期相关（对数秩检验</w:t>
      </w:r>
      <w:r>
        <w:rPr>
          <w:rFonts w:ascii="Times New Roman" w:hAnsi="Times New Roman" w:cs="Times New Roman"/>
          <w:color w:val="4D4D4D"/>
          <w:sz w:val="29"/>
          <w:szCs w:val="29"/>
          <w:shd w:val="clear" w:color="auto" w:fill="FFFFFF"/>
        </w:rPr>
        <w:t>P = 0.002</w:t>
      </w:r>
      <w:r>
        <w:rPr>
          <w:rFonts w:ascii="Times New Roman" w:hAnsi="Times New Roman" w:cs="Times New Roman"/>
          <w:color w:val="4D4D4D"/>
          <w:sz w:val="29"/>
          <w:szCs w:val="29"/>
          <w:shd w:val="clear" w:color="auto" w:fill="FFFFFF"/>
        </w:rPr>
        <w:t>）（</w:t>
      </w:r>
      <w:hyperlink r:id="rId49" w:tooltip="查看完整尺寸" w:history="1">
        <w:r>
          <w:rPr>
            <w:rStyle w:val="a3"/>
            <w:rFonts w:ascii="Times New Roman" w:hAnsi="Times New Roman" w:cs="Times New Roman"/>
            <w:color w:val="0B4F82"/>
            <w:sz w:val="29"/>
            <w:szCs w:val="29"/>
            <w:bdr w:val="none" w:sz="0" w:space="0" w:color="auto" w:frame="1"/>
            <w:shd w:val="clear" w:color="auto" w:fill="FFFFFF"/>
          </w:rPr>
          <w:t>图</w:t>
        </w:r>
        <w:r>
          <w:rPr>
            <w:rStyle w:val="a3"/>
            <w:rFonts w:ascii="Times New Roman" w:hAnsi="Times New Roman" w:cs="Times New Roman"/>
            <w:color w:val="0B4F82"/>
            <w:sz w:val="29"/>
            <w:szCs w:val="29"/>
            <w:bdr w:val="none" w:sz="0" w:space="0" w:color="auto" w:frame="1"/>
            <w:shd w:val="clear" w:color="auto" w:fill="FFFFFF"/>
          </w:rPr>
          <w:t>2B</w:t>
        </w:r>
      </w:hyperlink>
      <w:r>
        <w:rPr>
          <w:rFonts w:ascii="Times New Roman" w:hAnsi="Times New Roman" w:cs="Times New Roman"/>
          <w:color w:val="4D4D4D"/>
          <w:sz w:val="29"/>
          <w:szCs w:val="29"/>
          <w:shd w:val="clear" w:color="auto" w:fill="FFFFFF"/>
        </w:rPr>
        <w:t>）。</w:t>
      </w:r>
    </w:p>
    <w:p w:rsidR="00A92D7F" w:rsidRDefault="00A92D7F" w:rsidP="00A92D7F">
      <w:pPr>
        <w:rPr>
          <w:rFonts w:ascii="Times New Roman" w:hAnsi="Times New Roman" w:cs="Times New Roman" w:hint="eastAsia"/>
          <w:color w:val="4D4D4D"/>
          <w:sz w:val="29"/>
          <w:szCs w:val="29"/>
          <w:shd w:val="clear" w:color="auto" w:fill="FFFFFF"/>
        </w:rPr>
      </w:pPr>
      <w:r>
        <w:rPr>
          <w:rFonts w:ascii="Times New Roman" w:hAnsi="Times New Roman" w:cs="Times New Roman"/>
          <w:color w:val="4D4D4D"/>
          <w:sz w:val="29"/>
          <w:szCs w:val="29"/>
          <w:shd w:val="clear" w:color="auto" w:fill="FFFFFF"/>
        </w:rPr>
        <w:t>根据</w:t>
      </w:r>
      <w:r>
        <w:rPr>
          <w:rFonts w:ascii="Times New Roman" w:hAnsi="Times New Roman" w:cs="Times New Roman"/>
          <w:color w:val="4D4D4D"/>
          <w:sz w:val="29"/>
          <w:szCs w:val="29"/>
          <w:shd w:val="clear" w:color="auto" w:fill="FFFFFF"/>
        </w:rPr>
        <w:t>Cox</w:t>
      </w:r>
      <w:r>
        <w:rPr>
          <w:rFonts w:ascii="Times New Roman" w:hAnsi="Times New Roman" w:cs="Times New Roman"/>
          <w:color w:val="4D4D4D"/>
          <w:sz w:val="29"/>
          <w:szCs w:val="29"/>
          <w:shd w:val="clear" w:color="auto" w:fill="FFFFFF"/>
        </w:rPr>
        <w:t>多变量回归分析，高风险五基因特征，肿瘤分期</w:t>
      </w:r>
      <w:r>
        <w:rPr>
          <w:rFonts w:ascii="Times New Roman" w:hAnsi="Times New Roman" w:cs="Times New Roman"/>
          <w:color w:val="4D4D4D"/>
          <w:sz w:val="29"/>
          <w:szCs w:val="29"/>
          <w:shd w:val="clear" w:color="auto" w:fill="FFFFFF"/>
        </w:rPr>
        <w:t>III</w:t>
      </w:r>
      <w:r>
        <w:rPr>
          <w:rFonts w:ascii="Times New Roman" w:hAnsi="Times New Roman" w:cs="Times New Roman"/>
          <w:color w:val="4D4D4D"/>
          <w:sz w:val="29"/>
          <w:szCs w:val="29"/>
          <w:shd w:val="clear" w:color="auto" w:fill="FFFFFF"/>
        </w:rPr>
        <w:t>和老年人与</w:t>
      </w:r>
      <w:r>
        <w:rPr>
          <w:rFonts w:ascii="Times New Roman" w:hAnsi="Times New Roman" w:cs="Times New Roman"/>
          <w:color w:val="4D4D4D"/>
          <w:sz w:val="29"/>
          <w:szCs w:val="29"/>
          <w:shd w:val="clear" w:color="auto" w:fill="FFFFFF"/>
        </w:rPr>
        <w:t>101</w:t>
      </w:r>
      <w:r>
        <w:rPr>
          <w:rFonts w:ascii="Times New Roman" w:hAnsi="Times New Roman" w:cs="Times New Roman"/>
          <w:color w:val="4D4D4D"/>
          <w:sz w:val="29"/>
          <w:szCs w:val="29"/>
          <w:shd w:val="clear" w:color="auto" w:fill="FFFFFF"/>
        </w:rPr>
        <w:t>名患者中的任何原因的死亡显着相关（</w:t>
      </w:r>
      <w:hyperlink r:id="rId50" w:tooltip="查看完整尺寸" w:history="1">
        <w:r>
          <w:rPr>
            <w:rStyle w:val="a3"/>
            <w:rFonts w:ascii="Times New Roman" w:hAnsi="Times New Roman" w:cs="Times New Roman"/>
            <w:color w:val="0B4F82"/>
            <w:sz w:val="29"/>
            <w:szCs w:val="29"/>
            <w:bdr w:val="none" w:sz="0" w:space="0" w:color="auto" w:frame="1"/>
            <w:shd w:val="clear" w:color="auto" w:fill="FFFFFF"/>
          </w:rPr>
          <w:t>表</w:t>
        </w:r>
        <w:r>
          <w:rPr>
            <w:rStyle w:val="a3"/>
            <w:rFonts w:ascii="Times New Roman" w:hAnsi="Times New Roman" w:cs="Times New Roman"/>
            <w:color w:val="0B4F82"/>
            <w:sz w:val="29"/>
            <w:szCs w:val="29"/>
            <w:bdr w:val="none" w:sz="0" w:space="0" w:color="auto" w:frame="1"/>
            <w:shd w:val="clear" w:color="auto" w:fill="FFFFFF"/>
          </w:rPr>
          <w:t>3</w:t>
        </w:r>
      </w:hyperlink>
      <w:r>
        <w:rPr>
          <w:rFonts w:ascii="Times New Roman" w:hAnsi="Times New Roman" w:cs="Times New Roman"/>
          <w:color w:val="4D4D4D"/>
          <w:sz w:val="29"/>
          <w:szCs w:val="29"/>
          <w:shd w:val="clear" w:color="auto" w:fill="FFFFFF"/>
        </w:rPr>
        <w:t>），以及高风险的五基因特征和肿瘤</w:t>
      </w:r>
      <w:r>
        <w:rPr>
          <w:rFonts w:ascii="Times New Roman" w:hAnsi="Times New Roman" w:cs="Times New Roman"/>
          <w:color w:val="4D4D4D"/>
          <w:sz w:val="29"/>
          <w:szCs w:val="29"/>
          <w:shd w:val="clear" w:color="auto" w:fill="FFFFFF"/>
        </w:rPr>
        <w:t>III</w:t>
      </w:r>
      <w:r>
        <w:rPr>
          <w:rFonts w:ascii="Times New Roman" w:hAnsi="Times New Roman" w:cs="Times New Roman"/>
          <w:color w:val="4D4D4D"/>
          <w:sz w:val="29"/>
          <w:szCs w:val="29"/>
          <w:shd w:val="clear" w:color="auto" w:fill="FFFFFF"/>
        </w:rPr>
        <w:t>期与癌症复发显着相关（高风险特征与低风险特征的风险比，</w:t>
      </w:r>
      <w:r>
        <w:rPr>
          <w:rFonts w:ascii="Times New Roman" w:hAnsi="Times New Roman" w:cs="Times New Roman"/>
          <w:color w:val="4D4D4D"/>
          <w:sz w:val="29"/>
          <w:szCs w:val="29"/>
          <w:shd w:val="clear" w:color="auto" w:fill="FFFFFF"/>
        </w:rPr>
        <w:t>1.92; 95</w:t>
      </w:r>
      <w:r>
        <w:rPr>
          <w:rFonts w:ascii="Times New Roman" w:hAnsi="Times New Roman" w:cs="Times New Roman"/>
          <w:color w:val="4D4D4D"/>
          <w:sz w:val="29"/>
          <w:szCs w:val="29"/>
          <w:shd w:val="clear" w:color="auto" w:fill="FFFFFF"/>
        </w:rPr>
        <w:t>％置信区间</w:t>
      </w:r>
      <w:r>
        <w:rPr>
          <w:rFonts w:ascii="Times New Roman" w:hAnsi="Times New Roman" w:cs="Times New Roman"/>
          <w:color w:val="4D4D4D"/>
          <w:sz w:val="29"/>
          <w:szCs w:val="29"/>
          <w:shd w:val="clear" w:color="auto" w:fill="FFFFFF"/>
        </w:rPr>
        <w:t>[CI]</w:t>
      </w:r>
      <w:r>
        <w:rPr>
          <w:rFonts w:ascii="Times New Roman" w:hAnsi="Times New Roman" w:cs="Times New Roman"/>
          <w:color w:val="4D4D4D"/>
          <w:sz w:val="29"/>
          <w:szCs w:val="29"/>
          <w:shd w:val="clear" w:color="auto" w:fill="FFFFFF"/>
        </w:rPr>
        <w:t>，</w:t>
      </w:r>
      <w:r>
        <w:rPr>
          <w:rFonts w:ascii="Times New Roman" w:hAnsi="Times New Roman" w:cs="Times New Roman"/>
          <w:color w:val="4D4D4D"/>
          <w:sz w:val="29"/>
          <w:szCs w:val="29"/>
          <w:shd w:val="clear" w:color="auto" w:fill="FFFFFF"/>
        </w:rPr>
        <w:t>1.06</w:t>
      </w:r>
      <w:r>
        <w:rPr>
          <w:rFonts w:ascii="Times New Roman" w:hAnsi="Times New Roman" w:cs="Times New Roman"/>
          <w:color w:val="4D4D4D"/>
          <w:sz w:val="29"/>
          <w:szCs w:val="29"/>
          <w:shd w:val="clear" w:color="auto" w:fill="FFFFFF"/>
        </w:rPr>
        <w:t>至</w:t>
      </w:r>
      <w:r>
        <w:rPr>
          <w:rFonts w:ascii="Times New Roman" w:hAnsi="Times New Roman" w:cs="Times New Roman"/>
          <w:color w:val="4D4D4D"/>
          <w:sz w:val="29"/>
          <w:szCs w:val="29"/>
          <w:shd w:val="clear" w:color="auto" w:fill="FFFFFF"/>
        </w:rPr>
        <w:t>3.46; P = 0.03;</w:t>
      </w:r>
      <w:r>
        <w:rPr>
          <w:rFonts w:ascii="Times New Roman" w:hAnsi="Times New Roman" w:cs="Times New Roman"/>
          <w:color w:val="4D4D4D"/>
          <w:sz w:val="29"/>
          <w:szCs w:val="29"/>
          <w:shd w:val="clear" w:color="auto" w:fill="FFFFFF"/>
        </w:rPr>
        <w:t>危险比为</w:t>
      </w:r>
      <w:r>
        <w:rPr>
          <w:rFonts w:ascii="Times New Roman" w:hAnsi="Times New Roman" w:cs="Times New Roman"/>
          <w:color w:val="4D4D4D"/>
          <w:sz w:val="29"/>
          <w:szCs w:val="29"/>
          <w:shd w:val="clear" w:color="auto" w:fill="FFFFFF"/>
        </w:rPr>
        <w:t>III</w:t>
      </w:r>
      <w:r>
        <w:rPr>
          <w:rFonts w:ascii="Times New Roman" w:hAnsi="Times New Roman" w:cs="Times New Roman"/>
          <w:color w:val="4D4D4D"/>
          <w:sz w:val="29"/>
          <w:szCs w:val="29"/>
          <w:shd w:val="clear" w:color="auto" w:fill="FFFFFF"/>
        </w:rPr>
        <w:t>期对</w:t>
      </w:r>
      <w:r>
        <w:rPr>
          <w:rFonts w:ascii="Times New Roman" w:hAnsi="Times New Roman" w:cs="Times New Roman"/>
          <w:color w:val="4D4D4D"/>
          <w:sz w:val="29"/>
          <w:szCs w:val="29"/>
          <w:shd w:val="clear" w:color="auto" w:fill="FFFFFF"/>
        </w:rPr>
        <w:t>I</w:t>
      </w:r>
      <w:r>
        <w:rPr>
          <w:rFonts w:ascii="Times New Roman" w:hAnsi="Times New Roman" w:cs="Times New Roman"/>
          <w:color w:val="4D4D4D"/>
          <w:sz w:val="29"/>
          <w:szCs w:val="29"/>
          <w:shd w:val="clear" w:color="auto" w:fill="FFFFFF"/>
        </w:rPr>
        <w:t>期或</w:t>
      </w:r>
      <w:r>
        <w:rPr>
          <w:rFonts w:ascii="Times New Roman" w:hAnsi="Times New Roman" w:cs="Times New Roman"/>
          <w:color w:val="4D4D4D"/>
          <w:sz w:val="29"/>
          <w:szCs w:val="29"/>
          <w:shd w:val="clear" w:color="auto" w:fill="FFFFFF"/>
        </w:rPr>
        <w:t>II</w:t>
      </w:r>
      <w:r>
        <w:rPr>
          <w:rFonts w:ascii="Times New Roman" w:hAnsi="Times New Roman" w:cs="Times New Roman"/>
          <w:color w:val="4D4D4D"/>
          <w:sz w:val="29"/>
          <w:szCs w:val="29"/>
          <w:shd w:val="clear" w:color="auto" w:fill="FFFFFF"/>
        </w:rPr>
        <w:t>期疾病，</w:t>
      </w:r>
      <w:r>
        <w:rPr>
          <w:rFonts w:ascii="Times New Roman" w:hAnsi="Times New Roman" w:cs="Times New Roman"/>
          <w:color w:val="4D4D4D"/>
          <w:sz w:val="29"/>
          <w:szCs w:val="29"/>
          <w:shd w:val="clear" w:color="auto" w:fill="FFFFFF"/>
        </w:rPr>
        <w:t>2.28; 95</w:t>
      </w:r>
      <w:r>
        <w:rPr>
          <w:rFonts w:ascii="Times New Roman" w:hAnsi="Times New Roman" w:cs="Times New Roman"/>
          <w:color w:val="4D4D4D"/>
          <w:sz w:val="29"/>
          <w:szCs w:val="29"/>
          <w:shd w:val="clear" w:color="auto" w:fill="FFFFFF"/>
        </w:rPr>
        <w:t>％</w:t>
      </w:r>
      <w:r>
        <w:rPr>
          <w:rFonts w:ascii="Times New Roman" w:hAnsi="Times New Roman" w:cs="Times New Roman"/>
          <w:color w:val="4D4D4D"/>
          <w:sz w:val="29"/>
          <w:szCs w:val="29"/>
          <w:shd w:val="clear" w:color="auto" w:fill="FFFFFF"/>
        </w:rPr>
        <w:t>CI</w:t>
      </w:r>
      <w:r>
        <w:rPr>
          <w:rFonts w:ascii="Times New Roman" w:hAnsi="Times New Roman" w:cs="Times New Roman"/>
          <w:color w:val="4D4D4D"/>
          <w:sz w:val="29"/>
          <w:szCs w:val="29"/>
          <w:shd w:val="clear" w:color="auto" w:fill="FFFFFF"/>
        </w:rPr>
        <w:t>，</w:t>
      </w:r>
      <w:r>
        <w:rPr>
          <w:rFonts w:ascii="Times New Roman" w:hAnsi="Times New Roman" w:cs="Times New Roman"/>
          <w:color w:val="4D4D4D"/>
          <w:sz w:val="29"/>
          <w:szCs w:val="29"/>
          <w:shd w:val="clear" w:color="auto" w:fill="FFFFFF"/>
        </w:rPr>
        <w:t>1.33</w:t>
      </w:r>
      <w:r>
        <w:rPr>
          <w:rFonts w:ascii="Times New Roman" w:hAnsi="Times New Roman" w:cs="Times New Roman"/>
          <w:color w:val="4D4D4D"/>
          <w:sz w:val="29"/>
          <w:szCs w:val="29"/>
          <w:shd w:val="clear" w:color="auto" w:fill="FFFFFF"/>
        </w:rPr>
        <w:t>至</w:t>
      </w:r>
      <w:r>
        <w:rPr>
          <w:rFonts w:ascii="Times New Roman" w:hAnsi="Times New Roman" w:cs="Times New Roman"/>
          <w:color w:val="4D4D4D"/>
          <w:sz w:val="29"/>
          <w:szCs w:val="29"/>
          <w:shd w:val="clear" w:color="auto" w:fill="FFFFFF"/>
        </w:rPr>
        <w:t>3.91; P = 0.003</w:t>
      </w:r>
      <w:r>
        <w:rPr>
          <w:rFonts w:ascii="Times New Roman" w:hAnsi="Times New Roman" w:cs="Times New Roman"/>
          <w:color w:val="4D4D4D"/>
          <w:sz w:val="29"/>
          <w:szCs w:val="29"/>
          <w:shd w:val="clear" w:color="auto" w:fill="FFFFFF"/>
        </w:rPr>
        <w:t>）。在对</w:t>
      </w:r>
      <w:r>
        <w:rPr>
          <w:rFonts w:ascii="Times New Roman" w:hAnsi="Times New Roman" w:cs="Times New Roman"/>
          <w:color w:val="4D4D4D"/>
          <w:sz w:val="29"/>
          <w:szCs w:val="29"/>
          <w:shd w:val="clear" w:color="auto" w:fill="FFFFFF"/>
        </w:rPr>
        <w:t>59</w:t>
      </w:r>
      <w:r>
        <w:rPr>
          <w:rFonts w:ascii="Times New Roman" w:hAnsi="Times New Roman" w:cs="Times New Roman"/>
          <w:color w:val="4D4D4D"/>
          <w:sz w:val="29"/>
          <w:szCs w:val="29"/>
          <w:shd w:val="clear" w:color="auto" w:fill="FFFFFF"/>
        </w:rPr>
        <w:t>名</w:t>
      </w:r>
      <w:r>
        <w:rPr>
          <w:rFonts w:ascii="Times New Roman" w:hAnsi="Times New Roman" w:cs="Times New Roman"/>
          <w:color w:val="4D4D4D"/>
          <w:sz w:val="29"/>
          <w:szCs w:val="29"/>
          <w:shd w:val="clear" w:color="auto" w:fill="FFFFFF"/>
        </w:rPr>
        <w:t>I</w:t>
      </w:r>
      <w:r>
        <w:rPr>
          <w:rFonts w:ascii="Times New Roman" w:hAnsi="Times New Roman" w:cs="Times New Roman"/>
          <w:color w:val="4D4D4D"/>
          <w:sz w:val="29"/>
          <w:szCs w:val="29"/>
          <w:shd w:val="clear" w:color="auto" w:fill="FFFFFF"/>
        </w:rPr>
        <w:t>期或</w:t>
      </w:r>
      <w:r>
        <w:rPr>
          <w:rFonts w:ascii="Times New Roman" w:hAnsi="Times New Roman" w:cs="Times New Roman"/>
          <w:color w:val="4D4D4D"/>
          <w:sz w:val="29"/>
          <w:szCs w:val="29"/>
          <w:shd w:val="clear" w:color="auto" w:fill="FFFFFF"/>
        </w:rPr>
        <w:t>II</w:t>
      </w:r>
      <w:r>
        <w:rPr>
          <w:rFonts w:ascii="Times New Roman" w:hAnsi="Times New Roman" w:cs="Times New Roman"/>
          <w:color w:val="4D4D4D"/>
          <w:sz w:val="29"/>
          <w:szCs w:val="29"/>
          <w:shd w:val="clear" w:color="auto" w:fill="FFFFFF"/>
        </w:rPr>
        <w:t>期疾病患者进行的亚组分析中，具有高风险基因特征的患者的总生存期较短，无复发生存率低于具有低风险基因特征的患者（分别为</w:t>
      </w:r>
      <w:hyperlink r:id="rId51" w:tooltip="查看完整尺寸" w:history="1">
        <w:r>
          <w:rPr>
            <w:rStyle w:val="a3"/>
            <w:rFonts w:ascii="Times New Roman" w:hAnsi="Times New Roman" w:cs="Times New Roman"/>
            <w:color w:val="0B4F82"/>
            <w:sz w:val="29"/>
            <w:szCs w:val="29"/>
            <w:bdr w:val="none" w:sz="0" w:space="0" w:color="auto" w:frame="1"/>
            <w:shd w:val="clear" w:color="auto" w:fill="FFFFFF"/>
          </w:rPr>
          <w:t>图</w:t>
        </w:r>
        <w:r>
          <w:rPr>
            <w:rStyle w:val="a3"/>
            <w:rFonts w:ascii="Times New Roman" w:hAnsi="Times New Roman" w:cs="Times New Roman"/>
            <w:color w:val="0B4F82"/>
            <w:sz w:val="29"/>
            <w:szCs w:val="29"/>
            <w:bdr w:val="none" w:sz="0" w:space="0" w:color="auto" w:frame="1"/>
            <w:shd w:val="clear" w:color="auto" w:fill="FFFFFF"/>
          </w:rPr>
          <w:t>2C</w:t>
        </w:r>
        <w:r>
          <w:rPr>
            <w:rStyle w:val="a3"/>
            <w:rFonts w:ascii="Times New Roman" w:hAnsi="Times New Roman" w:cs="Times New Roman"/>
            <w:color w:val="0B4F82"/>
            <w:sz w:val="29"/>
            <w:szCs w:val="29"/>
            <w:bdr w:val="none" w:sz="0" w:space="0" w:color="auto" w:frame="1"/>
            <w:shd w:val="clear" w:color="auto" w:fill="FFFFFF"/>
          </w:rPr>
          <w:t>和</w:t>
        </w:r>
        <w:r>
          <w:rPr>
            <w:rStyle w:val="a3"/>
            <w:rFonts w:ascii="Times New Roman" w:hAnsi="Times New Roman" w:cs="Times New Roman"/>
            <w:color w:val="0B4F82"/>
            <w:sz w:val="29"/>
            <w:szCs w:val="29"/>
            <w:bdr w:val="none" w:sz="0" w:space="0" w:color="auto" w:frame="1"/>
            <w:shd w:val="clear" w:color="auto" w:fill="FFFFFF"/>
          </w:rPr>
          <w:t>2D</w:t>
        </w:r>
      </w:hyperlink>
      <w:r>
        <w:rPr>
          <w:rFonts w:ascii="Times New Roman" w:hAnsi="Times New Roman" w:cs="Times New Roman"/>
          <w:color w:val="4D4D4D"/>
          <w:sz w:val="29"/>
          <w:szCs w:val="29"/>
          <w:shd w:val="clear" w:color="auto" w:fill="FFFFFF"/>
        </w:rPr>
        <w:t>）</w:t>
      </w:r>
      <w:r>
        <w:rPr>
          <w:rFonts w:ascii="Times New Roman" w:hAnsi="Times New Roman" w:cs="Times New Roman"/>
          <w:color w:val="4D4D4D"/>
          <w:sz w:val="29"/>
          <w:szCs w:val="29"/>
          <w:shd w:val="clear" w:color="auto" w:fill="FFFFFF"/>
        </w:rPr>
        <w:t xml:space="preserve"> </w:t>
      </w:r>
      <w:r>
        <w:rPr>
          <w:rFonts w:ascii="Times New Roman" w:hAnsi="Times New Roman" w:cs="Times New Roman"/>
          <w:color w:val="4D4D4D"/>
          <w:sz w:val="29"/>
          <w:szCs w:val="29"/>
          <w:shd w:val="clear" w:color="auto" w:fill="FFFFFF"/>
        </w:rPr>
        <w:t>）。</w:t>
      </w:r>
    </w:p>
    <w:p w:rsidR="00A92D7F" w:rsidRDefault="00A92D7F" w:rsidP="00A92D7F">
      <w:pPr>
        <w:pStyle w:val="2"/>
        <w:shd w:val="clear" w:color="auto" w:fill="FFFFFF"/>
        <w:spacing w:before="300" w:after="0" w:line="420" w:lineRule="atLeast"/>
        <w:textAlignment w:val="baseline"/>
        <w:rPr>
          <w:rFonts w:ascii="Helvetica" w:hAnsi="Helvetica" w:cs="Helvetica"/>
          <w:caps/>
          <w:color w:val="1A1A1A"/>
          <w:spacing w:val="29"/>
          <w:sz w:val="20"/>
          <w:szCs w:val="20"/>
        </w:rPr>
      </w:pPr>
      <w:r>
        <w:rPr>
          <w:rFonts w:ascii="Helvetica" w:hAnsi="Helvetica" w:cs="Helvetica"/>
          <w:caps/>
          <w:color w:val="1A1A1A"/>
          <w:spacing w:val="29"/>
          <w:sz w:val="20"/>
          <w:szCs w:val="20"/>
        </w:rPr>
        <w:t>验证五基因签名</w:t>
      </w:r>
    </w:p>
    <w:p w:rsidR="00A92D7F" w:rsidRDefault="00A92D7F" w:rsidP="00A92D7F">
      <w:pPr>
        <w:pStyle w:val="f-body"/>
        <w:shd w:val="clear" w:color="auto" w:fill="FFFFFF"/>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验证队列中</w:t>
      </w:r>
      <w:r>
        <w:rPr>
          <w:rFonts w:ascii="Times New Roman" w:hAnsi="Times New Roman" w:cs="Times New Roman"/>
          <w:color w:val="4D4D4D"/>
          <w:sz w:val="29"/>
          <w:szCs w:val="29"/>
        </w:rPr>
        <w:t>60</w:t>
      </w:r>
      <w:r>
        <w:rPr>
          <w:rFonts w:ascii="Times New Roman" w:hAnsi="Times New Roman" w:cs="Times New Roman"/>
          <w:color w:val="4D4D4D"/>
          <w:sz w:val="29"/>
          <w:szCs w:val="29"/>
        </w:rPr>
        <w:t>名患者的临床特征列于</w:t>
      </w:r>
      <w:hyperlink r:id="rId52" w:tooltip="查看完整尺寸" w:history="1">
        <w:r>
          <w:rPr>
            <w:rStyle w:val="a3"/>
            <w:rFonts w:ascii="inherit" w:hAnsi="inherit" w:cs="Times New Roman"/>
            <w:color w:val="0B4F82"/>
            <w:sz w:val="29"/>
            <w:szCs w:val="29"/>
            <w:bdr w:val="none" w:sz="0" w:space="0" w:color="auto" w:frame="1"/>
          </w:rPr>
          <w:t>表</w:t>
        </w:r>
        <w:r>
          <w:rPr>
            <w:rStyle w:val="a3"/>
            <w:rFonts w:ascii="inherit" w:hAnsi="inherit" w:cs="Times New Roman"/>
            <w:color w:val="0B4F82"/>
            <w:sz w:val="29"/>
            <w:szCs w:val="29"/>
            <w:bdr w:val="none" w:sz="0" w:space="0" w:color="auto" w:frame="1"/>
          </w:rPr>
          <w:t>2</w:t>
        </w:r>
        <w:r>
          <w:rPr>
            <w:rStyle w:val="a3"/>
            <w:rFonts w:ascii="inherit" w:hAnsi="inherit" w:cs="Times New Roman"/>
            <w:color w:val="0B4F82"/>
            <w:sz w:val="29"/>
            <w:szCs w:val="29"/>
            <w:bdr w:val="none" w:sz="0" w:space="0" w:color="auto" w:frame="1"/>
          </w:rPr>
          <w:t>中</w:t>
        </w:r>
      </w:hyperlink>
      <w:r>
        <w:rPr>
          <w:rFonts w:ascii="Times New Roman" w:hAnsi="Times New Roman" w:cs="Times New Roman"/>
          <w:color w:val="4D4D4D"/>
          <w:sz w:val="29"/>
          <w:szCs w:val="29"/>
        </w:rPr>
        <w:t>。中位随访时间为</w:t>
      </w:r>
      <w:r>
        <w:rPr>
          <w:rFonts w:ascii="Times New Roman" w:hAnsi="Times New Roman" w:cs="Times New Roman"/>
          <w:color w:val="4D4D4D"/>
          <w:sz w:val="29"/>
          <w:szCs w:val="29"/>
        </w:rPr>
        <w:t>17</w:t>
      </w:r>
      <w:r>
        <w:rPr>
          <w:rFonts w:ascii="Times New Roman" w:hAnsi="Times New Roman" w:cs="Times New Roman"/>
          <w:color w:val="4D4D4D"/>
          <w:sz w:val="29"/>
          <w:szCs w:val="29"/>
        </w:rPr>
        <w:t>个月。具有高风险基因特征的患者具有比具有低风险基因特征的患者更短的中位总生存期（</w:t>
      </w:r>
      <w:r>
        <w:rPr>
          <w:rFonts w:ascii="Times New Roman" w:hAnsi="Times New Roman" w:cs="Times New Roman"/>
          <w:color w:val="4D4D4D"/>
          <w:sz w:val="29"/>
          <w:szCs w:val="29"/>
        </w:rPr>
        <w:t>21</w:t>
      </w:r>
      <w:r>
        <w:rPr>
          <w:rFonts w:ascii="Times New Roman" w:hAnsi="Times New Roman" w:cs="Times New Roman"/>
          <w:color w:val="4D4D4D"/>
          <w:sz w:val="29"/>
          <w:szCs w:val="29"/>
        </w:rPr>
        <w:t>个月与未达到）（</w:t>
      </w:r>
      <w:hyperlink r:id="rId53" w:tooltip="查看完整尺寸" w:history="1">
        <w:r>
          <w:rPr>
            <w:rStyle w:val="a3"/>
            <w:rFonts w:ascii="inherit" w:hAnsi="inherit" w:cs="Times New Roman"/>
            <w:color w:val="0B4F82"/>
            <w:sz w:val="29"/>
            <w:szCs w:val="29"/>
            <w:bdr w:val="none" w:sz="0" w:space="0" w:color="auto" w:frame="1"/>
          </w:rPr>
          <w:t>图</w:t>
        </w:r>
        <w:r>
          <w:rPr>
            <w:rStyle w:val="a3"/>
            <w:rFonts w:ascii="inherit" w:hAnsi="inherit" w:cs="Times New Roman"/>
            <w:color w:val="0B4F82"/>
            <w:sz w:val="29"/>
            <w:szCs w:val="29"/>
            <w:bdr w:val="none" w:sz="0" w:space="0" w:color="auto" w:frame="1"/>
          </w:rPr>
          <w:t>2E</w:t>
        </w:r>
      </w:hyperlink>
      <w:r>
        <w:rPr>
          <w:rFonts w:ascii="Times New Roman" w:hAnsi="Times New Roman" w:cs="Times New Roman"/>
          <w:color w:val="4D4D4D"/>
          <w:sz w:val="29"/>
          <w:szCs w:val="29"/>
        </w:rPr>
        <w:t>）。根据</w:t>
      </w:r>
      <w:r>
        <w:rPr>
          <w:rFonts w:ascii="Times New Roman" w:hAnsi="Times New Roman" w:cs="Times New Roman"/>
          <w:color w:val="4D4D4D"/>
          <w:sz w:val="29"/>
          <w:szCs w:val="29"/>
        </w:rPr>
        <w:t>Cox</w:t>
      </w:r>
      <w:r>
        <w:rPr>
          <w:rFonts w:ascii="Times New Roman" w:hAnsi="Times New Roman" w:cs="Times New Roman"/>
          <w:color w:val="4D4D4D"/>
          <w:sz w:val="29"/>
          <w:szCs w:val="29"/>
        </w:rPr>
        <w:t>多变量回归分析，五基因特征与总体存活率显着相关（</w:t>
      </w:r>
      <w:hyperlink r:id="rId54" w:tooltip="查看完整尺寸" w:history="1">
        <w:r>
          <w:rPr>
            <w:rStyle w:val="a3"/>
            <w:rFonts w:ascii="inherit" w:hAnsi="inherit" w:cs="Times New Roman"/>
            <w:color w:val="0B4F82"/>
            <w:sz w:val="29"/>
            <w:szCs w:val="29"/>
            <w:bdr w:val="none" w:sz="0" w:space="0" w:color="auto" w:frame="1"/>
          </w:rPr>
          <w:t>表</w:t>
        </w:r>
        <w:r>
          <w:rPr>
            <w:rStyle w:val="a3"/>
            <w:rFonts w:ascii="inherit" w:hAnsi="inherit" w:cs="Times New Roman"/>
            <w:color w:val="0B4F82"/>
            <w:sz w:val="29"/>
            <w:szCs w:val="29"/>
            <w:bdr w:val="none" w:sz="0" w:space="0" w:color="auto" w:frame="1"/>
          </w:rPr>
          <w:t>3</w:t>
        </w:r>
      </w:hyperlink>
      <w:r>
        <w:rPr>
          <w:rFonts w:ascii="Times New Roman" w:hAnsi="Times New Roman" w:cs="Times New Roman"/>
          <w:color w:val="4D4D4D"/>
          <w:sz w:val="29"/>
          <w:szCs w:val="29"/>
        </w:rPr>
        <w:t>）。</w:t>
      </w:r>
    </w:p>
    <w:p w:rsidR="00A92D7F" w:rsidRDefault="00A92D7F" w:rsidP="00A92D7F">
      <w:pPr>
        <w:pStyle w:val="f-body"/>
        <w:shd w:val="clear" w:color="auto" w:fill="FFFFFF"/>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我们分析了在患有</w:t>
      </w:r>
      <w:r>
        <w:rPr>
          <w:rFonts w:ascii="Times New Roman" w:hAnsi="Times New Roman" w:cs="Times New Roman"/>
          <w:color w:val="4D4D4D"/>
          <w:sz w:val="29"/>
          <w:szCs w:val="29"/>
        </w:rPr>
        <w:t>I</w:t>
      </w:r>
      <w:r>
        <w:rPr>
          <w:rFonts w:ascii="Times New Roman" w:hAnsi="Times New Roman" w:cs="Times New Roman"/>
          <w:color w:val="4D4D4D"/>
          <w:sz w:val="29"/>
          <w:szCs w:val="29"/>
        </w:rPr>
        <w:t>期或</w:t>
      </w:r>
      <w:r>
        <w:rPr>
          <w:rFonts w:ascii="Times New Roman" w:hAnsi="Times New Roman" w:cs="Times New Roman"/>
          <w:color w:val="4D4D4D"/>
          <w:sz w:val="29"/>
          <w:szCs w:val="29"/>
        </w:rPr>
        <w:t>II</w:t>
      </w:r>
      <w:r>
        <w:rPr>
          <w:rFonts w:ascii="Times New Roman" w:hAnsi="Times New Roman" w:cs="Times New Roman"/>
          <w:color w:val="4D4D4D"/>
          <w:sz w:val="29"/>
          <w:szCs w:val="29"/>
        </w:rPr>
        <w:t>期疾病的验证队列中的患者获得的肿瘤标本中的五基因特征。在患有</w:t>
      </w:r>
      <w:r>
        <w:rPr>
          <w:rFonts w:ascii="Times New Roman" w:hAnsi="Times New Roman" w:cs="Times New Roman"/>
          <w:color w:val="4D4D4D"/>
          <w:sz w:val="29"/>
          <w:szCs w:val="29"/>
        </w:rPr>
        <w:t>I</w:t>
      </w:r>
      <w:r>
        <w:rPr>
          <w:rFonts w:ascii="Times New Roman" w:hAnsi="Times New Roman" w:cs="Times New Roman"/>
          <w:color w:val="4D4D4D"/>
          <w:sz w:val="29"/>
          <w:szCs w:val="29"/>
        </w:rPr>
        <w:t>期或</w:t>
      </w:r>
      <w:r>
        <w:rPr>
          <w:rFonts w:ascii="Times New Roman" w:hAnsi="Times New Roman" w:cs="Times New Roman"/>
          <w:color w:val="4D4D4D"/>
          <w:sz w:val="29"/>
          <w:szCs w:val="29"/>
        </w:rPr>
        <w:t>II</w:t>
      </w:r>
      <w:r>
        <w:rPr>
          <w:rFonts w:ascii="Times New Roman" w:hAnsi="Times New Roman" w:cs="Times New Roman"/>
          <w:color w:val="4D4D4D"/>
          <w:sz w:val="29"/>
          <w:szCs w:val="29"/>
        </w:rPr>
        <w:t>期疾病的患者中，具有高风险基因特征的患者的总生存期比具有低风险基因特征的患者短（</w:t>
      </w:r>
      <w:hyperlink r:id="rId55" w:tooltip="查看完整尺寸" w:history="1">
        <w:r>
          <w:rPr>
            <w:rStyle w:val="a3"/>
            <w:rFonts w:ascii="inherit" w:hAnsi="inherit" w:cs="Times New Roman"/>
            <w:color w:val="0B4F82"/>
            <w:sz w:val="29"/>
            <w:szCs w:val="29"/>
            <w:bdr w:val="none" w:sz="0" w:space="0" w:color="auto" w:frame="1"/>
          </w:rPr>
          <w:t>图</w:t>
        </w:r>
        <w:r>
          <w:rPr>
            <w:rStyle w:val="a3"/>
            <w:rFonts w:ascii="inherit" w:hAnsi="inherit" w:cs="Times New Roman"/>
            <w:color w:val="0B4F82"/>
            <w:sz w:val="29"/>
            <w:szCs w:val="29"/>
            <w:bdr w:val="none" w:sz="0" w:space="0" w:color="auto" w:frame="1"/>
          </w:rPr>
          <w:t>2F</w:t>
        </w:r>
      </w:hyperlink>
      <w:r>
        <w:rPr>
          <w:rFonts w:ascii="Times New Roman" w:hAnsi="Times New Roman" w:cs="Times New Roman"/>
          <w:color w:val="4D4D4D"/>
          <w:sz w:val="29"/>
          <w:szCs w:val="29"/>
        </w:rPr>
        <w:t>）。在患有</w:t>
      </w:r>
      <w:r>
        <w:rPr>
          <w:rFonts w:ascii="Times New Roman" w:hAnsi="Times New Roman" w:cs="Times New Roman"/>
          <w:color w:val="4D4D4D"/>
          <w:sz w:val="29"/>
          <w:szCs w:val="29"/>
        </w:rPr>
        <w:t>I</w:t>
      </w:r>
      <w:r>
        <w:rPr>
          <w:rFonts w:ascii="Times New Roman" w:hAnsi="Times New Roman" w:cs="Times New Roman"/>
          <w:color w:val="4D4D4D"/>
          <w:sz w:val="29"/>
          <w:szCs w:val="29"/>
        </w:rPr>
        <w:t>期疾病的患者中，低风险基因特征与高风险基因特征相比具有更长的总体存活率（通过对数秩检验</w:t>
      </w:r>
      <w:r>
        <w:rPr>
          <w:rFonts w:ascii="Times New Roman" w:hAnsi="Times New Roman" w:cs="Times New Roman"/>
          <w:color w:val="4D4D4D"/>
          <w:sz w:val="29"/>
          <w:szCs w:val="29"/>
        </w:rPr>
        <w:t xml:space="preserve">P = </w:t>
      </w:r>
      <w:r>
        <w:rPr>
          <w:rFonts w:ascii="Times New Roman" w:hAnsi="Times New Roman" w:cs="Times New Roman"/>
          <w:color w:val="4D4D4D"/>
          <w:sz w:val="29"/>
          <w:szCs w:val="29"/>
        </w:rPr>
        <w:lastRenderedPageBreak/>
        <w:t>0.02</w:t>
      </w:r>
      <w:r>
        <w:rPr>
          <w:rFonts w:ascii="Times New Roman" w:hAnsi="Times New Roman" w:cs="Times New Roman"/>
          <w:color w:val="4D4D4D"/>
          <w:sz w:val="29"/>
          <w:szCs w:val="29"/>
        </w:rPr>
        <w:t>）。在患有</w:t>
      </w:r>
      <w:r>
        <w:rPr>
          <w:rFonts w:ascii="Times New Roman" w:hAnsi="Times New Roman" w:cs="Times New Roman"/>
          <w:color w:val="4D4D4D"/>
          <w:sz w:val="29"/>
          <w:szCs w:val="29"/>
        </w:rPr>
        <w:t>II</w:t>
      </w:r>
      <w:r>
        <w:rPr>
          <w:rFonts w:ascii="Times New Roman" w:hAnsi="Times New Roman" w:cs="Times New Roman"/>
          <w:color w:val="4D4D4D"/>
          <w:sz w:val="29"/>
          <w:szCs w:val="29"/>
        </w:rPr>
        <w:t>期疾病的患者中，高危患者和低风险基因签名患者的总体生存率没有显着差异，可能是由于患者数量较少。</w:t>
      </w:r>
    </w:p>
    <w:p w:rsidR="00A92D7F" w:rsidRDefault="00A92D7F" w:rsidP="00A92D7F">
      <w:pPr>
        <w:pStyle w:val="f-body"/>
        <w:shd w:val="clear" w:color="auto" w:fill="FFFFFF"/>
        <w:spacing w:before="0" w:beforeAutospacing="0" w:after="0" w:afterAutospacing="0" w:line="420" w:lineRule="atLeast"/>
        <w:textAlignment w:val="baseline"/>
        <w:rPr>
          <w:rFonts w:ascii="Times New Roman" w:hAnsi="Times New Roman" w:cs="Times New Roman"/>
          <w:color w:val="4D4D4D"/>
          <w:sz w:val="29"/>
          <w:szCs w:val="29"/>
        </w:rPr>
      </w:pPr>
      <w:r>
        <w:rPr>
          <w:rFonts w:ascii="Times New Roman" w:hAnsi="Times New Roman" w:cs="Times New Roman"/>
          <w:color w:val="4D4D4D"/>
          <w:sz w:val="29"/>
          <w:szCs w:val="29"/>
        </w:rPr>
        <w:t>我们还在来自西方</w:t>
      </w:r>
      <w:r>
        <w:rPr>
          <w:rFonts w:ascii="Times New Roman" w:hAnsi="Times New Roman" w:cs="Times New Roman"/>
          <w:color w:val="4D4D4D"/>
          <w:sz w:val="29"/>
          <w:szCs w:val="29"/>
        </w:rPr>
        <w:t>NSCLC</w:t>
      </w:r>
      <w:r>
        <w:rPr>
          <w:rFonts w:ascii="Times New Roman" w:hAnsi="Times New Roman" w:cs="Times New Roman"/>
          <w:color w:val="4D4D4D"/>
          <w:sz w:val="29"/>
          <w:szCs w:val="29"/>
        </w:rPr>
        <w:t>人群的</w:t>
      </w:r>
      <w:r>
        <w:rPr>
          <w:rFonts w:ascii="Times New Roman" w:hAnsi="Times New Roman" w:cs="Times New Roman"/>
          <w:color w:val="4D4D4D"/>
          <w:sz w:val="29"/>
          <w:szCs w:val="29"/>
        </w:rPr>
        <w:t>86</w:t>
      </w:r>
      <w:r>
        <w:rPr>
          <w:rFonts w:ascii="Times New Roman" w:hAnsi="Times New Roman" w:cs="Times New Roman"/>
          <w:color w:val="4D4D4D"/>
          <w:sz w:val="29"/>
          <w:szCs w:val="29"/>
        </w:rPr>
        <w:t>名患者的一组独立的微阵列数据中验证了五基因特征。</w:t>
      </w:r>
      <w:hyperlink r:id="rId56" w:history="1">
        <w:r>
          <w:rPr>
            <w:rStyle w:val="a3"/>
            <w:rFonts w:ascii="inherit" w:hAnsi="inherit" w:cs="Times New Roman"/>
            <w:color w:val="0B4F82"/>
            <w:sz w:val="22"/>
            <w:szCs w:val="22"/>
            <w:bdr w:val="none" w:sz="0" w:space="0" w:color="auto" w:frame="1"/>
            <w:vertAlign w:val="superscript"/>
          </w:rPr>
          <w:t>10</w:t>
        </w:r>
      </w:hyperlink>
      <w:hyperlink r:id="rId57" w:history="1">
        <w:r>
          <w:rPr>
            <w:rStyle w:val="a3"/>
            <w:rFonts w:ascii="Times New Roman" w:hAnsi="Times New Roman" w:cs="Times New Roman"/>
            <w:color w:val="0B4F82"/>
            <w:sz w:val="29"/>
            <w:szCs w:val="29"/>
          </w:rPr>
          <w:t>补充附录的</w:t>
        </w:r>
      </w:hyperlink>
      <w:r>
        <w:rPr>
          <w:rFonts w:ascii="Times New Roman" w:hAnsi="Times New Roman" w:cs="Times New Roman"/>
          <w:color w:val="4D4D4D"/>
          <w:sz w:val="29"/>
          <w:szCs w:val="29"/>
        </w:rPr>
        <w:t>表</w:t>
      </w:r>
      <w:r>
        <w:rPr>
          <w:rFonts w:ascii="Times New Roman" w:hAnsi="Times New Roman" w:cs="Times New Roman"/>
          <w:color w:val="4D4D4D"/>
          <w:sz w:val="29"/>
          <w:szCs w:val="29"/>
        </w:rPr>
        <w:t>2 </w:t>
      </w:r>
      <w:r>
        <w:rPr>
          <w:rFonts w:ascii="Times New Roman" w:hAnsi="Times New Roman" w:cs="Times New Roman"/>
          <w:color w:val="4D4D4D"/>
          <w:sz w:val="29"/>
          <w:szCs w:val="29"/>
        </w:rPr>
        <w:t>根据其五基因特征列出了这</w:t>
      </w:r>
      <w:r>
        <w:rPr>
          <w:rFonts w:ascii="Times New Roman" w:hAnsi="Times New Roman" w:cs="Times New Roman"/>
          <w:color w:val="4D4D4D"/>
          <w:sz w:val="29"/>
          <w:szCs w:val="29"/>
        </w:rPr>
        <w:t>86</w:t>
      </w:r>
      <w:r>
        <w:rPr>
          <w:rFonts w:ascii="Times New Roman" w:hAnsi="Times New Roman" w:cs="Times New Roman"/>
          <w:color w:val="4D4D4D"/>
          <w:sz w:val="29"/>
          <w:szCs w:val="29"/>
        </w:rPr>
        <w:t>名患者的临床特征。具有高风险基因特征的患者的总生存期比具有低风险基因特征的患者短（</w:t>
      </w:r>
      <w:hyperlink r:id="rId58" w:tooltip="查看完整尺寸" w:history="1">
        <w:r>
          <w:rPr>
            <w:rStyle w:val="a3"/>
            <w:rFonts w:ascii="inherit" w:hAnsi="inherit" w:cs="Times New Roman"/>
            <w:color w:val="0B4F82"/>
            <w:sz w:val="29"/>
            <w:szCs w:val="29"/>
            <w:bdr w:val="none" w:sz="0" w:space="0" w:color="auto" w:frame="1"/>
          </w:rPr>
          <w:t>图</w:t>
        </w:r>
        <w:r>
          <w:rPr>
            <w:rStyle w:val="a3"/>
            <w:rFonts w:ascii="inherit" w:hAnsi="inherit" w:cs="Times New Roman"/>
            <w:color w:val="0B4F82"/>
            <w:sz w:val="29"/>
            <w:szCs w:val="29"/>
            <w:bdr w:val="none" w:sz="0" w:space="0" w:color="auto" w:frame="1"/>
          </w:rPr>
          <w:t>2G</w:t>
        </w:r>
      </w:hyperlink>
      <w:r>
        <w:rPr>
          <w:rFonts w:ascii="Times New Roman" w:hAnsi="Times New Roman" w:cs="Times New Roman"/>
          <w:color w:val="4D4D4D"/>
          <w:sz w:val="29"/>
          <w:szCs w:val="29"/>
        </w:rPr>
        <w:t>）（对数秩检验</w:t>
      </w:r>
      <w:r>
        <w:rPr>
          <w:rFonts w:ascii="Times New Roman" w:hAnsi="Times New Roman" w:cs="Times New Roman"/>
          <w:color w:val="4D4D4D"/>
          <w:sz w:val="29"/>
          <w:szCs w:val="29"/>
        </w:rPr>
        <w:t>P = 0.06</w:t>
      </w:r>
      <w:r>
        <w:rPr>
          <w:rFonts w:ascii="Times New Roman" w:hAnsi="Times New Roman" w:cs="Times New Roman"/>
          <w:color w:val="4D4D4D"/>
          <w:sz w:val="29"/>
          <w:szCs w:val="29"/>
        </w:rPr>
        <w:t>）。根据</w:t>
      </w:r>
      <w:r>
        <w:rPr>
          <w:rFonts w:ascii="Times New Roman" w:hAnsi="Times New Roman" w:cs="Times New Roman"/>
          <w:color w:val="4D4D4D"/>
          <w:sz w:val="29"/>
          <w:szCs w:val="29"/>
        </w:rPr>
        <w:t>Cox</w:t>
      </w:r>
      <w:r>
        <w:rPr>
          <w:rFonts w:ascii="Times New Roman" w:hAnsi="Times New Roman" w:cs="Times New Roman"/>
          <w:color w:val="4D4D4D"/>
          <w:sz w:val="29"/>
          <w:szCs w:val="29"/>
        </w:rPr>
        <w:t>多变量回归分析，高风险五基因特征和肿瘤</w:t>
      </w:r>
      <w:r>
        <w:rPr>
          <w:rFonts w:ascii="Times New Roman" w:hAnsi="Times New Roman" w:cs="Times New Roman"/>
          <w:color w:val="4D4D4D"/>
          <w:sz w:val="29"/>
          <w:szCs w:val="29"/>
        </w:rPr>
        <w:t>III</w:t>
      </w:r>
      <w:r>
        <w:rPr>
          <w:rFonts w:ascii="Times New Roman" w:hAnsi="Times New Roman" w:cs="Times New Roman"/>
          <w:color w:val="4D4D4D"/>
          <w:sz w:val="29"/>
          <w:szCs w:val="29"/>
        </w:rPr>
        <w:t>期与任何原因的死亡显着相关（</w:t>
      </w:r>
      <w:hyperlink r:id="rId59" w:tooltip="查看完整尺寸" w:history="1">
        <w:r>
          <w:rPr>
            <w:rStyle w:val="a3"/>
            <w:rFonts w:ascii="inherit" w:hAnsi="inherit" w:cs="Times New Roman"/>
            <w:color w:val="0B4F82"/>
            <w:sz w:val="29"/>
            <w:szCs w:val="29"/>
            <w:bdr w:val="none" w:sz="0" w:space="0" w:color="auto" w:frame="1"/>
          </w:rPr>
          <w:t>表</w:t>
        </w:r>
        <w:r>
          <w:rPr>
            <w:rStyle w:val="a3"/>
            <w:rFonts w:ascii="inherit" w:hAnsi="inherit" w:cs="Times New Roman"/>
            <w:color w:val="0B4F82"/>
            <w:sz w:val="29"/>
            <w:szCs w:val="29"/>
            <w:bdr w:val="none" w:sz="0" w:space="0" w:color="auto" w:frame="1"/>
          </w:rPr>
          <w:t>3</w:t>
        </w:r>
      </w:hyperlink>
      <w:r>
        <w:rPr>
          <w:rFonts w:ascii="Times New Roman" w:hAnsi="Times New Roman" w:cs="Times New Roman"/>
          <w:color w:val="4D4D4D"/>
          <w:sz w:val="29"/>
          <w:szCs w:val="29"/>
        </w:rPr>
        <w:t>）。</w:t>
      </w:r>
    </w:p>
    <w:p w:rsidR="00A92D7F" w:rsidRDefault="00A92D7F" w:rsidP="00A92D7F">
      <w:pPr>
        <w:pStyle w:val="2"/>
        <w:pBdr>
          <w:bottom w:val="single" w:sz="6" w:space="17" w:color="E2E2E2"/>
        </w:pBdr>
        <w:spacing w:before="0" w:after="0" w:line="480" w:lineRule="atLeast"/>
        <w:textAlignment w:val="baseline"/>
        <w:rPr>
          <w:rFonts w:ascii="Times New Roman" w:hAnsi="Times New Roman" w:cs="Times New Roman"/>
          <w:color w:val="1A1A1A"/>
          <w:spacing w:val="-1"/>
          <w:sz w:val="42"/>
          <w:szCs w:val="42"/>
        </w:rPr>
      </w:pPr>
      <w:r>
        <w:rPr>
          <w:rFonts w:ascii="Times New Roman" w:hAnsi="Times New Roman" w:cs="Times New Roman"/>
          <w:color w:val="1A1A1A"/>
          <w:spacing w:val="-1"/>
          <w:sz w:val="42"/>
          <w:szCs w:val="42"/>
        </w:rPr>
        <w:t>讨论</w:t>
      </w:r>
    </w:p>
    <w:p w:rsidR="00A92D7F" w:rsidRDefault="00A92D7F" w:rsidP="00A92D7F">
      <w:pPr>
        <w:pStyle w:val="f-body"/>
        <w:spacing w:before="0" w:beforeAutospacing="0" w:after="0" w:afterAutospacing="0" w:line="420" w:lineRule="atLeast"/>
        <w:textAlignment w:val="baseline"/>
        <w:rPr>
          <w:rFonts w:ascii="Times New Roman" w:hAnsi="Times New Roman" w:cs="Times New Roman"/>
          <w:sz w:val="29"/>
          <w:szCs w:val="29"/>
        </w:rPr>
      </w:pPr>
      <w:r>
        <w:rPr>
          <w:rFonts w:ascii="Times New Roman" w:hAnsi="Times New Roman" w:cs="Times New Roman"/>
          <w:sz w:val="29"/>
          <w:szCs w:val="29"/>
        </w:rPr>
        <w:t>NSCLC</w:t>
      </w:r>
      <w:r>
        <w:rPr>
          <w:rFonts w:ascii="Times New Roman" w:hAnsi="Times New Roman" w:cs="Times New Roman"/>
          <w:sz w:val="29"/>
          <w:szCs w:val="29"/>
        </w:rPr>
        <w:t>是一种异质性疾病。即使在具有相似临床和病理特征的患者中，结果也各不相同：一些患者已治愈，而在另一些患者中，癌症复发。基于临床和病理结果的肺癌分期系统可能已达到预测结果的有效性限制，但分子方法增加了价值。使用微阵列</w:t>
      </w:r>
      <w:hyperlink r:id="rId60" w:history="1">
        <w:r>
          <w:rPr>
            <w:rStyle w:val="a3"/>
            <w:rFonts w:ascii="inherit" w:hAnsi="inherit" w:cs="Times New Roman"/>
            <w:color w:val="0B4F82"/>
            <w:sz w:val="22"/>
            <w:szCs w:val="22"/>
            <w:bdr w:val="none" w:sz="0" w:space="0" w:color="auto" w:frame="1"/>
            <w:vertAlign w:val="superscript"/>
          </w:rPr>
          <w:t>3,4</w:t>
        </w:r>
      </w:hyperlink>
      <w:r>
        <w:rPr>
          <w:rFonts w:ascii="Times New Roman" w:hAnsi="Times New Roman" w:cs="Times New Roman"/>
          <w:sz w:val="29"/>
          <w:szCs w:val="29"/>
        </w:rPr>
        <w:t>或</w:t>
      </w:r>
      <w:r>
        <w:rPr>
          <w:rFonts w:ascii="Times New Roman" w:hAnsi="Times New Roman" w:cs="Times New Roman"/>
          <w:sz w:val="29"/>
          <w:szCs w:val="29"/>
        </w:rPr>
        <w:t>PCR </w:t>
      </w:r>
      <w:hyperlink r:id="rId61" w:history="1">
        <w:r>
          <w:rPr>
            <w:rStyle w:val="a3"/>
            <w:rFonts w:ascii="inherit" w:hAnsi="inherit" w:cs="Times New Roman"/>
            <w:color w:val="0B4F82"/>
            <w:sz w:val="22"/>
            <w:szCs w:val="22"/>
            <w:bdr w:val="none" w:sz="0" w:space="0" w:color="auto" w:frame="1"/>
            <w:vertAlign w:val="superscript"/>
          </w:rPr>
          <w:t>5,6</w:t>
        </w:r>
      </w:hyperlink>
      <w:r>
        <w:rPr>
          <w:rFonts w:ascii="Times New Roman" w:hAnsi="Times New Roman" w:cs="Times New Roman"/>
          <w:sz w:val="29"/>
          <w:szCs w:val="29"/>
        </w:rPr>
        <w:t>进行的基因表达谱分析已经显示可以准确地估计肺癌患者的预后。</w:t>
      </w:r>
      <w:hyperlink r:id="rId62" w:history="1">
        <w:r>
          <w:rPr>
            <w:rStyle w:val="a3"/>
            <w:rFonts w:ascii="inherit" w:hAnsi="inherit" w:cs="Times New Roman"/>
            <w:color w:val="0B4F82"/>
            <w:sz w:val="22"/>
            <w:szCs w:val="22"/>
            <w:bdr w:val="none" w:sz="0" w:space="0" w:color="auto" w:frame="1"/>
            <w:vertAlign w:val="superscript"/>
          </w:rPr>
          <w:t>10-16</w:t>
        </w:r>
      </w:hyperlink>
      <w:r>
        <w:rPr>
          <w:rFonts w:ascii="Times New Roman" w:hAnsi="Times New Roman" w:cs="Times New Roman"/>
          <w:sz w:val="29"/>
          <w:szCs w:val="29"/>
        </w:rPr>
        <w:t>然而，在临床实践中使用微阵列受到分析中大量基因的限制，</w:t>
      </w:r>
      <w:hyperlink r:id="rId63" w:history="1">
        <w:r>
          <w:rPr>
            <w:rStyle w:val="a3"/>
            <w:rFonts w:ascii="inherit" w:hAnsi="inherit" w:cs="Times New Roman"/>
            <w:color w:val="0B4F82"/>
            <w:sz w:val="22"/>
            <w:szCs w:val="22"/>
            <w:bdr w:val="none" w:sz="0" w:space="0" w:color="auto" w:frame="1"/>
            <w:vertAlign w:val="superscript"/>
          </w:rPr>
          <w:t>17</w:t>
        </w:r>
      </w:hyperlink>
      <w:r>
        <w:rPr>
          <w:rFonts w:ascii="Times New Roman" w:hAnsi="Times New Roman" w:cs="Times New Roman"/>
          <w:sz w:val="29"/>
          <w:szCs w:val="29"/>
        </w:rPr>
        <w:t>复杂的方法，缺乏可重复性和结果的独立验证，以及对新鲜冷冻组织的需求。</w:t>
      </w:r>
      <w:hyperlink r:id="rId64" w:history="1">
        <w:r>
          <w:rPr>
            <w:rStyle w:val="a3"/>
            <w:rFonts w:ascii="inherit" w:hAnsi="inherit" w:cs="Times New Roman"/>
            <w:color w:val="0B4F82"/>
            <w:sz w:val="22"/>
            <w:szCs w:val="22"/>
            <w:bdr w:val="none" w:sz="0" w:space="0" w:color="auto" w:frame="1"/>
            <w:vertAlign w:val="superscript"/>
          </w:rPr>
          <w:t>17</w:t>
        </w:r>
      </w:hyperlink>
      <w:r>
        <w:rPr>
          <w:rFonts w:ascii="Times New Roman" w:hAnsi="Times New Roman" w:cs="Times New Roman"/>
          <w:sz w:val="29"/>
          <w:szCs w:val="29"/>
        </w:rPr>
        <w:t>涉及少量基因的</w:t>
      </w:r>
      <w:r>
        <w:rPr>
          <w:rFonts w:ascii="Times New Roman" w:hAnsi="Times New Roman" w:cs="Times New Roman"/>
          <w:sz w:val="29"/>
          <w:szCs w:val="29"/>
        </w:rPr>
        <w:t>RT-PCR</w:t>
      </w:r>
      <w:r>
        <w:rPr>
          <w:rFonts w:ascii="Times New Roman" w:hAnsi="Times New Roman" w:cs="Times New Roman"/>
          <w:sz w:val="29"/>
          <w:szCs w:val="29"/>
        </w:rPr>
        <w:t>可能是临床上更有用的方法。它允许从少量石蜡包埋的样本中获得的</w:t>
      </w:r>
      <w:r>
        <w:rPr>
          <w:rFonts w:ascii="Times New Roman" w:hAnsi="Times New Roman" w:cs="Times New Roman"/>
          <w:sz w:val="29"/>
          <w:szCs w:val="29"/>
        </w:rPr>
        <w:t>RNA</w:t>
      </w:r>
      <w:r>
        <w:rPr>
          <w:rFonts w:ascii="Times New Roman" w:hAnsi="Times New Roman" w:cs="Times New Roman"/>
          <w:sz w:val="29"/>
          <w:szCs w:val="29"/>
        </w:rPr>
        <w:t>的结果的准确和可重复的定量。</w:t>
      </w:r>
      <w:hyperlink r:id="rId65" w:history="1">
        <w:r>
          <w:rPr>
            <w:rStyle w:val="a3"/>
            <w:rFonts w:ascii="inherit" w:hAnsi="inherit" w:cs="Times New Roman"/>
            <w:color w:val="0B4F82"/>
            <w:sz w:val="22"/>
            <w:szCs w:val="22"/>
            <w:bdr w:val="none" w:sz="0" w:space="0" w:color="auto" w:frame="1"/>
            <w:vertAlign w:val="superscript"/>
          </w:rPr>
          <w:t>对于</w:t>
        </w:r>
      </w:hyperlink>
      <w:r>
        <w:rPr>
          <w:rFonts w:ascii="Times New Roman" w:hAnsi="Times New Roman" w:cs="Times New Roman"/>
          <w:sz w:val="29"/>
          <w:szCs w:val="29"/>
        </w:rPr>
        <w:t>从总共</w:t>
      </w:r>
      <w:r>
        <w:rPr>
          <w:rFonts w:ascii="Times New Roman" w:hAnsi="Times New Roman" w:cs="Times New Roman"/>
          <w:sz w:val="29"/>
          <w:szCs w:val="29"/>
        </w:rPr>
        <w:t>45</w:t>
      </w:r>
      <w:r>
        <w:rPr>
          <w:rFonts w:ascii="Times New Roman" w:hAnsi="Times New Roman" w:cs="Times New Roman"/>
          <w:sz w:val="29"/>
          <w:szCs w:val="29"/>
        </w:rPr>
        <w:t>种基因中选出的</w:t>
      </w:r>
      <w:r>
        <w:rPr>
          <w:rFonts w:ascii="Times New Roman" w:hAnsi="Times New Roman" w:cs="Times New Roman"/>
          <w:sz w:val="29"/>
          <w:szCs w:val="29"/>
        </w:rPr>
        <w:t>8</w:t>
      </w:r>
      <w:r>
        <w:rPr>
          <w:rFonts w:ascii="Times New Roman" w:hAnsi="Times New Roman" w:cs="Times New Roman"/>
          <w:sz w:val="29"/>
          <w:szCs w:val="29"/>
        </w:rPr>
        <w:t>种基因进行的</w:t>
      </w:r>
      <w:r>
        <w:rPr>
          <w:rFonts w:ascii="Times New Roman" w:hAnsi="Times New Roman" w:cs="Times New Roman"/>
          <w:sz w:val="29"/>
          <w:szCs w:val="29"/>
        </w:rPr>
        <w:t>RT-PCR</w:t>
      </w:r>
      <w:r>
        <w:rPr>
          <w:rFonts w:ascii="Times New Roman" w:hAnsi="Times New Roman" w:cs="Times New Roman"/>
          <w:sz w:val="29"/>
          <w:szCs w:val="29"/>
        </w:rPr>
        <w:t>结果最近显示与肺腺癌的结果相关。</w:t>
      </w:r>
      <w:hyperlink r:id="rId66" w:history="1">
        <w:r>
          <w:rPr>
            <w:rStyle w:val="a3"/>
            <w:rFonts w:ascii="inherit" w:hAnsi="inherit" w:cs="Times New Roman"/>
            <w:color w:val="0B4F82"/>
            <w:sz w:val="22"/>
            <w:szCs w:val="22"/>
            <w:bdr w:val="none" w:sz="0" w:space="0" w:color="auto" w:frame="1"/>
            <w:vertAlign w:val="superscript"/>
          </w:rPr>
          <w:t>五</w:t>
        </w:r>
      </w:hyperlink>
    </w:p>
    <w:p w:rsidR="00A92D7F" w:rsidRDefault="00A92D7F" w:rsidP="00A92D7F">
      <w:pPr>
        <w:pStyle w:val="f-body"/>
        <w:spacing w:before="0" w:beforeAutospacing="0" w:after="0" w:afterAutospacing="0" w:line="420" w:lineRule="atLeast"/>
        <w:textAlignment w:val="baseline"/>
        <w:rPr>
          <w:rFonts w:ascii="Times New Roman" w:hAnsi="Times New Roman" w:cs="Times New Roman"/>
          <w:sz w:val="29"/>
          <w:szCs w:val="29"/>
        </w:rPr>
      </w:pPr>
      <w:r>
        <w:rPr>
          <w:rFonts w:ascii="Times New Roman" w:hAnsi="Times New Roman" w:cs="Times New Roman"/>
          <w:sz w:val="29"/>
          <w:szCs w:val="29"/>
        </w:rPr>
        <w:t>我们使用基于微阵列和来自</w:t>
      </w:r>
      <w:r>
        <w:rPr>
          <w:rFonts w:ascii="Times New Roman" w:hAnsi="Times New Roman" w:cs="Times New Roman"/>
          <w:sz w:val="29"/>
          <w:szCs w:val="29"/>
        </w:rPr>
        <w:t>NSCLC</w:t>
      </w:r>
      <w:r>
        <w:rPr>
          <w:rFonts w:ascii="Times New Roman" w:hAnsi="Times New Roman" w:cs="Times New Roman"/>
          <w:sz w:val="29"/>
          <w:szCs w:val="29"/>
        </w:rPr>
        <w:t>患者的</w:t>
      </w:r>
      <w:r>
        <w:rPr>
          <w:rFonts w:ascii="Times New Roman" w:hAnsi="Times New Roman" w:cs="Times New Roman"/>
          <w:sz w:val="29"/>
          <w:szCs w:val="29"/>
        </w:rPr>
        <w:t>125</w:t>
      </w:r>
      <w:r>
        <w:rPr>
          <w:rFonts w:ascii="Times New Roman" w:hAnsi="Times New Roman" w:cs="Times New Roman"/>
          <w:sz w:val="29"/>
          <w:szCs w:val="29"/>
        </w:rPr>
        <w:t>个冷冻肿瘤标本的决策树分析的风险评分</w:t>
      </w:r>
      <w:r>
        <w:rPr>
          <w:rFonts w:ascii="inherit" w:hAnsi="inherit" w:cs="Times New Roman"/>
          <w:i/>
          <w:iCs/>
          <w:sz w:val="29"/>
          <w:szCs w:val="29"/>
          <w:bdr w:val="none" w:sz="0" w:space="0" w:color="auto" w:frame="1"/>
        </w:rPr>
        <w:t>，</w:t>
      </w:r>
      <w:r>
        <w:rPr>
          <w:rFonts w:ascii="Times New Roman" w:hAnsi="Times New Roman" w:cs="Times New Roman"/>
          <w:sz w:val="29"/>
          <w:szCs w:val="29"/>
        </w:rPr>
        <w:t>鉴定了基于</w:t>
      </w:r>
      <w:r>
        <w:rPr>
          <w:rFonts w:ascii="Times New Roman" w:hAnsi="Times New Roman" w:cs="Times New Roman"/>
          <w:sz w:val="29"/>
          <w:szCs w:val="29"/>
        </w:rPr>
        <w:t>RT-PCR</w:t>
      </w:r>
      <w:r>
        <w:rPr>
          <w:rFonts w:ascii="Times New Roman" w:hAnsi="Times New Roman" w:cs="Times New Roman"/>
          <w:sz w:val="29"/>
          <w:szCs w:val="29"/>
        </w:rPr>
        <w:t>的五基因标记（包括</w:t>
      </w:r>
      <w:r>
        <w:rPr>
          <w:rFonts w:ascii="inherit" w:hAnsi="inherit" w:cs="Times New Roman"/>
          <w:i/>
          <w:iCs/>
          <w:sz w:val="29"/>
          <w:szCs w:val="29"/>
          <w:bdr w:val="none" w:sz="0" w:space="0" w:color="auto" w:frame="1"/>
        </w:rPr>
        <w:t>DUSP6</w:t>
      </w:r>
      <w:r>
        <w:rPr>
          <w:rFonts w:ascii="inherit" w:hAnsi="inherit" w:cs="Times New Roman"/>
          <w:i/>
          <w:iCs/>
          <w:sz w:val="29"/>
          <w:szCs w:val="29"/>
          <w:bdr w:val="none" w:sz="0" w:space="0" w:color="auto" w:frame="1"/>
        </w:rPr>
        <w:t>，</w:t>
      </w:r>
      <w:r>
        <w:rPr>
          <w:rFonts w:ascii="inherit" w:hAnsi="inherit" w:cs="Times New Roman"/>
          <w:i/>
          <w:iCs/>
          <w:sz w:val="29"/>
          <w:szCs w:val="29"/>
          <w:bdr w:val="none" w:sz="0" w:space="0" w:color="auto" w:frame="1"/>
        </w:rPr>
        <w:t>MMD</w:t>
      </w:r>
      <w:r>
        <w:rPr>
          <w:rFonts w:ascii="inherit" w:hAnsi="inherit" w:cs="Times New Roman"/>
          <w:i/>
          <w:iCs/>
          <w:sz w:val="29"/>
          <w:szCs w:val="29"/>
          <w:bdr w:val="none" w:sz="0" w:space="0" w:color="auto" w:frame="1"/>
        </w:rPr>
        <w:t>，</w:t>
      </w:r>
      <w:r>
        <w:rPr>
          <w:rFonts w:ascii="inherit" w:hAnsi="inherit" w:cs="Times New Roman"/>
          <w:i/>
          <w:iCs/>
          <w:sz w:val="29"/>
          <w:szCs w:val="29"/>
          <w:bdr w:val="none" w:sz="0" w:space="0" w:color="auto" w:frame="1"/>
        </w:rPr>
        <w:t>STAT1</w:t>
      </w:r>
      <w:r>
        <w:rPr>
          <w:rFonts w:ascii="inherit" w:hAnsi="inherit" w:cs="Times New Roman"/>
          <w:i/>
          <w:iCs/>
          <w:sz w:val="29"/>
          <w:szCs w:val="29"/>
          <w:bdr w:val="none" w:sz="0" w:space="0" w:color="auto" w:frame="1"/>
        </w:rPr>
        <w:t>，</w:t>
      </w:r>
      <w:r>
        <w:rPr>
          <w:rFonts w:ascii="inherit" w:hAnsi="inherit" w:cs="Times New Roman"/>
          <w:i/>
          <w:iCs/>
          <w:sz w:val="29"/>
          <w:szCs w:val="29"/>
          <w:bdr w:val="none" w:sz="0" w:space="0" w:color="auto" w:frame="1"/>
        </w:rPr>
        <w:t>ERBB3</w:t>
      </w:r>
      <w:r>
        <w:rPr>
          <w:rFonts w:ascii="Times New Roman" w:hAnsi="Times New Roman" w:cs="Times New Roman"/>
          <w:sz w:val="29"/>
          <w:szCs w:val="29"/>
        </w:rPr>
        <w:t>和</w:t>
      </w:r>
      <w:r>
        <w:rPr>
          <w:rFonts w:ascii="inherit" w:hAnsi="inherit" w:cs="Times New Roman"/>
          <w:i/>
          <w:iCs/>
          <w:sz w:val="29"/>
          <w:szCs w:val="29"/>
          <w:bdr w:val="none" w:sz="0" w:space="0" w:color="auto" w:frame="1"/>
        </w:rPr>
        <w:t>LCK</w:t>
      </w:r>
      <w:r>
        <w:rPr>
          <w:rFonts w:ascii="Times New Roman" w:hAnsi="Times New Roman" w:cs="Times New Roman"/>
          <w:sz w:val="29"/>
          <w:szCs w:val="29"/>
        </w:rPr>
        <w:t>）。将样本随机分成训练组（</w:t>
      </w:r>
      <w:r>
        <w:rPr>
          <w:rFonts w:ascii="Times New Roman" w:hAnsi="Times New Roman" w:cs="Times New Roman"/>
          <w:sz w:val="29"/>
          <w:szCs w:val="29"/>
        </w:rPr>
        <w:t>63</w:t>
      </w:r>
      <w:r>
        <w:rPr>
          <w:rFonts w:ascii="Times New Roman" w:hAnsi="Times New Roman" w:cs="Times New Roman"/>
          <w:sz w:val="29"/>
          <w:szCs w:val="29"/>
        </w:rPr>
        <w:t>个样本）和测试集（</w:t>
      </w:r>
      <w:r>
        <w:rPr>
          <w:rFonts w:ascii="Times New Roman" w:hAnsi="Times New Roman" w:cs="Times New Roman"/>
          <w:sz w:val="29"/>
          <w:szCs w:val="29"/>
        </w:rPr>
        <w:t>62</w:t>
      </w:r>
      <w:r>
        <w:rPr>
          <w:rFonts w:ascii="Times New Roman" w:hAnsi="Times New Roman" w:cs="Times New Roman"/>
          <w:sz w:val="29"/>
          <w:szCs w:val="29"/>
        </w:rPr>
        <w:t>个样本）。</w:t>
      </w:r>
      <w:r>
        <w:rPr>
          <w:rFonts w:ascii="Times New Roman" w:hAnsi="Times New Roman" w:cs="Times New Roman"/>
          <w:sz w:val="29"/>
          <w:szCs w:val="29"/>
        </w:rPr>
        <w:t>NSCLC</w:t>
      </w:r>
      <w:r>
        <w:rPr>
          <w:rFonts w:ascii="Times New Roman" w:hAnsi="Times New Roman" w:cs="Times New Roman"/>
          <w:sz w:val="29"/>
          <w:szCs w:val="29"/>
        </w:rPr>
        <w:t>肿瘤中存在高风险的五基因特征与复发风险增加和总体存活率降低相关。</w:t>
      </w:r>
    </w:p>
    <w:p w:rsidR="00A92D7F" w:rsidRDefault="00A92D7F" w:rsidP="00A92D7F">
      <w:pPr>
        <w:pStyle w:val="f-body"/>
        <w:spacing w:before="300" w:beforeAutospacing="0" w:after="0" w:afterAutospacing="0" w:line="420" w:lineRule="atLeast"/>
        <w:textAlignment w:val="baseline"/>
        <w:rPr>
          <w:rFonts w:ascii="Times New Roman" w:hAnsi="Times New Roman" w:cs="Times New Roman"/>
          <w:sz w:val="29"/>
          <w:szCs w:val="29"/>
        </w:rPr>
      </w:pPr>
      <w:r>
        <w:rPr>
          <w:rFonts w:ascii="Times New Roman" w:hAnsi="Times New Roman" w:cs="Times New Roman"/>
          <w:sz w:val="29"/>
          <w:szCs w:val="29"/>
        </w:rPr>
        <w:t>我们在微阵列训练集中选择的基因在微阵列测试集中得到验证，并且通过</w:t>
      </w:r>
      <w:r>
        <w:rPr>
          <w:rFonts w:ascii="Times New Roman" w:hAnsi="Times New Roman" w:cs="Times New Roman"/>
          <w:sz w:val="29"/>
          <w:szCs w:val="29"/>
        </w:rPr>
        <w:t>RT-PCR</w:t>
      </w:r>
      <w:r>
        <w:rPr>
          <w:rFonts w:ascii="Times New Roman" w:hAnsi="Times New Roman" w:cs="Times New Roman"/>
          <w:sz w:val="29"/>
          <w:szCs w:val="29"/>
        </w:rPr>
        <w:t>验证在微阵列分析中发现的基因表达模式。我们的结果也在一个由台中退伍军人总医院接受治疗的</w:t>
      </w:r>
      <w:r>
        <w:rPr>
          <w:rFonts w:ascii="Times New Roman" w:hAnsi="Times New Roman" w:cs="Times New Roman"/>
          <w:sz w:val="29"/>
          <w:szCs w:val="29"/>
        </w:rPr>
        <w:t>60</w:t>
      </w:r>
      <w:r>
        <w:rPr>
          <w:rFonts w:ascii="Times New Roman" w:hAnsi="Times New Roman" w:cs="Times New Roman"/>
          <w:sz w:val="29"/>
          <w:szCs w:val="29"/>
        </w:rPr>
        <w:t>名患者的独立队列中得到验证。我们的中国患者的这些结果也通过使用来自西方</w:t>
      </w:r>
      <w:r>
        <w:rPr>
          <w:rFonts w:ascii="Times New Roman" w:hAnsi="Times New Roman" w:cs="Times New Roman"/>
          <w:sz w:val="29"/>
          <w:szCs w:val="29"/>
        </w:rPr>
        <w:t>NSCLC</w:t>
      </w:r>
      <w:r>
        <w:rPr>
          <w:rFonts w:ascii="Times New Roman" w:hAnsi="Times New Roman" w:cs="Times New Roman"/>
          <w:sz w:val="29"/>
          <w:szCs w:val="29"/>
        </w:rPr>
        <w:t>患者的一组公布的</w:t>
      </w:r>
      <w:r>
        <w:rPr>
          <w:rFonts w:ascii="Times New Roman" w:hAnsi="Times New Roman" w:cs="Times New Roman"/>
          <w:sz w:val="29"/>
          <w:szCs w:val="29"/>
        </w:rPr>
        <w:t>NSCLC</w:t>
      </w:r>
      <w:r>
        <w:rPr>
          <w:rFonts w:ascii="Times New Roman" w:hAnsi="Times New Roman" w:cs="Times New Roman"/>
          <w:sz w:val="29"/>
          <w:szCs w:val="29"/>
        </w:rPr>
        <w:t>微阵列数据进行了验证。因此，我们认为使用五基因特征获得的数据是可靠的。</w:t>
      </w:r>
    </w:p>
    <w:p w:rsidR="00A92D7F" w:rsidRDefault="00A92D7F" w:rsidP="00A92D7F">
      <w:pPr>
        <w:pStyle w:val="f-body"/>
        <w:spacing w:before="0" w:beforeAutospacing="0" w:after="0" w:afterAutospacing="0" w:line="420" w:lineRule="atLeast"/>
        <w:textAlignment w:val="baseline"/>
        <w:rPr>
          <w:rFonts w:ascii="Times New Roman" w:hAnsi="Times New Roman" w:cs="Times New Roman"/>
          <w:sz w:val="29"/>
          <w:szCs w:val="29"/>
        </w:rPr>
      </w:pPr>
      <w:r>
        <w:rPr>
          <w:rFonts w:ascii="Times New Roman" w:hAnsi="Times New Roman" w:cs="Times New Roman"/>
          <w:sz w:val="29"/>
          <w:szCs w:val="29"/>
        </w:rPr>
        <w:lastRenderedPageBreak/>
        <w:t>鉴定与</w:t>
      </w:r>
      <w:r>
        <w:rPr>
          <w:rFonts w:ascii="Times New Roman" w:hAnsi="Times New Roman" w:cs="Times New Roman"/>
          <w:sz w:val="29"/>
          <w:szCs w:val="29"/>
        </w:rPr>
        <w:t>NSCLC</w:t>
      </w:r>
      <w:r>
        <w:rPr>
          <w:rFonts w:ascii="Times New Roman" w:hAnsi="Times New Roman" w:cs="Times New Roman"/>
          <w:sz w:val="29"/>
          <w:szCs w:val="29"/>
        </w:rPr>
        <w:t>患者的结果密切相关的五个基因具有临床意义。基于顺铂的辅助化疗对一些</w:t>
      </w:r>
      <w:r>
        <w:rPr>
          <w:rFonts w:ascii="Times New Roman" w:hAnsi="Times New Roman" w:cs="Times New Roman"/>
          <w:sz w:val="29"/>
          <w:szCs w:val="29"/>
        </w:rPr>
        <w:t>NSCLC</w:t>
      </w:r>
      <w:r>
        <w:rPr>
          <w:rFonts w:ascii="Times New Roman" w:hAnsi="Times New Roman" w:cs="Times New Roman"/>
          <w:sz w:val="29"/>
          <w:szCs w:val="29"/>
        </w:rPr>
        <w:t>患者有效。</w:t>
      </w:r>
      <w:hyperlink r:id="rId67" w:history="1">
        <w:r>
          <w:rPr>
            <w:rStyle w:val="a3"/>
            <w:rFonts w:ascii="inherit" w:hAnsi="inherit" w:cs="Times New Roman"/>
            <w:color w:val="0B4F82"/>
            <w:sz w:val="22"/>
            <w:szCs w:val="22"/>
            <w:bdr w:val="none" w:sz="0" w:space="0" w:color="auto" w:frame="1"/>
            <w:vertAlign w:val="superscript"/>
          </w:rPr>
          <w:t>32</w:t>
        </w:r>
      </w:hyperlink>
      <w:r>
        <w:rPr>
          <w:rFonts w:ascii="Times New Roman" w:hAnsi="Times New Roman" w:cs="Times New Roman"/>
          <w:sz w:val="29"/>
          <w:szCs w:val="29"/>
        </w:rPr>
        <w:t>我们建议，谁拥有一个高风险的基因标记肿瘤患者可以从这种类型的辅助治疗中受益，而那些具有低风险的基因标记可以幸免了可能是不必要的治疗。为了测试这个想法，有必要进行前瞻性，大规模，多中心的研究。</w:t>
      </w:r>
    </w:p>
    <w:p w:rsidR="00A92D7F" w:rsidRDefault="00A92D7F" w:rsidP="00A92D7F">
      <w:pPr>
        <w:pStyle w:val="f-body"/>
        <w:spacing w:before="0" w:beforeAutospacing="0" w:after="0" w:afterAutospacing="0" w:line="420" w:lineRule="atLeast"/>
        <w:textAlignment w:val="baseline"/>
        <w:rPr>
          <w:rFonts w:ascii="Times New Roman" w:hAnsi="Times New Roman" w:cs="Times New Roman"/>
          <w:sz w:val="29"/>
          <w:szCs w:val="29"/>
        </w:rPr>
      </w:pPr>
      <w:r>
        <w:rPr>
          <w:rFonts w:ascii="Times New Roman" w:hAnsi="Times New Roman" w:cs="Times New Roman"/>
          <w:sz w:val="29"/>
          <w:szCs w:val="29"/>
        </w:rPr>
        <w:t>可以预测</w:t>
      </w:r>
      <w:r>
        <w:rPr>
          <w:rFonts w:ascii="Times New Roman" w:hAnsi="Times New Roman" w:cs="Times New Roman"/>
          <w:sz w:val="29"/>
          <w:szCs w:val="29"/>
        </w:rPr>
        <w:t>NSCLC</w:t>
      </w:r>
      <w:r>
        <w:rPr>
          <w:rFonts w:ascii="Times New Roman" w:hAnsi="Times New Roman" w:cs="Times New Roman"/>
          <w:sz w:val="29"/>
          <w:szCs w:val="29"/>
        </w:rPr>
        <w:t>患者临床结果的五种基因的鉴定可以揭示肺癌治疗发展的目标。</w:t>
      </w:r>
      <w:r>
        <w:rPr>
          <w:rFonts w:ascii="Times New Roman" w:hAnsi="Times New Roman" w:cs="Times New Roman"/>
          <w:sz w:val="29"/>
          <w:szCs w:val="29"/>
        </w:rPr>
        <w:t>STAT1</w:t>
      </w:r>
      <w:r>
        <w:rPr>
          <w:rFonts w:ascii="Times New Roman" w:hAnsi="Times New Roman" w:cs="Times New Roman"/>
          <w:sz w:val="29"/>
          <w:szCs w:val="29"/>
        </w:rPr>
        <w:t>通过诱导</w:t>
      </w:r>
      <w:r>
        <w:rPr>
          <w:rFonts w:ascii="Times New Roman" w:hAnsi="Times New Roman" w:cs="Times New Roman"/>
          <w:sz w:val="29"/>
          <w:szCs w:val="29"/>
        </w:rPr>
        <w:t>p21 </w:t>
      </w:r>
      <w:r>
        <w:rPr>
          <w:rFonts w:ascii="inherit" w:hAnsi="inherit" w:cs="Times New Roman"/>
          <w:sz w:val="22"/>
          <w:szCs w:val="22"/>
          <w:bdr w:val="none" w:sz="0" w:space="0" w:color="auto" w:frame="1"/>
          <w:vertAlign w:val="superscript"/>
        </w:rPr>
        <w:t>WAF1</w:t>
      </w:r>
      <w:r>
        <w:rPr>
          <w:rFonts w:ascii="Times New Roman" w:hAnsi="Times New Roman" w:cs="Times New Roman"/>
          <w:sz w:val="29"/>
          <w:szCs w:val="29"/>
        </w:rPr>
        <w:t>和</w:t>
      </w:r>
      <w:proofErr w:type="spellStart"/>
      <w:r>
        <w:rPr>
          <w:rFonts w:ascii="Times New Roman" w:hAnsi="Times New Roman" w:cs="Times New Roman"/>
          <w:sz w:val="29"/>
          <w:szCs w:val="29"/>
        </w:rPr>
        <w:t>caspase</w:t>
      </w:r>
      <w:proofErr w:type="spellEnd"/>
      <w:r>
        <w:rPr>
          <w:rFonts w:ascii="Times New Roman" w:hAnsi="Times New Roman" w:cs="Times New Roman"/>
          <w:sz w:val="29"/>
          <w:szCs w:val="29"/>
        </w:rPr>
        <w:t> </w:t>
      </w:r>
      <w:r>
        <w:rPr>
          <w:rFonts w:ascii="Times New Roman" w:hAnsi="Times New Roman" w:cs="Times New Roman"/>
          <w:sz w:val="29"/>
          <w:szCs w:val="29"/>
        </w:rPr>
        <w:t>的表达引起许多类型癌细胞的停滞生长和凋亡。</w:t>
      </w:r>
      <w:hyperlink r:id="rId68" w:history="1">
        <w:r>
          <w:rPr>
            <w:rStyle w:val="a3"/>
            <w:rFonts w:ascii="inherit" w:hAnsi="inherit" w:cs="Times New Roman"/>
            <w:color w:val="0B4F82"/>
            <w:sz w:val="22"/>
            <w:szCs w:val="22"/>
            <w:bdr w:val="none" w:sz="0" w:space="0" w:color="auto" w:frame="1"/>
            <w:vertAlign w:val="superscript"/>
          </w:rPr>
          <w:t>33,34</w:t>
        </w:r>
      </w:hyperlink>
      <w:r>
        <w:rPr>
          <w:rFonts w:ascii="Times New Roman" w:hAnsi="Times New Roman" w:cs="Times New Roman"/>
          <w:sz w:val="29"/>
          <w:szCs w:val="29"/>
        </w:rPr>
        <w:t> MMD</w:t>
      </w:r>
      <w:r>
        <w:rPr>
          <w:rFonts w:ascii="Times New Roman" w:hAnsi="Times New Roman" w:cs="Times New Roman"/>
          <w:sz w:val="29"/>
          <w:szCs w:val="29"/>
        </w:rPr>
        <w:t>优先在成熟巨噬细胞中表达。</w:t>
      </w:r>
      <w:hyperlink r:id="rId69" w:history="1">
        <w:r>
          <w:rPr>
            <w:rStyle w:val="a3"/>
            <w:rFonts w:ascii="inherit" w:hAnsi="inherit" w:cs="Times New Roman"/>
            <w:color w:val="0B4F82"/>
            <w:sz w:val="22"/>
            <w:szCs w:val="22"/>
            <w:bdr w:val="none" w:sz="0" w:space="0" w:color="auto" w:frame="1"/>
            <w:vertAlign w:val="superscript"/>
          </w:rPr>
          <w:t>35</w:t>
        </w:r>
      </w:hyperlink>
      <w:r>
        <w:rPr>
          <w:rFonts w:ascii="Times New Roman" w:hAnsi="Times New Roman" w:cs="Times New Roman"/>
          <w:sz w:val="29"/>
          <w:szCs w:val="29"/>
        </w:rPr>
        <w:t>我们小组已经表明，巨噬细胞活化促进癌症转移，</w:t>
      </w:r>
      <w:hyperlink r:id="rId70" w:history="1">
        <w:r>
          <w:rPr>
            <w:rStyle w:val="a3"/>
            <w:rFonts w:ascii="inherit" w:hAnsi="inherit" w:cs="Times New Roman"/>
            <w:color w:val="0B4F82"/>
            <w:sz w:val="22"/>
            <w:szCs w:val="22"/>
            <w:bdr w:val="none" w:sz="0" w:space="0" w:color="auto" w:frame="1"/>
            <w:vertAlign w:val="superscript"/>
          </w:rPr>
          <w:t>22</w:t>
        </w:r>
      </w:hyperlink>
      <w:r>
        <w:rPr>
          <w:rFonts w:ascii="Times New Roman" w:hAnsi="Times New Roman" w:cs="Times New Roman"/>
          <w:sz w:val="29"/>
          <w:szCs w:val="29"/>
        </w:rPr>
        <w:t>虽然</w:t>
      </w:r>
      <w:r>
        <w:rPr>
          <w:rFonts w:ascii="Times New Roman" w:hAnsi="Times New Roman" w:cs="Times New Roman"/>
          <w:sz w:val="29"/>
          <w:szCs w:val="29"/>
        </w:rPr>
        <w:t>MMD</w:t>
      </w:r>
      <w:r>
        <w:rPr>
          <w:rFonts w:ascii="Times New Roman" w:hAnsi="Times New Roman" w:cs="Times New Roman"/>
          <w:sz w:val="29"/>
          <w:szCs w:val="29"/>
        </w:rPr>
        <w:t>蛋白质的功能是未知的。</w:t>
      </w:r>
      <w:r>
        <w:rPr>
          <w:rFonts w:ascii="Times New Roman" w:hAnsi="Times New Roman" w:cs="Times New Roman"/>
          <w:sz w:val="29"/>
          <w:szCs w:val="29"/>
        </w:rPr>
        <w:t>DUSP6</w:t>
      </w:r>
      <w:r>
        <w:rPr>
          <w:rFonts w:ascii="Times New Roman" w:hAnsi="Times New Roman" w:cs="Times New Roman"/>
          <w:sz w:val="29"/>
          <w:szCs w:val="29"/>
        </w:rPr>
        <w:t>灭活细胞外信号调节激酶</w:t>
      </w:r>
      <w:r>
        <w:rPr>
          <w:rFonts w:ascii="Times New Roman" w:hAnsi="Times New Roman" w:cs="Times New Roman"/>
          <w:sz w:val="29"/>
          <w:szCs w:val="29"/>
        </w:rPr>
        <w:t>2</w:t>
      </w:r>
      <w:r>
        <w:rPr>
          <w:rFonts w:ascii="Times New Roman" w:hAnsi="Times New Roman" w:cs="Times New Roman"/>
          <w:sz w:val="29"/>
          <w:szCs w:val="29"/>
        </w:rPr>
        <w:t>（</w:t>
      </w:r>
      <w:r>
        <w:rPr>
          <w:rFonts w:ascii="Times New Roman" w:hAnsi="Times New Roman" w:cs="Times New Roman"/>
          <w:sz w:val="29"/>
          <w:szCs w:val="29"/>
        </w:rPr>
        <w:t>ERK2</w:t>
      </w:r>
      <w:r>
        <w:rPr>
          <w:rFonts w:ascii="Times New Roman" w:hAnsi="Times New Roman" w:cs="Times New Roman"/>
          <w:sz w:val="29"/>
          <w:szCs w:val="29"/>
        </w:rPr>
        <w:t>）（也称为丝裂原活化蛋白激酶</w:t>
      </w:r>
      <w:r>
        <w:rPr>
          <w:rFonts w:ascii="Times New Roman" w:hAnsi="Times New Roman" w:cs="Times New Roman"/>
          <w:sz w:val="29"/>
          <w:szCs w:val="29"/>
        </w:rPr>
        <w:t>1 [MAPK1]</w:t>
      </w:r>
      <w:r>
        <w:rPr>
          <w:rFonts w:ascii="Times New Roman" w:hAnsi="Times New Roman" w:cs="Times New Roman"/>
          <w:sz w:val="29"/>
          <w:szCs w:val="29"/>
        </w:rPr>
        <w:t>），导致肿瘤抑制和凋亡。</w:t>
      </w:r>
      <w:hyperlink r:id="rId71" w:history="1">
        <w:r>
          <w:rPr>
            <w:rStyle w:val="a3"/>
            <w:rFonts w:ascii="inherit" w:hAnsi="inherit" w:cs="Times New Roman"/>
            <w:color w:val="0B4F82"/>
            <w:sz w:val="22"/>
            <w:szCs w:val="22"/>
            <w:bdr w:val="none" w:sz="0" w:space="0" w:color="auto" w:frame="1"/>
            <w:vertAlign w:val="superscript"/>
          </w:rPr>
          <w:t>36</w:t>
        </w:r>
      </w:hyperlink>
      <w:r>
        <w:rPr>
          <w:rFonts w:ascii="Times New Roman" w:hAnsi="Times New Roman" w:cs="Times New Roman"/>
          <w:sz w:val="29"/>
          <w:szCs w:val="29"/>
        </w:rPr>
        <w:t>ERBB3</w:t>
      </w:r>
      <w:r>
        <w:rPr>
          <w:rFonts w:ascii="Times New Roman" w:hAnsi="Times New Roman" w:cs="Times New Roman"/>
          <w:sz w:val="29"/>
          <w:szCs w:val="29"/>
        </w:rPr>
        <w:t>是酪氨酸激酶的表皮生长因子受体家族的成员，可以缩短细胞存活。</w:t>
      </w:r>
      <w:hyperlink r:id="rId72" w:history="1">
        <w:r>
          <w:rPr>
            <w:rStyle w:val="a3"/>
            <w:rFonts w:ascii="inherit" w:hAnsi="inherit" w:cs="Times New Roman"/>
            <w:color w:val="0B4F82"/>
            <w:sz w:val="22"/>
            <w:szCs w:val="22"/>
            <w:bdr w:val="none" w:sz="0" w:space="0" w:color="auto" w:frame="1"/>
            <w:vertAlign w:val="superscript"/>
          </w:rPr>
          <w:t>37</w:t>
        </w:r>
      </w:hyperlink>
      <w:r>
        <w:rPr>
          <w:rFonts w:ascii="Times New Roman" w:hAnsi="Times New Roman" w:cs="Times New Roman"/>
          <w:sz w:val="29"/>
          <w:szCs w:val="29"/>
        </w:rPr>
        <w:t> LCK</w:t>
      </w:r>
      <w:r>
        <w:rPr>
          <w:rFonts w:ascii="Times New Roman" w:hAnsi="Times New Roman" w:cs="Times New Roman"/>
          <w:sz w:val="29"/>
          <w:szCs w:val="29"/>
        </w:rPr>
        <w:t>是</w:t>
      </w:r>
      <w:proofErr w:type="spellStart"/>
      <w:r>
        <w:rPr>
          <w:rFonts w:ascii="Times New Roman" w:hAnsi="Times New Roman" w:cs="Times New Roman"/>
          <w:sz w:val="29"/>
          <w:szCs w:val="29"/>
        </w:rPr>
        <w:t>Src</w:t>
      </w:r>
      <w:proofErr w:type="spellEnd"/>
      <w:r>
        <w:rPr>
          <w:rFonts w:ascii="Times New Roman" w:hAnsi="Times New Roman" w:cs="Times New Roman"/>
          <w:sz w:val="29"/>
          <w:szCs w:val="29"/>
        </w:rPr>
        <w:t>蛋白酪氨酸激酶家族的成员，主要在</w:t>
      </w:r>
      <w:r>
        <w:rPr>
          <w:rFonts w:ascii="Times New Roman" w:hAnsi="Times New Roman" w:cs="Times New Roman"/>
          <w:sz w:val="29"/>
          <w:szCs w:val="29"/>
        </w:rPr>
        <w:t>T</w:t>
      </w:r>
      <w:r>
        <w:rPr>
          <w:rFonts w:ascii="Times New Roman" w:hAnsi="Times New Roman" w:cs="Times New Roman"/>
          <w:sz w:val="29"/>
          <w:szCs w:val="29"/>
        </w:rPr>
        <w:t>细胞中表达，是</w:t>
      </w:r>
      <w:r>
        <w:rPr>
          <w:rFonts w:ascii="Times New Roman" w:hAnsi="Times New Roman" w:cs="Times New Roman"/>
          <w:sz w:val="29"/>
          <w:szCs w:val="29"/>
        </w:rPr>
        <w:t>T</w:t>
      </w:r>
      <w:r>
        <w:rPr>
          <w:rFonts w:ascii="Times New Roman" w:hAnsi="Times New Roman" w:cs="Times New Roman"/>
          <w:sz w:val="29"/>
          <w:szCs w:val="29"/>
        </w:rPr>
        <w:t>细胞受体下游的第一个信号分子之一。它不仅在</w:t>
      </w:r>
      <w:r>
        <w:rPr>
          <w:rFonts w:ascii="Times New Roman" w:hAnsi="Times New Roman" w:cs="Times New Roman"/>
          <w:sz w:val="29"/>
          <w:szCs w:val="29"/>
        </w:rPr>
        <w:t>T</w:t>
      </w:r>
      <w:r>
        <w:rPr>
          <w:rFonts w:ascii="Times New Roman" w:hAnsi="Times New Roman" w:cs="Times New Roman"/>
          <w:sz w:val="29"/>
          <w:szCs w:val="29"/>
        </w:rPr>
        <w:t>细胞的分化和活化中起关键作用，而且在诱导细胞凋亡中起关键作用。</w:t>
      </w:r>
      <w:hyperlink r:id="rId73" w:history="1">
        <w:r>
          <w:rPr>
            <w:rStyle w:val="a3"/>
            <w:rFonts w:ascii="inherit" w:hAnsi="inherit" w:cs="Times New Roman"/>
            <w:color w:val="0B4F82"/>
            <w:sz w:val="22"/>
            <w:szCs w:val="22"/>
            <w:bdr w:val="none" w:sz="0" w:space="0" w:color="auto" w:frame="1"/>
            <w:vertAlign w:val="superscript"/>
          </w:rPr>
          <w:t>38</w:t>
        </w:r>
      </w:hyperlink>
      <w:r>
        <w:rPr>
          <w:rFonts w:ascii="Times New Roman" w:hAnsi="Times New Roman" w:cs="Times New Roman"/>
          <w:sz w:val="29"/>
          <w:szCs w:val="29"/>
        </w:rPr>
        <w:t>此外，</w:t>
      </w:r>
      <w:r>
        <w:rPr>
          <w:rFonts w:ascii="Times New Roman" w:hAnsi="Times New Roman" w:cs="Times New Roman"/>
          <w:sz w:val="29"/>
          <w:szCs w:val="29"/>
        </w:rPr>
        <w:t>LCK</w:t>
      </w:r>
      <w:r>
        <w:rPr>
          <w:rFonts w:ascii="Times New Roman" w:hAnsi="Times New Roman" w:cs="Times New Roman"/>
          <w:sz w:val="29"/>
          <w:szCs w:val="29"/>
        </w:rPr>
        <w:t>在许多癌症中表达并调节癌细胞的移动性。</w:t>
      </w:r>
      <w:hyperlink r:id="rId74" w:history="1">
        <w:r>
          <w:rPr>
            <w:rStyle w:val="a3"/>
            <w:rFonts w:ascii="inherit" w:hAnsi="inherit" w:cs="Times New Roman"/>
            <w:color w:val="0B4F82"/>
            <w:sz w:val="22"/>
            <w:szCs w:val="22"/>
            <w:bdr w:val="none" w:sz="0" w:space="0" w:color="auto" w:frame="1"/>
            <w:vertAlign w:val="superscript"/>
          </w:rPr>
          <w:t>39,40</w:t>
        </w:r>
      </w:hyperlink>
    </w:p>
    <w:p w:rsidR="00A92D7F" w:rsidRDefault="00A92D7F" w:rsidP="00A92D7F">
      <w:pPr>
        <w:pStyle w:val="f-body"/>
        <w:spacing w:before="300" w:beforeAutospacing="0" w:after="0" w:afterAutospacing="0" w:line="420" w:lineRule="atLeast"/>
        <w:textAlignment w:val="baseline"/>
        <w:rPr>
          <w:rFonts w:ascii="Times New Roman" w:hAnsi="Times New Roman" w:cs="Times New Roman"/>
          <w:sz w:val="29"/>
          <w:szCs w:val="29"/>
        </w:rPr>
      </w:pPr>
      <w:r>
        <w:rPr>
          <w:rFonts w:ascii="Times New Roman" w:hAnsi="Times New Roman" w:cs="Times New Roman"/>
          <w:sz w:val="29"/>
          <w:szCs w:val="29"/>
        </w:rPr>
        <w:t>总之，我们鉴定的五基因表达特征与手术切除的</w:t>
      </w:r>
      <w:r>
        <w:rPr>
          <w:rFonts w:ascii="Times New Roman" w:hAnsi="Times New Roman" w:cs="Times New Roman"/>
          <w:sz w:val="29"/>
          <w:szCs w:val="29"/>
        </w:rPr>
        <w:t>NSCLC</w:t>
      </w:r>
      <w:r>
        <w:rPr>
          <w:rFonts w:ascii="Times New Roman" w:hAnsi="Times New Roman" w:cs="Times New Roman"/>
          <w:sz w:val="29"/>
          <w:szCs w:val="29"/>
        </w:rPr>
        <w:t>患者的临床结果密切相关。根据疾病辅助治疗试验中的风险，该签名可用于对患者进行分层。</w:t>
      </w:r>
    </w:p>
    <w:p w:rsidR="00A92D7F" w:rsidRDefault="00A92D7F" w:rsidP="00A92D7F">
      <w:pPr>
        <w:pStyle w:val="f-body--sm"/>
        <w:spacing w:before="300" w:beforeAutospacing="0" w:after="0" w:afterAutospacing="0" w:line="360" w:lineRule="atLeast"/>
        <w:textAlignment w:val="baseline"/>
        <w:rPr>
          <w:rFonts w:ascii="Times New Roman" w:hAnsi="Times New Roman" w:cs="Times New Roman"/>
          <w:sz w:val="26"/>
          <w:szCs w:val="26"/>
        </w:rPr>
      </w:pPr>
      <w:r>
        <w:rPr>
          <w:rFonts w:ascii="Times New Roman" w:hAnsi="Times New Roman" w:cs="Times New Roman"/>
          <w:sz w:val="26"/>
          <w:szCs w:val="26"/>
        </w:rPr>
        <w:t>得到了中华人民共和国国家科学委员会国家基因组医学研究计划（</w:t>
      </w:r>
      <w:r>
        <w:rPr>
          <w:rFonts w:ascii="Times New Roman" w:hAnsi="Times New Roman" w:cs="Times New Roman"/>
          <w:sz w:val="26"/>
          <w:szCs w:val="26"/>
        </w:rPr>
        <w:t>NSC94-3112-B002-013-Y</w:t>
      </w:r>
      <w:r>
        <w:rPr>
          <w:rFonts w:ascii="Times New Roman" w:hAnsi="Times New Roman" w:cs="Times New Roman"/>
          <w:sz w:val="26"/>
          <w:szCs w:val="26"/>
        </w:rPr>
        <w:t>）和</w:t>
      </w:r>
      <w:proofErr w:type="spellStart"/>
      <w:r>
        <w:rPr>
          <w:rFonts w:ascii="Times New Roman" w:hAnsi="Times New Roman" w:cs="Times New Roman"/>
          <w:sz w:val="26"/>
          <w:szCs w:val="26"/>
        </w:rPr>
        <w:t>Advpharma</w:t>
      </w:r>
      <w:proofErr w:type="spellEnd"/>
      <w:r>
        <w:rPr>
          <w:rFonts w:ascii="Times New Roman" w:hAnsi="Times New Roman" w:cs="Times New Roman"/>
          <w:sz w:val="26"/>
          <w:szCs w:val="26"/>
        </w:rPr>
        <w:t>的资助。</w:t>
      </w:r>
    </w:p>
    <w:p w:rsidR="00A92D7F" w:rsidRDefault="00A92D7F" w:rsidP="00A92D7F">
      <w:pPr>
        <w:pStyle w:val="f-body--sm"/>
        <w:spacing w:before="300" w:beforeAutospacing="0" w:after="0" w:afterAutospacing="0" w:line="360" w:lineRule="atLeast"/>
        <w:textAlignment w:val="baseline"/>
        <w:rPr>
          <w:rFonts w:ascii="Times New Roman" w:hAnsi="Times New Roman" w:cs="Times New Roman"/>
          <w:sz w:val="26"/>
          <w:szCs w:val="26"/>
        </w:rPr>
      </w:pPr>
      <w:proofErr w:type="spellStart"/>
      <w:r>
        <w:rPr>
          <w:rFonts w:ascii="Times New Roman" w:hAnsi="Times New Roman" w:cs="Times New Roman"/>
          <w:sz w:val="26"/>
          <w:szCs w:val="26"/>
        </w:rPr>
        <w:t>Terng</w:t>
      </w:r>
      <w:proofErr w:type="spellEnd"/>
      <w:r>
        <w:rPr>
          <w:rFonts w:ascii="Times New Roman" w:hAnsi="Times New Roman" w:cs="Times New Roman"/>
          <w:sz w:val="26"/>
          <w:szCs w:val="26"/>
        </w:rPr>
        <w:t>博士报告称他是</w:t>
      </w:r>
      <w:proofErr w:type="spellStart"/>
      <w:r>
        <w:rPr>
          <w:rFonts w:ascii="Times New Roman" w:hAnsi="Times New Roman" w:cs="Times New Roman"/>
          <w:sz w:val="26"/>
          <w:szCs w:val="26"/>
        </w:rPr>
        <w:t>Advpharma</w:t>
      </w:r>
      <w:proofErr w:type="spellEnd"/>
      <w:r>
        <w:rPr>
          <w:rFonts w:ascii="Times New Roman" w:hAnsi="Times New Roman" w:cs="Times New Roman"/>
          <w:sz w:val="26"/>
          <w:szCs w:val="26"/>
        </w:rPr>
        <w:t>的员工。没有报道与本文相关的其他潜在利益冲突。</w:t>
      </w:r>
    </w:p>
    <w:p w:rsidR="00A92D7F" w:rsidRDefault="00A92D7F" w:rsidP="00A92D7F">
      <w:pPr>
        <w:pStyle w:val="f-body--sm"/>
        <w:spacing w:before="300" w:beforeAutospacing="0" w:after="0" w:afterAutospacing="0" w:line="360" w:lineRule="atLeast"/>
        <w:textAlignment w:val="baseline"/>
        <w:rPr>
          <w:rFonts w:ascii="Times New Roman" w:hAnsi="Times New Roman" w:cs="Times New Roman"/>
          <w:sz w:val="26"/>
          <w:szCs w:val="26"/>
        </w:rPr>
      </w:pPr>
      <w:r>
        <w:rPr>
          <w:rFonts w:ascii="Times New Roman" w:hAnsi="Times New Roman" w:cs="Times New Roman"/>
          <w:sz w:val="26"/>
          <w:szCs w:val="26"/>
        </w:rPr>
        <w:t>博士。</w:t>
      </w:r>
      <w:r>
        <w:rPr>
          <w:rFonts w:ascii="Times New Roman" w:hAnsi="Times New Roman" w:cs="Times New Roman"/>
          <w:sz w:val="26"/>
          <w:szCs w:val="26"/>
        </w:rPr>
        <w:t>WJ Chen</w:t>
      </w:r>
      <w:r>
        <w:rPr>
          <w:rFonts w:ascii="Times New Roman" w:hAnsi="Times New Roman" w:cs="Times New Roman"/>
          <w:sz w:val="26"/>
          <w:szCs w:val="26"/>
        </w:rPr>
        <w:t>，</w:t>
      </w:r>
      <w:r>
        <w:rPr>
          <w:rFonts w:ascii="Times New Roman" w:hAnsi="Times New Roman" w:cs="Times New Roman"/>
          <w:sz w:val="26"/>
          <w:szCs w:val="26"/>
        </w:rPr>
        <w:t>JJW Chen</w:t>
      </w:r>
      <w:r>
        <w:rPr>
          <w:rFonts w:ascii="Times New Roman" w:hAnsi="Times New Roman" w:cs="Times New Roman"/>
          <w:sz w:val="26"/>
          <w:szCs w:val="26"/>
        </w:rPr>
        <w:t>和</w:t>
      </w:r>
      <w:r>
        <w:rPr>
          <w:rFonts w:ascii="Times New Roman" w:hAnsi="Times New Roman" w:cs="Times New Roman"/>
          <w:sz w:val="26"/>
          <w:szCs w:val="26"/>
        </w:rPr>
        <w:t>PC Yang</w:t>
      </w:r>
      <w:r>
        <w:rPr>
          <w:rFonts w:ascii="Times New Roman" w:hAnsi="Times New Roman" w:cs="Times New Roman"/>
          <w:sz w:val="26"/>
          <w:szCs w:val="26"/>
        </w:rPr>
        <w:t>对本文作出了同样的贡献。</w:t>
      </w:r>
    </w:p>
    <w:p w:rsidR="00A92D7F" w:rsidRPr="00A92D7F" w:rsidRDefault="00A92D7F" w:rsidP="00A92D7F"/>
    <w:sectPr w:rsidR="00A92D7F" w:rsidRPr="00A92D7F"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631F4D"/>
    <w:rsid w:val="008B7726"/>
    <w:rsid w:val="00A92D7F"/>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A92D7F"/>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92D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2D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2D7F"/>
    <w:rPr>
      <w:rFonts w:ascii="宋体" w:eastAsia="宋体" w:hAnsi="宋体" w:cs="宋体"/>
      <w:b/>
      <w:bCs/>
      <w:kern w:val="36"/>
      <w:sz w:val="48"/>
      <w:szCs w:val="48"/>
    </w:rPr>
  </w:style>
  <w:style w:type="character" w:customStyle="1" w:styleId="titledefault">
    <w:name w:val="title_default"/>
    <w:basedOn w:val="a0"/>
    <w:rsid w:val="00A92D7F"/>
  </w:style>
  <w:style w:type="character" w:customStyle="1" w:styleId="2Char">
    <w:name w:val="标题 2 Char"/>
    <w:basedOn w:val="a0"/>
    <w:link w:val="2"/>
    <w:uiPriority w:val="9"/>
    <w:rsid w:val="00A92D7F"/>
    <w:rPr>
      <w:rFonts w:asciiTheme="majorHAnsi" w:eastAsiaTheme="majorEastAsia" w:hAnsiTheme="majorHAnsi" w:cstheme="majorBidi"/>
      <w:b/>
      <w:bCs/>
      <w:sz w:val="32"/>
      <w:szCs w:val="32"/>
    </w:rPr>
  </w:style>
  <w:style w:type="paragraph" w:customStyle="1" w:styleId="f-body">
    <w:name w:val="f-body"/>
    <w:basedOn w:val="a"/>
    <w:rsid w:val="00A92D7F"/>
    <w:pPr>
      <w:adjustRightInd/>
      <w:snapToGrid/>
      <w:spacing w:before="100" w:beforeAutospacing="1" w:after="100" w:afterAutospacing="1"/>
    </w:pPr>
    <w:rPr>
      <w:rFonts w:ascii="宋体" w:eastAsia="宋体" w:hAnsi="宋体" w:cs="宋体"/>
      <w:sz w:val="24"/>
      <w:szCs w:val="24"/>
    </w:rPr>
  </w:style>
  <w:style w:type="character" w:styleId="a3">
    <w:name w:val="Hyperlink"/>
    <w:basedOn w:val="a0"/>
    <w:uiPriority w:val="99"/>
    <w:unhideWhenUsed/>
    <w:rsid w:val="00A92D7F"/>
    <w:rPr>
      <w:color w:val="0000FF"/>
      <w:u w:val="single"/>
    </w:rPr>
  </w:style>
  <w:style w:type="character" w:customStyle="1" w:styleId="3Char">
    <w:name w:val="标题 3 Char"/>
    <w:basedOn w:val="a0"/>
    <w:link w:val="3"/>
    <w:uiPriority w:val="9"/>
    <w:rsid w:val="00A92D7F"/>
    <w:rPr>
      <w:rFonts w:ascii="Tahoma" w:hAnsi="Tahoma"/>
      <w:b/>
      <w:bCs/>
      <w:sz w:val="32"/>
      <w:szCs w:val="32"/>
    </w:rPr>
  </w:style>
  <w:style w:type="character" w:customStyle="1" w:styleId="holder">
    <w:name w:val="holder"/>
    <w:basedOn w:val="a0"/>
    <w:rsid w:val="00A92D7F"/>
  </w:style>
  <w:style w:type="paragraph" w:customStyle="1" w:styleId="f-body--sm">
    <w:name w:val="f-body--sm"/>
    <w:basedOn w:val="a"/>
    <w:rsid w:val="00A92D7F"/>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08686887">
      <w:bodyDiv w:val="1"/>
      <w:marLeft w:val="0"/>
      <w:marRight w:val="0"/>
      <w:marTop w:val="0"/>
      <w:marBottom w:val="0"/>
      <w:divBdr>
        <w:top w:val="none" w:sz="0" w:space="0" w:color="auto"/>
        <w:left w:val="none" w:sz="0" w:space="0" w:color="auto"/>
        <w:bottom w:val="none" w:sz="0" w:space="0" w:color="auto"/>
        <w:right w:val="none" w:sz="0" w:space="0" w:color="auto"/>
      </w:divBdr>
    </w:div>
    <w:div w:id="535461039">
      <w:bodyDiv w:val="1"/>
      <w:marLeft w:val="0"/>
      <w:marRight w:val="0"/>
      <w:marTop w:val="0"/>
      <w:marBottom w:val="0"/>
      <w:divBdr>
        <w:top w:val="none" w:sz="0" w:space="0" w:color="auto"/>
        <w:left w:val="none" w:sz="0" w:space="0" w:color="auto"/>
        <w:bottom w:val="none" w:sz="0" w:space="0" w:color="auto"/>
        <w:right w:val="none" w:sz="0" w:space="0" w:color="auto"/>
      </w:divBdr>
      <w:divsChild>
        <w:div w:id="313418740">
          <w:marLeft w:val="0"/>
          <w:marRight w:val="0"/>
          <w:marTop w:val="15"/>
          <w:marBottom w:val="0"/>
          <w:divBdr>
            <w:top w:val="none" w:sz="0" w:space="0" w:color="auto"/>
            <w:left w:val="none" w:sz="0" w:space="0" w:color="auto"/>
            <w:bottom w:val="none" w:sz="0" w:space="0" w:color="auto"/>
            <w:right w:val="none" w:sz="0" w:space="0" w:color="auto"/>
          </w:divBdr>
          <w:divsChild>
            <w:div w:id="16012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6528">
      <w:bodyDiv w:val="1"/>
      <w:marLeft w:val="0"/>
      <w:marRight w:val="0"/>
      <w:marTop w:val="0"/>
      <w:marBottom w:val="0"/>
      <w:divBdr>
        <w:top w:val="none" w:sz="0" w:space="0" w:color="auto"/>
        <w:left w:val="none" w:sz="0" w:space="0" w:color="auto"/>
        <w:bottom w:val="none" w:sz="0" w:space="0" w:color="auto"/>
        <w:right w:val="none" w:sz="0" w:space="0" w:color="auto"/>
      </w:divBdr>
      <w:divsChild>
        <w:div w:id="1606041216">
          <w:marLeft w:val="0"/>
          <w:marRight w:val="0"/>
          <w:marTop w:val="15"/>
          <w:marBottom w:val="0"/>
          <w:divBdr>
            <w:top w:val="none" w:sz="0" w:space="0" w:color="auto"/>
            <w:left w:val="none" w:sz="0" w:space="0" w:color="auto"/>
            <w:bottom w:val="none" w:sz="0" w:space="0" w:color="auto"/>
            <w:right w:val="none" w:sz="0" w:space="0" w:color="auto"/>
          </w:divBdr>
          <w:divsChild>
            <w:div w:id="9460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7063">
      <w:bodyDiv w:val="1"/>
      <w:marLeft w:val="0"/>
      <w:marRight w:val="0"/>
      <w:marTop w:val="0"/>
      <w:marBottom w:val="0"/>
      <w:divBdr>
        <w:top w:val="none" w:sz="0" w:space="0" w:color="auto"/>
        <w:left w:val="none" w:sz="0" w:space="0" w:color="auto"/>
        <w:bottom w:val="none" w:sz="0" w:space="0" w:color="auto"/>
        <w:right w:val="none" w:sz="0" w:space="0" w:color="auto"/>
      </w:divBdr>
    </w:div>
    <w:div w:id="1718310549">
      <w:bodyDiv w:val="1"/>
      <w:marLeft w:val="0"/>
      <w:marRight w:val="0"/>
      <w:marTop w:val="0"/>
      <w:marBottom w:val="0"/>
      <w:divBdr>
        <w:top w:val="none" w:sz="0" w:space="0" w:color="auto"/>
        <w:left w:val="none" w:sz="0" w:space="0" w:color="auto"/>
        <w:bottom w:val="none" w:sz="0" w:space="0" w:color="auto"/>
        <w:right w:val="none" w:sz="0" w:space="0" w:color="auto"/>
      </w:divBdr>
    </w:div>
    <w:div w:id="1873574036">
      <w:bodyDiv w:val="1"/>
      <w:marLeft w:val="0"/>
      <w:marRight w:val="0"/>
      <w:marTop w:val="0"/>
      <w:marBottom w:val="0"/>
      <w:divBdr>
        <w:top w:val="none" w:sz="0" w:space="0" w:color="auto"/>
        <w:left w:val="none" w:sz="0" w:space="0" w:color="auto"/>
        <w:bottom w:val="none" w:sz="0" w:space="0" w:color="auto"/>
        <w:right w:val="none" w:sz="0" w:space="0" w:color="auto"/>
      </w:divBdr>
    </w:div>
    <w:div w:id="1885798498">
      <w:bodyDiv w:val="1"/>
      <w:marLeft w:val="0"/>
      <w:marRight w:val="0"/>
      <w:marTop w:val="0"/>
      <w:marBottom w:val="0"/>
      <w:divBdr>
        <w:top w:val="none" w:sz="0" w:space="0" w:color="auto"/>
        <w:left w:val="none" w:sz="0" w:space="0" w:color="auto"/>
        <w:bottom w:val="none" w:sz="0" w:space="0" w:color="auto"/>
        <w:right w:val="none" w:sz="0" w:space="0" w:color="auto"/>
      </w:divBdr>
      <w:divsChild>
        <w:div w:id="1170947715">
          <w:marLeft w:val="0"/>
          <w:marRight w:val="0"/>
          <w:marTop w:val="15"/>
          <w:marBottom w:val="0"/>
          <w:divBdr>
            <w:top w:val="none" w:sz="0" w:space="0" w:color="auto"/>
            <w:left w:val="none" w:sz="0" w:space="0" w:color="auto"/>
            <w:bottom w:val="none" w:sz="0" w:space="0" w:color="auto"/>
            <w:right w:val="none" w:sz="0" w:space="0" w:color="auto"/>
          </w:divBdr>
          <w:divsChild>
            <w:div w:id="1948735079">
              <w:marLeft w:val="0"/>
              <w:marRight w:val="0"/>
              <w:marTop w:val="0"/>
              <w:marBottom w:val="0"/>
              <w:divBdr>
                <w:top w:val="none" w:sz="0" w:space="0" w:color="auto"/>
                <w:left w:val="none" w:sz="0" w:space="0" w:color="auto"/>
                <w:bottom w:val="none" w:sz="0" w:space="0" w:color="auto"/>
                <w:right w:val="none" w:sz="0" w:space="0" w:color="auto"/>
              </w:divBdr>
            </w:div>
          </w:divsChild>
        </w:div>
        <w:div w:id="2086370099">
          <w:marLeft w:val="0"/>
          <w:marRight w:val="0"/>
          <w:marTop w:val="15"/>
          <w:marBottom w:val="0"/>
          <w:divBdr>
            <w:top w:val="none" w:sz="0" w:space="0" w:color="auto"/>
            <w:left w:val="none" w:sz="0" w:space="0" w:color="auto"/>
            <w:bottom w:val="none" w:sz="0" w:space="0" w:color="auto"/>
            <w:right w:val="none" w:sz="0" w:space="0" w:color="auto"/>
          </w:divBdr>
          <w:divsChild>
            <w:div w:id="10715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ejm.org/doi/full/10.1056/NEJMoa060096" TargetMode="External"/><Relationship Id="rId18" Type="http://schemas.openxmlformats.org/officeDocument/2006/relationships/hyperlink" Target="https://www.nejm.org/doi/full/10.1056/NEJMoa060096" TargetMode="External"/><Relationship Id="rId26" Type="http://schemas.openxmlformats.org/officeDocument/2006/relationships/hyperlink" Target="https://www.nejm.org/doi/suppl/10.1056/NEJMoa060096/suppl_file/nejm_chen_11sa1.pdf" TargetMode="External"/><Relationship Id="rId39" Type="http://schemas.openxmlformats.org/officeDocument/2006/relationships/hyperlink" Target="https://www.nejm.org/doi/full/10.1056/NEJMoa060096" TargetMode="External"/><Relationship Id="rId21" Type="http://schemas.openxmlformats.org/officeDocument/2006/relationships/hyperlink" Target="https://www.nejm.org/doi/full/10.1056/NEJMoa060096" TargetMode="External"/><Relationship Id="rId34" Type="http://schemas.openxmlformats.org/officeDocument/2006/relationships/hyperlink" Target="http://dot.ped.med.umich.edu:2000/ourimage/pub/Lung/index.html" TargetMode="External"/><Relationship Id="rId42" Type="http://schemas.openxmlformats.org/officeDocument/2006/relationships/hyperlink" Target="https://www.nejm.org/doi/full/10.1056/NEJMoa060096" TargetMode="External"/><Relationship Id="rId47" Type="http://schemas.openxmlformats.org/officeDocument/2006/relationships/hyperlink" Target="https://www.nejm.org/doi/full/10.1056/NEJMoa060096" TargetMode="External"/><Relationship Id="rId50" Type="http://schemas.openxmlformats.org/officeDocument/2006/relationships/hyperlink" Target="https://www.nejm.org/doi/full/10.1056/NEJMoa060096" TargetMode="External"/><Relationship Id="rId55" Type="http://schemas.openxmlformats.org/officeDocument/2006/relationships/hyperlink" Target="https://www.nejm.org/doi/full/10.1056/NEJMoa060096" TargetMode="External"/><Relationship Id="rId63" Type="http://schemas.openxmlformats.org/officeDocument/2006/relationships/hyperlink" Target="https://www.nejm.org/doi/full/10.1056/NEJMoa060096" TargetMode="External"/><Relationship Id="rId68" Type="http://schemas.openxmlformats.org/officeDocument/2006/relationships/hyperlink" Target="https://www.nejm.org/doi/full/10.1056/NEJMoa060096" TargetMode="External"/><Relationship Id="rId76" Type="http://schemas.openxmlformats.org/officeDocument/2006/relationships/theme" Target="theme/theme1.xml"/><Relationship Id="rId7" Type="http://schemas.openxmlformats.org/officeDocument/2006/relationships/hyperlink" Target="https://www.nejm.org/doi/full/10.1056/NEJMoa060096" TargetMode="External"/><Relationship Id="rId71" Type="http://schemas.openxmlformats.org/officeDocument/2006/relationships/hyperlink" Target="https://www.nejm.org/doi/full/10.1056/NEJMoa060096" TargetMode="External"/><Relationship Id="rId2" Type="http://schemas.openxmlformats.org/officeDocument/2006/relationships/settings" Target="settings.xml"/><Relationship Id="rId16" Type="http://schemas.openxmlformats.org/officeDocument/2006/relationships/hyperlink" Target="https://www.nejm.org/doi/full/10.1056/NEJMoa060096" TargetMode="External"/><Relationship Id="rId29" Type="http://schemas.openxmlformats.org/officeDocument/2006/relationships/hyperlink" Target="https://www.nejm.org/doi/full/10.1056/NEJMoa060096" TargetMode="External"/><Relationship Id="rId11" Type="http://schemas.openxmlformats.org/officeDocument/2006/relationships/hyperlink" Target="https://www.nejm.org/doi/full/10.1056/NEJMoa060096" TargetMode="External"/><Relationship Id="rId24" Type="http://schemas.openxmlformats.org/officeDocument/2006/relationships/hyperlink" Target="https://www.nejm.org/doi/full/10.1056/NEJMoa060096" TargetMode="External"/><Relationship Id="rId32" Type="http://schemas.openxmlformats.org/officeDocument/2006/relationships/hyperlink" Target="https://www.nejm.org/doi/suppl/10.1056/NEJMoa060096/suppl_file/nejm_chen_11sa1.pdf" TargetMode="External"/><Relationship Id="rId37" Type="http://schemas.openxmlformats.org/officeDocument/2006/relationships/hyperlink" Target="https://www.nejm.org/doi/suppl/10.1056/NEJMoa060096/suppl_file/nejm_chen_11sa1.pdf" TargetMode="External"/><Relationship Id="rId40" Type="http://schemas.openxmlformats.org/officeDocument/2006/relationships/hyperlink" Target="https://www.nejm.org/doi/full/10.1056/NEJMoa060096" TargetMode="External"/><Relationship Id="rId45" Type="http://schemas.openxmlformats.org/officeDocument/2006/relationships/hyperlink" Target="https://www.nejm.org/doi/full/10.1056/NEJMoa060096" TargetMode="External"/><Relationship Id="rId53" Type="http://schemas.openxmlformats.org/officeDocument/2006/relationships/hyperlink" Target="https://www.nejm.org/doi/full/10.1056/NEJMoa060096" TargetMode="External"/><Relationship Id="rId58" Type="http://schemas.openxmlformats.org/officeDocument/2006/relationships/hyperlink" Target="https://www.nejm.org/doi/full/10.1056/NEJMoa060096" TargetMode="External"/><Relationship Id="rId66" Type="http://schemas.openxmlformats.org/officeDocument/2006/relationships/hyperlink" Target="https://www.nejm.org/doi/full/10.1056/NEJMoa060096" TargetMode="External"/><Relationship Id="rId74" Type="http://schemas.openxmlformats.org/officeDocument/2006/relationships/hyperlink" Target="https://www.nejm.org/doi/full/10.1056/NEJMoa060096" TargetMode="External"/><Relationship Id="rId5" Type="http://schemas.openxmlformats.org/officeDocument/2006/relationships/hyperlink" Target="https://www.nejm.org/doi/full/10.1056/NEJMoa060096" TargetMode="External"/><Relationship Id="rId15" Type="http://schemas.openxmlformats.org/officeDocument/2006/relationships/hyperlink" Target="https://www.nejm.org/doi/full/10.1056/NEJMoa060096" TargetMode="External"/><Relationship Id="rId23" Type="http://schemas.openxmlformats.org/officeDocument/2006/relationships/hyperlink" Target="https://www.nejm.org/doi/full/10.1056/NEJMoa060096" TargetMode="External"/><Relationship Id="rId28" Type="http://schemas.openxmlformats.org/officeDocument/2006/relationships/hyperlink" Target="https://www.nejm.org/doi/full/10.1056/NEJMoa060096" TargetMode="External"/><Relationship Id="rId36" Type="http://schemas.openxmlformats.org/officeDocument/2006/relationships/hyperlink" Target="https://www.nejm.org/doi/full/10.1056/NEJMoa060096" TargetMode="External"/><Relationship Id="rId49" Type="http://schemas.openxmlformats.org/officeDocument/2006/relationships/hyperlink" Target="https://www.nejm.org/doi/full/10.1056/NEJMoa060096" TargetMode="External"/><Relationship Id="rId57" Type="http://schemas.openxmlformats.org/officeDocument/2006/relationships/hyperlink" Target="https://www.nejm.org/doi/suppl/10.1056/NEJMoa060096/suppl_file/nejm_chen_11sa1.pdf" TargetMode="External"/><Relationship Id="rId61" Type="http://schemas.openxmlformats.org/officeDocument/2006/relationships/hyperlink" Target="https://www.nejm.org/doi/full/10.1056/NEJMoa060096" TargetMode="External"/><Relationship Id="rId10" Type="http://schemas.openxmlformats.org/officeDocument/2006/relationships/hyperlink" Target="https://www.nejm.org/doi/full/10.1056/NEJMoa060096" TargetMode="External"/><Relationship Id="rId19" Type="http://schemas.openxmlformats.org/officeDocument/2006/relationships/hyperlink" Target="https://www.nejm.org/doi/full/10.1056/NEJMoa060096" TargetMode="External"/><Relationship Id="rId31" Type="http://schemas.openxmlformats.org/officeDocument/2006/relationships/hyperlink" Target="https://www.nejm.org/doi/full/10.1056/NEJMoa060096" TargetMode="External"/><Relationship Id="rId44" Type="http://schemas.openxmlformats.org/officeDocument/2006/relationships/hyperlink" Target="http://www.ncbi.nlm.nih.gov/projects/geo/&#65289;&#25968;&#25454;&#31995;&#21015;&#30331;&#35760;&#21495;&#20026;GSE4882" TargetMode="External"/><Relationship Id="rId52" Type="http://schemas.openxmlformats.org/officeDocument/2006/relationships/hyperlink" Target="https://www.nejm.org/doi/full/10.1056/NEJMoa060096" TargetMode="External"/><Relationship Id="rId60" Type="http://schemas.openxmlformats.org/officeDocument/2006/relationships/hyperlink" Target="https://www.nejm.org/doi/full/10.1056/NEJMoa060096" TargetMode="External"/><Relationship Id="rId65" Type="http://schemas.openxmlformats.org/officeDocument/2006/relationships/hyperlink" Target="https://www.nejm.org/doi/full/10.1056/NEJMoa060096" TargetMode="External"/><Relationship Id="rId73" Type="http://schemas.openxmlformats.org/officeDocument/2006/relationships/hyperlink" Target="https://www.nejm.org/doi/full/10.1056/NEJMoa060096" TargetMode="External"/><Relationship Id="rId4" Type="http://schemas.openxmlformats.org/officeDocument/2006/relationships/hyperlink" Target="https://www.nejm.org/doi/full/10.1056/NEJMoa060096" TargetMode="External"/><Relationship Id="rId9" Type="http://schemas.openxmlformats.org/officeDocument/2006/relationships/hyperlink" Target="https://www.nejm.org/doi/full/10.1056/NEJMoa060096" TargetMode="External"/><Relationship Id="rId14" Type="http://schemas.openxmlformats.org/officeDocument/2006/relationships/hyperlink" Target="https://www.nejm.org/doi/full/10.1056/NEJMoa060096" TargetMode="External"/><Relationship Id="rId22" Type="http://schemas.openxmlformats.org/officeDocument/2006/relationships/hyperlink" Target="https://www.nejm.org/doi/suppl/10.1056/NEJMoa060096/suppl_file/nejm_chen_11sa1.pdf" TargetMode="External"/><Relationship Id="rId27" Type="http://schemas.openxmlformats.org/officeDocument/2006/relationships/hyperlink" Target="https://www.nejm.org/doi/full/10.1056/NEJMoa060096" TargetMode="External"/><Relationship Id="rId30" Type="http://schemas.openxmlformats.org/officeDocument/2006/relationships/hyperlink" Target="https://www.nejm.org/doi/full/10.1056/NEJMoa060096" TargetMode="External"/><Relationship Id="rId35" Type="http://schemas.openxmlformats.org/officeDocument/2006/relationships/hyperlink" Target="https://www.nejm.org/doi/full/10.1056/NEJMoa060096" TargetMode="External"/><Relationship Id="rId43" Type="http://schemas.openxmlformats.org/officeDocument/2006/relationships/hyperlink" Target="https://www.nejm.org/doi/full/10.1056/NEJMoa060096" TargetMode="External"/><Relationship Id="rId48" Type="http://schemas.openxmlformats.org/officeDocument/2006/relationships/hyperlink" Target="https://www.nejm.org/doi/full/10.1056/NEJMoa060096" TargetMode="External"/><Relationship Id="rId56" Type="http://schemas.openxmlformats.org/officeDocument/2006/relationships/hyperlink" Target="https://www.nejm.org/doi/full/10.1056/NEJMoa060096" TargetMode="External"/><Relationship Id="rId64" Type="http://schemas.openxmlformats.org/officeDocument/2006/relationships/hyperlink" Target="https://www.nejm.org/doi/full/10.1056/NEJMoa060096" TargetMode="External"/><Relationship Id="rId69" Type="http://schemas.openxmlformats.org/officeDocument/2006/relationships/hyperlink" Target="https://www.nejm.org/doi/full/10.1056/NEJMoa060096" TargetMode="External"/><Relationship Id="rId8" Type="http://schemas.openxmlformats.org/officeDocument/2006/relationships/hyperlink" Target="https://www.nejm.org/doi/full/10.1056/NEJMoa060096" TargetMode="External"/><Relationship Id="rId51" Type="http://schemas.openxmlformats.org/officeDocument/2006/relationships/hyperlink" Target="https://www.nejm.org/doi/full/10.1056/NEJMoa060096" TargetMode="External"/><Relationship Id="rId72" Type="http://schemas.openxmlformats.org/officeDocument/2006/relationships/hyperlink" Target="https://www.nejm.org/doi/full/10.1056/NEJMoa060096" TargetMode="External"/><Relationship Id="rId3" Type="http://schemas.openxmlformats.org/officeDocument/2006/relationships/webSettings" Target="webSettings.xml"/><Relationship Id="rId12" Type="http://schemas.openxmlformats.org/officeDocument/2006/relationships/hyperlink" Target="https://www.nejm.org/doi/full/10.1056/NEJMoa060096" TargetMode="External"/><Relationship Id="rId17" Type="http://schemas.openxmlformats.org/officeDocument/2006/relationships/hyperlink" Target="https://www.nejm.org/doi/full/10.1056/NEJMoa060096" TargetMode="External"/><Relationship Id="rId25" Type="http://schemas.openxmlformats.org/officeDocument/2006/relationships/hyperlink" Target="https://www.nejm.org/doi/full/10.1056/NEJMoa060096" TargetMode="External"/><Relationship Id="rId33" Type="http://schemas.openxmlformats.org/officeDocument/2006/relationships/hyperlink" Target="https://www.nejm.org/doi/full/10.1056/NEJMoa060096" TargetMode="External"/><Relationship Id="rId38" Type="http://schemas.openxmlformats.org/officeDocument/2006/relationships/hyperlink" Target="https://www.nejm.org/doi/full/10.1056/NEJMoa060096" TargetMode="External"/><Relationship Id="rId46" Type="http://schemas.openxmlformats.org/officeDocument/2006/relationships/hyperlink" Target="https://www.nejm.org/doi/suppl/10.1056/NEJMoa060096/suppl_file/nejm_chen_11sa1.pdf" TargetMode="External"/><Relationship Id="rId59" Type="http://schemas.openxmlformats.org/officeDocument/2006/relationships/hyperlink" Target="https://www.nejm.org/doi/full/10.1056/NEJMoa060096" TargetMode="External"/><Relationship Id="rId67" Type="http://schemas.openxmlformats.org/officeDocument/2006/relationships/hyperlink" Target="https://www.nejm.org/doi/full/10.1056/NEJMoa060096" TargetMode="External"/><Relationship Id="rId20" Type="http://schemas.openxmlformats.org/officeDocument/2006/relationships/hyperlink" Target="https://www.nejm.org/doi/suppl/10.1056/NEJMoa060096/suppl_file/nejm_chen_11sa1.pdf" TargetMode="External"/><Relationship Id="rId41" Type="http://schemas.openxmlformats.org/officeDocument/2006/relationships/hyperlink" Target="https://www.nejm.org/doi/full/10.1056/NEJMoa060096" TargetMode="External"/><Relationship Id="rId54" Type="http://schemas.openxmlformats.org/officeDocument/2006/relationships/hyperlink" Target="https://www.nejm.org/doi/full/10.1056/NEJMoa060096" TargetMode="External"/><Relationship Id="rId62" Type="http://schemas.openxmlformats.org/officeDocument/2006/relationships/hyperlink" Target="https://www.nejm.org/doi/full/10.1056/NEJMoa060096" TargetMode="External"/><Relationship Id="rId70" Type="http://schemas.openxmlformats.org/officeDocument/2006/relationships/hyperlink" Target="https://www.nejm.org/doi/full/10.1056/NEJMoa060096"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ejm.org/doi/full/10.1056/NEJMoa0600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1828</Words>
  <Characters>10426</Characters>
  <Application>Microsoft Office Word</Application>
  <DocSecurity>0</DocSecurity>
  <Lines>86</Lines>
  <Paragraphs>24</Paragraphs>
  <ScaleCrop>false</ScaleCrop>
  <Company/>
  <LinksUpToDate>false</LinksUpToDate>
  <CharactersWithSpaces>12230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2018-07-05T09:16:00Z</dcterms:modified>
</cp:coreProperties>
</file>