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6 问题二的模型建立与求解</w:t>
      </w:r>
    </w:p>
    <w:p>
      <w:pPr/>
      <w:r>
        <w:t>针对仅有一次全向干扰源示向观测的情况，本文先构造保证再次收信的第二检测点候选区域，再以第二次观测后定位区域的最坏包围半径为目标选点。通过连续示向响应的区间外包与多起点搜索，兼顾收信可靠性和定位精度，并给出候选区域内定位效果的空间分布。</w:t>
      </w:r>
    </w:p>
    <w:p>
      <w:pPr>
        <w:pStyle w:val="Heading2"/>
        <w:pageBreakBefore w:val="0"/>
      </w:pPr>
      <w:r>
        <w:t>6.1 首次观测下的源位置外包</w:t>
      </w:r>
    </w:p>
    <w:p>
      <w:pPr/>
      <w:r>
        <w:t>记首测点为 S₁，示向度为 θ₁，误差半宽 δ=1°。沿用问题一的前向角域 W(S₁,θ₁,δ)，以 B(c,r) 表示圆心为 c、半径为 r 的闭圆盘。由目标分布范围及最大接收距离，真实源 G 必满足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G</m:t>
        </m:r>
        <m:r>
          <m:t>∈</m:t>
        </m:r>
        <m:r>
          <m:t>F</m:t>
        </m:r>
        <m:r>
          <m:t>=</m:t>
        </m:r>
        <m:r>
          <m:t>W</m:t>
        </m:r>
        <m: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,</m:t>
        </m:r>
        <m:r>
          <m:t>δ</m:t>
        </m:r>
        <m:r>
          <m:t>)</m:t>
        </m:r>
        <m:r>
          <m:t>∩</m:t>
        </m:r>
        <m:r>
          <m:t>B</m:t>
        </m:r>
        <m:r>
          <m:t>(</m:t>
        </m:r>
        <m:r>
          <m:t>O</m:t>
        </m:r>
        <m:r>
          <m:t>,</m:t>
        </m:r>
        <m:r>
          <m:t>1</m:t>
        </m:r>
        <m:r>
          <m:t>8</m:t>
        </m:r>
        <m:r>
          <m:t>0</m:t>
        </m:r>
        <m:r>
          <m:t>0</m:t>
        </m:r>
        <m:r>
          <m:t>)</m:t>
        </m:r>
        <m:r>
          <m:t>∩</m:t>
        </m:r>
        <m:r>
          <m:t>B</m:t>
        </m:r>
        <m: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r>
          <m:t>1</m:t>
        </m:r>
        <m:r>
          <m:t>5</m:t>
        </m:r>
        <m:r>
          <m:t>0</m:t>
        </m:r>
        <m:r>
          <m:t>0</m:t>
        </m:r>
        <m:r>
          <m:t>)</m:t>
        </m:r>
      </m:oMath>
      <w:r>
        <w:tab/>
        <w:t>（6-1）</w:t>
      </w:r>
    </w:p>
    <w:p>
      <w:pPr/>
      <w:r>
        <w:t>正常示向响应还意味着源距大于 5 m。为保持凸性，计算时不剔除这部分近距区域，因而所得集合仍为保守外包。将两个圆分别替换为 K=128 边外切多边形；对圆 B(c,r)，令 uₖ=(cos(2πk/K),sin(2πk/K))，其外包为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t>(</m:t>
        </m:r>
        <m:r>
          <m:t>c</m:t>
        </m:r>
        <m:r>
          <m:t>,</m:t>
        </m:r>
        <m:r>
          <m:t>r</m:t>
        </m:r>
        <m:r>
          <m:t>)</m:t>
        </m:r>
        <m:r>
          <m:t>=</m:t>
        </m:r>
        <m:sSubSup>
          <m:e>
            <m:r>
              <m:t>⋂</m:t>
            </m:r>
          </m:e>
          <m:sub>
            <m:r>
              <m:t>k</m:t>
            </m:r>
            <m:r>
              <m:t>=</m:t>
            </m:r>
            <m:r>
              <m:t>0</m:t>
            </m:r>
          </m:sub>
          <m:sup>
            <m:r>
              <m:t>K</m:t>
            </m:r>
            <m:r>
              <m:t>−</m:t>
            </m:r>
            <m:r>
              <m:t>1</m:t>
            </m:r>
          </m:sup>
        </m:sSubSup>
        <m:r>
          <m:t>{</m:t>
        </m:r>
        <m:r>
          <m:t>X</m:t>
        </m:r>
        <m:r>
          <m:t>: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t>·</m:t>
        </m:r>
        <m:r>
          <m:t>(</m:t>
        </m:r>
        <m:r>
          <m:t>X</m:t>
        </m:r>
        <m:r>
          <m:t>−</m:t>
        </m:r>
        <m:r>
          <m:t>c</m:t>
        </m:r>
        <m:r>
          <m:t>)</m:t>
        </m:r>
        <m:r>
          <m:t>≤</m:t>
        </m:r>
        <m:r>
          <m:t>r</m:t>
        </m:r>
        <m:r>
          <m:t>}</m:t>
        </m:r>
      </m:oMath>
      <w:r>
        <w:tab/>
        <w:t>（6-2）</w:t>
      </w:r>
    </w:p>
    <w:p>
      <w:pPr/>
      <w:r>
        <w:t>记两个外切多边形与首测角域的交集为 P⁺，则 F⊆P⁺。外切近似不会漏掉满足题设的真实源；采用问题一的半平面算法得到 P⁺ 的顶点集 V。该物理约束外包用于问题二选点，与问题一仅由示向角域交会得到的定位多边形加以区分。</w:t>
      </w:r>
    </w:p>
    <w:p>
      <w:pPr>
        <w:pStyle w:val="Heading2"/>
        <w:pageBreakBefore w:val="0"/>
      </w:pPr>
      <w:r>
        <w:t>6.2 保证再次收信的候选区域</w:t>
      </w:r>
    </w:p>
    <w:p>
      <w:pPr/>
      <w:r>
        <w:t>全向源的有效接收半径至少为 1000 m。预留 0.1 m 距离裕量，取 ρ=999.9 m，定义固定保证候选区域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sSub>
          <m:e>
            <m:r>
              <m:t>C</m:t>
            </m:r>
          </m:e>
          <m:sub>
            <m:r>
              <m:rPr>
                <m:nor/>
              </m:rPr>
              <m:t>safe</m:t>
            </m:r>
          </m:sub>
        </m:sSub>
        <m:r>
          <m:t>=</m:t>
        </m:r>
        <m:sSub>
          <m:e>
            <m:r>
              <m:t>⋂</m:t>
            </m:r>
          </m:e>
          <m:sub>
            <m:r>
              <m:t>v</m:t>
            </m:r>
            <m:r>
              <m:t>∈</m:t>
            </m:r>
            <m:r>
              <m:t>V</m:t>
            </m:r>
          </m:sub>
        </m:sSub>
        <m:r>
          <m:t>B</m:t>
        </m:r>
        <m:r>
          <m:t>(</m:t>
        </m:r>
        <m:r>
          <m:t>v</m:t>
        </m:r>
        <m:r>
          <m:t>,</m:t>
        </m:r>
        <m:r>
          <m:t>ρ</m:t>
        </m:r>
        <m:r>
          <m:t>)</m:t>
        </m:r>
        <m:r>
          <m:t>=</m:t>
        </m:r>
        <m:r>
          <m:t>{</m:t>
        </m:r>
        <m:r>
          <m:t>s</m:t>
        </m:r>
        <m:r>
          <m:t>:</m:t>
        </m:r>
        <m:sSub>
          <m:e>
            <m:r>
              <m:rPr>
                <m:nor/>
              </m:rPr>
              <m:t>max</m:t>
            </m:r>
          </m:e>
          <m:sub>
            <m:r>
              <m:t>v</m:t>
            </m:r>
            <m:r>
              <m:t>∈</m:t>
            </m:r>
            <m:r>
              <m:t>V</m:t>
            </m:r>
          </m:sub>
        </m:sSub>
        <m:r>
          <m:t>‖</m:t>
        </m:r>
        <m:r>
          <m:t>s</m:t>
        </m:r>
        <m:r>
          <m:t>−</m:t>
        </m:r>
        <m:r>
          <m:t>v</m:t>
        </m:r>
        <m:sSub>
          <m:e>
            <m:r>
              <m:t>‖</m:t>
            </m:r>
          </m:e>
          <m:sub>
            <m:r>
              <m:t>2</m:t>
            </m:r>
          </m:sub>
        </m:sSub>
        <m:r>
          <m:t>≤</m:t>
        </m:r>
        <m:r>
          <m:t>ρ</m:t>
        </m:r>
        <m:r>
          <m:t>}</m:t>
        </m:r>
      </m:oMath>
      <w:r>
        <w:tab/>
        <w:t>（6-3）</w:t>
      </w:r>
    </w:p>
    <w:p>
      <w:pPr/>
      <w:r>
        <w:t>对任意 G∈P⁺，将 G 表为顶点凸组合，由三角不等式可知，测点到 G 的距离不超过到全部顶点的最大距离。因此式（6-3）保证对全部可能源再次收信。固定候选区是闭圆盘交，具有凸性；其非空条件为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sSub>
          <m:e>
            <m:r>
              <m:t>C</m:t>
            </m:r>
          </m:e>
          <m:sub>
            <m:r>
              <m:rPr>
                <m:nor/>
              </m:rPr>
              <m:t>safe</m:t>
            </m:r>
          </m:sub>
        </m:sSub>
        <m:r>
          <m:t>≠</m:t>
        </m:r>
        <m:r>
          <m:t>∅</m:t>
        </m:r>
        <m:r>
          <m:t> </m:t>
        </m:r>
        <m:r>
          <m:t>⇔</m:t>
        </m:r>
        <m:r>
          <m:t> </m:t>
        </m:r>
        <m:r>
          <m:t>R</m:t>
        </m:r>
        <m:r>
          <m:t>(</m:t>
        </m:r>
        <m:sSup>
          <m:e>
            <m:r>
              <m:t>P</m:t>
            </m:r>
          </m:e>
          <m:sup>
            <m:r>
              <m:t>+</m:t>
            </m:r>
          </m:sup>
        </m:sSup>
        <m:r>
          <m:t>)</m:t>
        </m:r>
        <m:r>
          <m:t>≤</m:t>
        </m:r>
        <m:r>
          <m:t>ρ</m:t>
        </m:r>
        <m:r>
          <m:t>,</m:t>
        </m:r>
        <m:r>
          <m:t> </m:t>
        </m:r>
        <m:r>
          <m:t> </m:t>
        </m:r>
        <m:r>
          <m:t> </m:t>
        </m:r>
        <m:r>
          <m:t> </m:t>
        </m:r>
        <m:r>
          <m:t>R</m:t>
        </m:r>
        <m:r>
          <m:t>(</m:t>
        </m:r>
        <m:r>
          <m:t>P</m:t>
        </m:r>
        <m:r>
          <m:t>)</m:t>
        </m:r>
        <m:r>
          <m:t>=</m:t>
        </m:r>
        <m:sSub>
          <m:e>
            <m:r>
              <m:rPr>
                <m:nor/>
              </m:rPr>
              <m:t>min</m:t>
            </m:r>
          </m:e>
          <m:sub>
            <m:r>
              <m:t>c</m:t>
            </m:r>
            <m:r>
              <m:t>∈</m:t>
            </m:r>
            <m:sSup>
              <m:e>
                <m:r>
                  <m:t>ℝ</m:t>
                </m:r>
              </m:e>
              <m:sup>
                <m:r>
                  <m:t>2</m:t>
                </m:r>
              </m:sup>
            </m:sSup>
          </m:sub>
        </m:sSub>
        <m:sSub>
          <m:e>
            <m:r>
              <m:rPr>
                <m:nor/>
              </m:rPr>
              <m:t>max</m:t>
            </m:r>
          </m:e>
          <m:sub>
            <m:r>
              <m:t>X</m:t>
            </m:r>
            <m:r>
              <m:t>∈</m:t>
            </m:r>
            <m:r>
              <m:t>P</m:t>
            </m:r>
          </m:sub>
        </m:sSub>
        <m:r>
          <m:t>‖</m:t>
        </m:r>
        <m:r>
          <m:t>X</m:t>
        </m:r>
        <m:r>
          <m:t>−</m:t>
        </m:r>
        <m:r>
          <m:t>c</m:t>
        </m:r>
        <m:sSub>
          <m:e>
            <m:r>
              <m:t>‖</m:t>
            </m:r>
          </m:e>
          <m:sub>
            <m:r>
              <m:t>2</m:t>
            </m:r>
          </m:sub>
        </m:sSub>
      </m:oMath>
      <w:r>
        <w:tab/>
        <w:t>（6-4）</w:t>
      </w:r>
    </w:p>
    <w:p>
      <w:pPr/>
      <w:r>
        <w:t>其中 R(P) 为最小包围圆半径，其圆心提供一个保证收信的可行点。实际选点排除首测点及已测位置。该候选区是保守方案，可超出目标分布圆；处于区外并不意味着无信号。若测点到整个 P⁺ 的最小距离大于 1500 m，则可保守判定为保证无信号，其余位置归为不确定。最小距离计算须考虑多边形内部和边。</w:t>
      </w:r>
    </w:p>
    <w:p>
      <w:pPr>
        <w:pStyle w:val="Heading2"/>
        <w:pageBreakBefore/>
      </w:pPr>
      <w:r>
        <w:t>6.3 基于连续响应的最坏半径目标</w:t>
      </w:r>
    </w:p>
    <w:p>
      <w:pPr>
        <w:pStyle w:val="Heading3"/>
        <w:pageBreakBefore w:val="0"/>
      </w:pPr>
      <w:r>
        <w:t>6.3.1 定位效果指标</w:t>
      </w:r>
    </w:p>
    <w:p>
      <w:pPr/>
      <w:r>
        <w:t>对候选测点 s，记第二次示向读数为 θ，更新外包为 P(s,θ)=P⁺∩W(s,θ,δ)。根据问题一的覆盖分析，区域直径不能直接代替圆覆盖半径，故采用更新区域的最小包围圆半径作为定位效果指标。记 Θ(s) 为包含所有可能示向读数的角度范围，定义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H</m:t>
        </m:r>
        <m:r>
          <m:t>(</m:t>
        </m:r>
        <m:r>
          <m:t>s</m:t>
        </m:r>
        <m:r>
          <m:t>)</m:t>
        </m:r>
        <m:r>
          <m:t>=</m:t>
        </m:r>
        <m:sSub>
          <m:e>
            <m:r>
              <m:rPr>
                <m:nor/>
              </m:rPr>
              <m:t>sup</m:t>
            </m:r>
          </m:e>
          <m:sub>
            <m:r>
              <m:t>θ</m:t>
            </m:r>
            <m:r>
              <m:t>∈</m:t>
            </m:r>
            <m:r>
              <m:t>Θ</m:t>
            </m:r>
            <m:r>
              <m:t>(</m:t>
            </m:r>
            <m:r>
              <m:t>s</m:t>
            </m:r>
            <m:r>
              <m:t>)</m:t>
            </m:r>
          </m:sub>
        </m:sSub>
        <m:r>
          <m:t>R</m:t>
        </m:r>
        <m:r>
          <m:t>(</m:t>
        </m:r>
        <m:r>
          <m:t>P</m:t>
        </m:r>
        <m:r>
          <m:t>(</m:t>
        </m:r>
        <m:r>
          <m:t>s</m:t>
        </m:r>
        <m:r>
          <m:t>,</m:t>
        </m:r>
        <m:r>
          <m:t>θ</m:t>
        </m:r>
        <m:r>
          <m:t>)</m:t>
        </m:r>
        <m:r>
          <m:t>)</m:t>
        </m:r>
      </m:oMath>
      <w:r>
        <w:tab/>
        <w:t>（6-5）</w:t>
      </w:r>
    </w:p>
    <w:p>
      <w:pPr/>
      <w:r>
        <w:t>空交集表示该读数与外包不相容，在取最大值时忽略。H(s) 针对外包模型覆盖所有可能示向响应，具有保守性。实际计算用其上界 U(s) 排名，并可引入移动成本：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sSup>
          <m:e>
            <m:r>
              <m:t>s</m:t>
            </m:r>
          </m:e>
          <m:sup>
            <m:r>
              <m:t>*</m:t>
            </m:r>
          </m:sup>
        </m:sSup>
        <m:r>
          <m:t>∈</m:t>
        </m:r>
        <m:sSub>
          <m:e>
            <m:r>
              <m:rPr>
                <m:nor/>
              </m:rPr>
              <m:t>arg min</m:t>
            </m:r>
          </m:e>
          <m:sub>
            <m:r>
              <m:t>s</m:t>
            </m:r>
            <m:r>
              <m:t>∈</m:t>
            </m:r>
            <m:sSub>
              <m:e>
                <m:r>
                  <m:t>C</m:t>
                </m:r>
              </m:e>
              <m:sub>
                <m:r>
                  <m:rPr>
                    <m:nor/>
                  </m:rPr>
                  <m:t>safe</m:t>
                </m:r>
              </m:sub>
            </m:sSub>
            <m:r>
              <m:t>∖</m:t>
            </m:r>
            <m:r>
              <m:t>E</m:t>
            </m:r>
          </m:sub>
        </m:sSub>
        <m:r>
          <m:t>J</m:t>
        </m:r>
        <m:r>
          <m:t>(</m:t>
        </m:r>
        <m:r>
          <m:t>s</m:t>
        </m:r>
        <m:r>
          <m:t>)</m:t>
        </m:r>
        <m:r>
          <m:t>,</m:t>
        </m:r>
        <m:r>
          <m:t> </m:t>
        </m:r>
        <m:r>
          <m:t> </m:t>
        </m:r>
        <m:r>
          <m:t> </m:t>
        </m:r>
        <m:r>
          <m:t> </m:t>
        </m:r>
        <m:r>
          <m:t>J</m:t>
        </m:r>
        <m:r>
          <m:t>(</m:t>
        </m:r>
        <m:r>
          <m:t>s</m:t>
        </m:r>
        <m:r>
          <m:t>)</m:t>
        </m:r>
        <m:r>
          <m:t>=</m:t>
        </m:r>
        <m:r>
          <m:t>U</m:t>
        </m:r>
        <m:r>
          <m:t>(</m:t>
        </m:r>
        <m:r>
          <m:t>s</m:t>
        </m:r>
        <m:r>
          <m:t>)</m:t>
        </m:r>
        <m:r>
          <m:t>+</m:t>
        </m:r>
        <m:r>
          <m:t>λ</m:t>
        </m:r>
        <m:f>
          <m:num>
            <m:r>
              <m:t>‖</m:t>
            </m:r>
            <m:r>
              <m:t>s</m:t>
            </m:r>
            <m:r>
              <m:t>−</m:t>
            </m:r>
            <m:r>
              <m:t>p</m:t>
            </m:r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</m:num>
          <m:den>
            <m:r>
              <m:t>5</m:t>
            </m:r>
          </m:den>
        </m:f>
      </m:oMath>
      <w:r>
        <w:tab/>
        <w:t>（6-6）</w:t>
      </w:r>
    </w:p>
    <w:p>
      <w:pPr/>
      <w:r>
        <w:t>其中 E 为已测位置集合，p 为当前位置，默认 p=S₁；速度为 5 m/s，权重 λ 的单位为 m/s。本文主方案取 λ=0，优先改善定位精度；需要兼顾移动时间时可取 λ&gt;0。若收到近距响应，则依据题设距离不超过 5 m 的条件处理，不将其记为几何定位半径等于 0。</w:t>
      </w:r>
    </w:p>
    <w:p>
      <w:pPr>
        <w:pStyle w:val="Heading3"/>
        <w:pageBreakBefore w:val="0"/>
      </w:pPr>
      <w:r>
        <w:t>6.3.2 示向响应区间外包</w:t>
      </w:r>
    </w:p>
    <w:p>
      <w:pPr/>
      <w:r>
        <w:t>从 s 指向 V 的方位角构造最短覆盖弧，再向两端各扩展 δ，得到 Θ(s)。若顶点方位不能落入开半圆，或 s 位于顶点附近，则使用完整 360°，从而包含区域内部测点与跨越 0° 的情况。</w:t>
      </w:r>
    </w:p>
    <w:p>
      <w:pPr/>
      <w:r>
        <w:t>将读数范围划分为子区间 I=[μ−h,μ+h]。当 δ+h&lt;90° 时，区间内任意角域均被以 μ 为中心、半宽 δ+h 的角域包含，故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P</m:t>
        </m:r>
        <m:r>
          <m:t>(</m:t>
        </m:r>
        <m:r>
          <m:t>s</m:t>
        </m:r>
        <m:r>
          <m:t>,</m:t>
        </m:r>
        <m:r>
          <m:t>θ</m:t>
        </m:r>
        <m:r>
          <m:t>)</m:t>
        </m:r>
        <m:r>
          <m:t>⊆</m:t>
        </m:r>
        <m:sSup>
          <m:e>
            <m:r>
              <m:t>P</m:t>
            </m:r>
          </m:e>
          <m:sup>
            <m:r>
              <m:t>+</m:t>
            </m:r>
          </m:sup>
        </m:sSup>
        <m:r>
          <m:t>∩</m:t>
        </m:r>
        <m:r>
          <m:t>W</m:t>
        </m:r>
        <m:r>
          <m:t>(</m:t>
        </m:r>
        <m:r>
          <m:t>s</m:t>
        </m:r>
        <m:r>
          <m:t>,</m:t>
        </m:r>
        <m:r>
          <m:t>μ</m:t>
        </m:r>
        <m:r>
          <m:t>,</m:t>
        </m:r>
        <m:r>
          <m:t>δ</m:t>
        </m:r>
        <m:r>
          <m:t>+</m:t>
        </m:r>
        <m:r>
          <m:t>h</m:t>
        </m:r>
        <m:r>
          <m:t>)</m:t>
        </m:r>
        <m: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(</m:t>
        </m:r>
        <m:r>
          <m:t>s</m:t>
        </m:r>
        <m:r>
          <m:t>)</m:t>
        </m:r>
        <m:r>
          <m:t>,</m:t>
        </m:r>
        <m:r>
          <m:t> </m:t>
        </m:r>
        <m:r>
          <m:t> </m:t>
        </m:r>
        <m:r>
          <m:t> </m:t>
        </m:r>
        <m:r>
          <m:t> </m:t>
        </m:r>
        <m:r>
          <m:t>∀</m:t>
        </m:r>
        <m:r>
          <m:t>θ</m:t>
        </m:r>
        <m:r>
          <m:t>∈</m:t>
        </m:r>
        <m:r>
          <m:t>I</m:t>
        </m:r>
      </m:oMath>
      <w:r>
        <w:tab/>
        <w:t>（6-7）</w:t>
      </w:r>
    </w:p>
    <w:p>
      <w:pPr/>
      <w:r>
        <w:t>由最小包围圆半径对集合包含关系的单调性，各区间外包的半径给出该区间内所有响应半径的上界；当 δ+h≥90° 时，直接采用 P⁺ 作为区间外包。对当前完整划分 𝒯 定义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U</m:t>
        </m:r>
        <m:r>
          <m:t>(</m:t>
        </m:r>
        <m:r>
          <m:t>s</m:t>
        </m:r>
        <m:r>
          <m:t>)</m:t>
        </m:r>
        <m:r>
          <m:t>=</m:t>
        </m:r>
        <m:sSub>
          <m:e>
            <m:r>
              <m:rPr>
                <m:nor/>
              </m:rPr>
              <m:t>max</m:t>
            </m:r>
          </m:e>
          <m:sub>
            <m:r>
              <m:t>I</m:t>
            </m:r>
            <m:r>
              <m:t>∈</m:t>
            </m:r>
            <m:r>
              <m:t>𝒯</m:t>
            </m:r>
          </m:sub>
        </m:sSub>
        <m:r>
          <m:t>R</m:t>
        </m:r>
        <m: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(</m:t>
        </m:r>
        <m:r>
          <m:t>s</m:t>
        </m:r>
        <m:r>
          <m:t>)</m:t>
        </m:r>
        <m:r>
          <m:t>)</m:t>
        </m:r>
        <m:r>
          <m:t>+</m:t>
        </m:r>
        <m:r>
          <m:t>η</m:t>
        </m:r>
        <m:r>
          <m:t>,</m:t>
        </m:r>
        <m:r>
          <m:t> </m:t>
        </m:r>
        <m:r>
          <m:t> </m:t>
        </m:r>
        <m:r>
          <m:t> </m:t>
        </m:r>
        <m:r>
          <m:t> </m:t>
        </m:r>
        <m:r>
          <m:t>L</m:t>
        </m:r>
        <m:r>
          <m:t>(</m:t>
        </m:r>
        <m:r>
          <m:t>s</m:t>
        </m:r>
        <m:r>
          <m:t>)</m:t>
        </m:r>
        <m:r>
          <m:t>=</m:t>
        </m:r>
        <m:sSub>
          <m:e>
            <m:r>
              <m:rPr>
                <m:nor/>
              </m:rPr>
              <m:t>max</m:t>
            </m:r>
          </m:e>
          <m:sub>
            <m:r>
              <m:t>μ</m:t>
            </m:r>
            <m:r>
              <m:t>∈</m:t>
            </m:r>
            <m:r>
              <m:t>𝒜</m:t>
            </m:r>
          </m:sub>
        </m:sSub>
        <m:r>
          <m:t>R</m:t>
        </m:r>
        <m:r>
          <m:t>(</m:t>
        </m:r>
        <m:r>
          <m:t>P</m:t>
        </m:r>
        <m:r>
          <m:t>(</m:t>
        </m:r>
        <m:r>
          <m:t>s</m:t>
        </m:r>
        <m:r>
          <m:t>,</m:t>
        </m:r>
        <m:r>
          <m:t>μ</m:t>
        </m:r>
        <m:r>
          <m:t>)</m:t>
        </m:r>
        <m:r>
          <m:t>)</m:t>
        </m:r>
      </m:oMath>
      <w:r>
        <w:tab/>
        <w:t>（6-8）</w:t>
      </w:r>
    </w:p>
    <w:p>
      <w:pPr/>
      <w:r>
        <w:t>其中 𝒜 为已计算的区间中点，η=10⁻⁶ m 为数值裕量；空区间不参与最大值。L(s) 是外包模型下的采样下界，不是精确物理源集合上的最坏半径。于是，在几何包含关系成立的前提下，有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L</m:t>
        </m:r>
        <m:r>
          <m:t>(</m:t>
        </m:r>
        <m:r>
          <m:t>s</m:t>
        </m:r>
        <m:r>
          <m:t>)</m:t>
        </m:r>
        <m:r>
          <m:t>≤</m:t>
        </m:r>
        <m:r>
          <m:t>H</m:t>
        </m:r>
        <m:r>
          <m:t>(</m:t>
        </m:r>
        <m:r>
          <m:t>s</m:t>
        </m:r>
        <m:r>
          <m:t>)</m:t>
        </m:r>
        <m:r>
          <m:t>≤</m:t>
        </m:r>
        <m:r>
          <m:t>U</m:t>
        </m:r>
        <m:r>
          <m:t>(</m:t>
        </m:r>
        <m:r>
          <m:t>s</m:t>
        </m:r>
        <m:r>
          <m:t>)</m:t>
        </m:r>
        <m:r>
          <m:t>,</m:t>
        </m:r>
        <m:r>
          <m:t> </m:t>
        </m:r>
        <m:r>
          <m:t> </m:t>
        </m:r>
        <m:r>
          <m:t> </m:t>
        </m:r>
        <m:r>
          <m:t> </m:t>
        </m:r>
        <m:r>
          <m:t>Δ</m:t>
        </m:r>
        <m:r>
          <m:t>(</m:t>
        </m:r>
        <m:r>
          <m:t>s</m:t>
        </m:r>
        <m:r>
          <m:t>)</m:t>
        </m:r>
        <m:r>
          <m:t>=</m:t>
        </m:r>
        <m:r>
          <m:t>U</m:t>
        </m:r>
        <m:r>
          <m:t>(</m:t>
        </m:r>
        <m:r>
          <m:t>s</m:t>
        </m:r>
        <m:r>
          <m:t>)</m:t>
        </m:r>
        <m:r>
          <m:t>−</m:t>
        </m:r>
        <m:r>
          <m:t>L</m:t>
        </m:r>
        <m:r>
          <m:t>(</m:t>
        </m:r>
        <m:r>
          <m:t>s</m:t>
        </m:r>
        <m:r>
          <m:t>)</m:t>
        </m:r>
      </m:oMath>
      <w:r>
        <w:tab/>
        <w:t>（6-9）</w:t>
      </w:r>
    </w:p>
    <w:p>
      <w:pPr/>
      <w:r>
        <w:t>优先二分上界最大的区间，直至上下界间隙达到容差或预算耗尽。仅在两个子区间都计算完成后替换父区间，避免中途停止产生未覆盖的响应区间。该方法具有连续响应的包含关系依据，但采用浮点几何和显式裕量，并非区间算术的形式化认证。</w:t>
      </w:r>
    </w:p>
    <w:p>
      <w:pPr>
        <w:pStyle w:val="Heading2"/>
        <w:pageBreakBefore/>
      </w:pPr>
      <w:r>
        <w:t>6.4 多起点分级搜索算法</w:t>
      </w:r>
    </w:p>
    <w:p>
      <w:pPr/>
      <w:r>
        <w:t>候选区内的最坏半径场通常呈现多个较优区域。本文采用粗网格、分散起点细化和局部方向搜索，降低单一起点或网格对齐造成的偏差。输入仅为首测位置、示向度及题设参数，真实源位置不参与选点。</w:t>
      </w:r>
    </w:p>
    <w:p>
      <w:pPr/>
      <w:r>
        <w:t>首先，在保证区域生成 75 m 粗网格，加入包围圆心、区域中心和首次示向两侧的径向边界特征点。逐点检查收信约束及重复位置，按边界代表性和空间分散性保留至多 64 个粗候选。λ=0 时不为近距离点保留专门名额。</w:t>
      </w:r>
    </w:p>
    <w:p>
      <w:pPr/>
      <w:r>
        <w:t>随后，以至多 32 个响应区间粗评全部候选，将上界目标和采样下界目标各前 5 名提升至 128 个区间复评。选择至多 5 个相距至少 75 m 的起点，在其周围 ±75 m 范围内生成 15 m 细网格，每个起点最多保留 49 个候选，再对前列结果按 128、256 个区间分级加密。</w:t>
      </w:r>
    </w:p>
    <w:p>
      <w:pPr/>
      <w:r>
        <w:t>最后，从前 2 个结果开展局部方向搜索，依次采用 15、7.5、3.75 m 步长，每级最多移动 2 次，所有试探点均重新检验安全性。对未达精度要求的最终推荐点继续增加区间数，最多至 1024 个，并更新排序。高精度阶段目标间隙为 0.05 m；若达到上限仍未收敛，则同时输出实际间隙。</w:t>
      </w:r>
    </w:p>
    <w:p>
      <w:pPr/>
      <w:r>
        <w:t>初始最小包围圆心及其安全邻域提供不依赖源采样的后备测点，解决窄区域内采样失败的问题。预算耗尽时返回已核验的安全结果，并标明超时或未收敛状态。搜索输出为有限候选及有限数值精度下的较优点，不声称连续全局最优；时间预算采用协作式检查，不能硬中断单次几何运算。</w:t>
      </w:r>
    </w:p>
    <w:p>
      <w:pPr>
        <w:pStyle w:val="Heading2"/>
        <w:pageBreakBefore w:val="0"/>
      </w:pPr>
      <w:r>
        <w:t>6.5 利用首次收信信息扩展候选区域</w:t>
      </w:r>
    </w:p>
    <w:p>
      <w:pPr/>
      <w:r>
        <w:t>对于同一全向源，其有效接收半径 r 在两次检测之间保持不变。首次已收到信号意味着 r≥max(1000,‖G−S₁‖₂)，因此可进一步定义信息修正候选区域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⋂</m:t>
            </m:r>
          </m:e>
          <m:sub>
            <m:r>
              <m:t>G</m:t>
            </m:r>
            <m:r>
              <m:t>∈</m:t>
            </m:r>
            <m:sSup>
              <m:e>
                <m:r>
                  <m:t>P</m:t>
                </m:r>
              </m:e>
              <m:sup>
                <m:r>
                  <m:t>+</m:t>
                </m:r>
              </m:sup>
            </m:sSup>
          </m:sub>
        </m:sSub>
        <m:r>
          <m:t>B</m:t>
        </m:r>
        <m:r>
          <m:t>(</m:t>
        </m:r>
        <m:r>
          <m:t>G</m:t>
        </m:r>
        <m:r>
          <m:t>,</m:t>
        </m:r>
        <m:r>
          <m:rPr>
            <m:nor/>
          </m:rPr>
          <m:t>max</m:t>
        </m:r>
        <m:r>
          <m:t>(</m:t>
        </m:r>
        <m:r>
          <m:t>1</m:t>
        </m:r>
        <m:r>
          <m:t>0</m:t>
        </m:r>
        <m:r>
          <m:t>0</m:t>
        </m:r>
        <m:r>
          <m:t>0</m:t>
        </m:r>
        <m:r>
          <m:t>,</m:t>
        </m:r>
        <m:r>
          <m:t>‖</m:t>
        </m:r>
        <m:r>
          <m:t>G</m:t>
        </m:r>
        <m: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‖</m:t>
            </m:r>
          </m:e>
          <m:sub>
            <m:r>
              <m:t>2</m:t>
            </m:r>
          </m:sub>
        </m:sSub>
        <m:r>
          <m:t>)</m:t>
        </m:r>
        <m:r>
          <m:t>)</m:t>
        </m:r>
      </m:oMath>
      <w:r>
        <w:tab/>
        <w:t>（6-10）</w:t>
      </w:r>
    </w:p>
    <w:p>
      <w:pPr/>
      <w:r>
        <w:t>固定方案的所有点均属于 C₁。该扩展采用闭集保证，不额外预留固定方案的 0.1 m 裕量。判定 s∈C₁ 等价于验证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sSub>
          <m:e>
            <m:r>
              <m:rPr>
                <m:nor/>
              </m:rPr>
              <m:t>max</m:t>
            </m:r>
          </m:e>
          <m:sub>
            <m:r>
              <m:t>G</m:t>
            </m:r>
            <m:r>
              <m:t>∈</m:t>
            </m:r>
            <m:sSup>
              <m:e>
                <m:r>
                  <m:t>P</m:t>
                </m:r>
              </m:e>
              <m:sup>
                <m:r>
                  <m:t>+</m:t>
                </m:r>
              </m:sup>
            </m:sSup>
          </m:sub>
        </m:sSub>
        <m:r>
          <m:t>[</m:t>
        </m:r>
        <m:r>
          <m:t>‖</m:t>
        </m:r>
        <m:r>
          <m:t>s</m:t>
        </m:r>
        <m:r>
          <m:t>−</m:t>
        </m:r>
        <m:r>
          <m:t>G</m:t>
        </m:r>
        <m:sSubSup>
          <m:e>
            <m:r>
              <m:t>‖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−</m:t>
        </m:r>
        <m:r>
          <m:rPr>
            <m:nor/>
          </m:rPr>
          <m:t>max</m:t>
        </m:r>
        <m:r>
          <m:t>(</m:t>
        </m:r>
        <m:r>
          <m:t>1</m:t>
        </m:r>
        <m:r>
          <m:t>0</m:t>
        </m:r>
        <m:r>
          <m:t>0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t>,</m:t>
        </m:r>
        <m:r>
          <m:t>‖</m:t>
        </m:r>
        <m:r>
          <m:t>G</m:t>
        </m:r>
        <m: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bSup>
          <m:e>
            <m:r>
              <m:t>‖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)</m:t>
        </m:r>
        <m:r>
          <m:t>]</m:t>
        </m:r>
        <m:r>
          <m:t>≤</m:t>
        </m:r>
        <m:r>
          <m:t>0</m:t>
        </m:r>
      </m:oMath>
      <w:r>
        <w:tab/>
        <w:t>（6-11）</w:t>
      </w:r>
    </w:p>
    <w:p>
      <w:pPr/>
      <w:r>
        <w:t>以 S₁ 为圆心的 1000 m 圆内，上式括号内为凸二次函数；圆外为仿射函数，圆周上也可化为仿射表达。因此需检查 P⁺ 顶点、各边与该圆的交点，以及位于 P⁺ 内且背离 s 的圆周极值点。仅检验多边形顶点可能遗漏边或圆弧上的违规点。该有限临界点判据适用于同一接收半径的全向源。</w:t>
      </w:r>
    </w:p>
    <w:p>
      <w:pPr/>
      <w:r>
        <w:t>主方案使用固定保证区域，以保留明确距离裕量；C₁ 为扩大可选范围的补充方案。候选区扩大不自动意味着推荐点精度提高，仍须使用同一半径目标进行比较。</w:t>
      </w:r>
    </w:p>
    <w:p>
      <w:pPr>
        <w:pStyle w:val="Heading2"/>
        <w:pageBreakBefore/>
      </w:pPr>
      <w:r>
        <w:t>6.6 典型候选区域与第二测点结果</w:t>
      </w:r>
    </w:p>
    <w:p>
      <w:pPr/>
      <w:r>
        <w:t>选取两组合成首测观测：大范围案例为 (−1000,0) m、0.5°；边界案例为 (1790,−1400) m、89.3°。固定方案的推荐结果见表 6-1，各指标取自同一轮计算。</w:t>
      </w:r>
    </w:p>
    <w:p>
      <w:pPr>
        <w:pStyle w:val="Caption"/>
        <w:keepNext/>
        <w:spacing w:before="80" w:after="80"/>
      </w:pPr>
      <w:r>
        <w:t>表 6-1 两组典型案例的推荐第二测点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515"/>
        <w:gridCol w:w="2778"/>
        <w:gridCol w:w="2778"/>
      </w:tblGrid>
      <w:tr>
        <w:trPr>
          <w:cantSplit/>
          <w:tblHeader/>
        </w:trPr>
        <w:tc>
          <w:tcPr>
            <w:tcW w:type="dxa" w:w="3515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指标</w:t>
            </w:r>
          </w:p>
        </w:tc>
        <w:tc>
          <w:tcPr>
            <w:tcW w:type="dxa" w:w="2778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大范围案例</w:t>
            </w:r>
          </w:p>
        </w:tc>
        <w:tc>
          <w:tcPr>
            <w:tcW w:type="dxa" w:w="2778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边界案例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center"/>
            </w:pPr>
            <w:r>
              <w:t>第二点横坐标 / m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-161.541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1593.792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center"/>
            </w:pPr>
            <w:r>
              <w:t>第二点纵坐标 / m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544.781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-0.817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center"/>
            </w:pPr>
            <w:r>
              <w:t>半径上界 U / m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55.879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10.846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center"/>
            </w:pPr>
            <w:r>
              <w:t>上下界间隙 Δ / m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0.043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0.049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center"/>
            </w:pPr>
            <w:r>
              <w:t>移动距离 / m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999.900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1412.873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pStyle w:val="TableText"/>
              <w:spacing w:after="0"/>
              <w:jc w:val="center"/>
            </w:pPr>
            <w:r>
              <w:t>移动时间 / s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199.980</w:t>
            </w:r>
          </w:p>
        </w:tc>
        <w:tc>
          <w:tcPr>
            <w:tcW w:type="dxa" w:w="2778"/>
            <w:vAlign w:val="center"/>
          </w:tcPr>
          <w:p>
            <w:pPr>
              <w:pStyle w:val="TableText"/>
              <w:spacing w:after="0"/>
              <w:jc w:val="center"/>
            </w:pPr>
            <w:r>
              <w:t>282.575</w:t>
            </w:r>
          </w:p>
        </w:tc>
      </w:tr>
    </w:tbl>
    <w:p>
      <w:pPr>
        <w:pStyle w:val="Caption"/>
        <w:spacing w:before="80"/>
        <w:jc w:val="left"/>
      </w:pPr>
      <w:r>
        <w:t>注：数值保留三位小数用于展示，安全判据使用未舍入坐标；边界点不宜直接按舍入值执行。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79999"/>
            <wp:docPr id="1" name="Picture 1" descr="两组候选区域的半径上界热力图，红线为5%数值近优边界，星号为各连通区已评分推荐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region_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80"/>
      </w:pPr>
      <w:r>
        <w:t>图 6-1 保证收信区域内的半径上界及数值近优边界</w:t>
      </w:r>
    </w:p>
    <w:p>
      <w:pPr>
        <w:pStyle w:val="Caption"/>
        <w:spacing w:before="80"/>
        <w:jc w:val="left"/>
      </w:pPr>
      <w:r>
        <w:t>注：左右色标范围不同；星号为各连通区已评分推荐点，并非全局最优点。</w:t>
      </w:r>
    </w:p>
    <w:p>
      <w:pPr/>
      <w:r>
        <w:t>在整个保证区域构建安全三角网格，对 U(s) 作分片线性插值，以采样最小上界的 1.05 倍提取近优轮廓。凸性保证网格三角形位于收信区域内，但不保证三角形内部每一点都满足精度阈值，轮廓、面积与形心均为网格分辨率下的近似。</w:t>
      </w:r>
    </w:p>
    <w:p>
      <w:pPr/>
      <w:r>
        <w:t>大范围案例的固定候选区面积约 439,229 m²，30 m 网格下近优面积约 14,412 m²，分成两个连通区域。45 m 网格所得近优面积约 14,381 m²，说明面积随离散精度变化。采用 C₁ 后候选面积增至约 1,210,230 m²，但推荐 U 仍约 55.879 m。</w:t>
      </w:r>
    </w:p>
    <w:p>
      <w:pPr>
        <w:pStyle w:val="Heading2"/>
        <w:pageBreakBefore/>
      </w:pPr>
      <w:r>
        <w:t>6.7 验证结果与适用范围</w:t>
      </w:r>
    </w:p>
    <w:p>
      <w:pPr/>
      <w:r>
        <w:t>采用 5 个种子的 200 个分层随机首测观测及 20 个切向极限案例进行离线合成实验。以原单起点网格为基线，两策略推荐点统一按 256 个响应区间上限和 0.05 m 目标容差复评。</w:t>
      </w:r>
    </w:p>
    <w:p>
      <w:pPr>
        <w:pStyle w:val="Caption"/>
        <w:keepNext/>
        <w:spacing w:before="80" w:after="80"/>
      </w:pPr>
      <w:r>
        <w:t>表 6-2 分层合成实验的配对比较与可靠性检验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6406"/>
        <w:gridCol w:w="2665"/>
      </w:tblGrid>
      <w:tr>
        <w:trPr>
          <w:cantSplit/>
          <w:tblHeader/>
        </w:trPr>
        <w:tc>
          <w:tcPr>
            <w:tcW w:type="dxa" w:w="6406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指标</w:t>
            </w:r>
          </w:p>
        </w:tc>
        <w:tc>
          <w:tcPr>
            <w:tcW w:type="dxa" w:w="2665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结果</w:t>
            </w:r>
          </w:p>
        </w:tc>
      </w:tr>
      <w:tr>
        <w:trPr>
          <w:cantSplit/>
        </w:trPr>
        <w:tc>
          <w:tcPr>
            <w:tcW w:type="dxa" w:w="6406"/>
            <w:vAlign w:val="center"/>
          </w:tcPr>
          <w:p>
            <w:pPr>
              <w:pStyle w:val="TableText"/>
              <w:spacing w:after="0"/>
              <w:jc w:val="center"/>
            </w:pPr>
            <w:r>
              <w:t>随机组基线与本文半径上界中位数 / m</w:t>
            </w:r>
          </w:p>
        </w:tc>
        <w:tc>
          <w:tcPr>
            <w:tcW w:type="dxa" w:w="2665"/>
            <w:vAlign w:val="center"/>
          </w:tcPr>
          <w:p>
            <w:pPr>
              <w:pStyle w:val="TableText"/>
              <w:spacing w:after="0"/>
              <w:jc w:val="center"/>
            </w:pPr>
            <w:r>
              <w:t>47.521 / 46.980</w:t>
            </w:r>
          </w:p>
        </w:tc>
      </w:tr>
      <w:tr>
        <w:trPr>
          <w:cantSplit/>
        </w:trPr>
        <w:tc>
          <w:tcPr>
            <w:tcW w:type="dxa" w:w="6406"/>
            <w:vAlign w:val="center"/>
          </w:tcPr>
          <w:p>
            <w:pPr>
              <w:pStyle w:val="TableText"/>
              <w:spacing w:after="0"/>
              <w:jc w:val="center"/>
            </w:pPr>
            <w:r>
              <w:t>随机组配对改善均值与中位数 / m</w:t>
            </w:r>
          </w:p>
        </w:tc>
        <w:tc>
          <w:tcPr>
            <w:tcW w:type="dxa" w:w="2665"/>
            <w:vAlign w:val="center"/>
          </w:tcPr>
          <w:p>
            <w:pPr>
              <w:pStyle w:val="TableText"/>
              <w:spacing w:after="0"/>
              <w:jc w:val="center"/>
            </w:pPr>
            <w:r>
              <w:t>0.829 / 0.528</w:t>
            </w:r>
          </w:p>
        </w:tc>
      </w:tr>
      <w:tr>
        <w:trPr>
          <w:cantSplit/>
        </w:trPr>
        <w:tc>
          <w:tcPr>
            <w:tcW w:type="dxa" w:w="6406"/>
            <w:vAlign w:val="center"/>
          </w:tcPr>
          <w:p>
            <w:pPr>
              <w:pStyle w:val="TableText"/>
              <w:spacing w:after="0"/>
              <w:jc w:val="center"/>
            </w:pPr>
            <w:r>
              <w:t>随机组改善 / 持平 / 退步例数</w:t>
            </w:r>
          </w:p>
        </w:tc>
        <w:tc>
          <w:tcPr>
            <w:tcW w:type="dxa" w:w="2665"/>
            <w:vAlign w:val="center"/>
          </w:tcPr>
          <w:p>
            <w:pPr>
              <w:pStyle w:val="TableText"/>
              <w:spacing w:after="0"/>
              <w:jc w:val="center"/>
            </w:pPr>
            <w:r>
              <w:t>171 / 8 / 21</w:t>
            </w:r>
          </w:p>
        </w:tc>
      </w:tr>
      <w:tr>
        <w:trPr>
          <w:cantSplit/>
        </w:trPr>
        <w:tc>
          <w:tcPr>
            <w:tcW w:type="dxa" w:w="6406"/>
            <w:vAlign w:val="center"/>
          </w:tcPr>
          <w:p>
            <w:pPr>
              <w:pStyle w:val="TableText"/>
              <w:spacing w:after="0"/>
              <w:jc w:val="center"/>
            </w:pPr>
            <w:r>
              <w:t>随机组最大单例退步 / m</w:t>
            </w:r>
          </w:p>
        </w:tc>
        <w:tc>
          <w:tcPr>
            <w:tcW w:type="dxa" w:w="2665"/>
            <w:vAlign w:val="center"/>
          </w:tcPr>
          <w:p>
            <w:pPr>
              <w:pStyle w:val="TableText"/>
              <w:spacing w:after="0"/>
              <w:jc w:val="center"/>
            </w:pPr>
            <w:r>
              <w:t>0.649</w:t>
            </w:r>
          </w:p>
        </w:tc>
      </w:tr>
      <w:tr>
        <w:trPr>
          <w:cantSplit/>
        </w:trPr>
        <w:tc>
          <w:tcPr>
            <w:tcW w:type="dxa" w:w="6406"/>
            <w:vAlign w:val="center"/>
          </w:tcPr>
          <w:p>
            <w:pPr>
              <w:pStyle w:val="TableText"/>
              <w:spacing w:after="0"/>
              <w:jc w:val="center"/>
            </w:pPr>
            <w:r>
              <w:t>220 例失败 / 收信违规 / 真源遗漏 / 上界违规</w:t>
            </w:r>
          </w:p>
        </w:tc>
        <w:tc>
          <w:tcPr>
            <w:tcW w:type="dxa" w:w="2665"/>
            <w:vAlign w:val="center"/>
          </w:tcPr>
          <w:p>
            <w:pPr>
              <w:pStyle w:val="TableText"/>
              <w:spacing w:after="0"/>
              <w:jc w:val="center"/>
            </w:pPr>
            <w:r>
              <w:t>0 / 0 / 0 / 0</w:t>
            </w:r>
          </w:p>
        </w:tc>
      </w:tr>
      <w:tr>
        <w:trPr>
          <w:cantSplit/>
        </w:trPr>
        <w:tc>
          <w:tcPr>
            <w:tcW w:type="dxa" w:w="6406"/>
            <w:vAlign w:val="center"/>
          </w:tcPr>
          <w:p>
            <w:pPr>
              <w:pStyle w:val="TableText"/>
              <w:spacing w:after="0"/>
              <w:jc w:val="center"/>
            </w:pPr>
            <w:r>
              <w:t>基线与本文最大响应上下界间隙 / m</w:t>
            </w:r>
          </w:p>
        </w:tc>
        <w:tc>
          <w:tcPr>
            <w:tcW w:type="dxa" w:w="2665"/>
            <w:vAlign w:val="center"/>
          </w:tcPr>
          <w:p>
            <w:pPr>
              <w:pStyle w:val="TableText"/>
              <w:spacing w:after="0"/>
              <w:jc w:val="center"/>
            </w:pPr>
            <w:r>
              <w:t>4.183 / 0.358</w:t>
            </w:r>
          </w:p>
        </w:tc>
      </w:tr>
      <w:tr>
        <w:trPr>
          <w:cantSplit/>
        </w:trPr>
        <w:tc>
          <w:tcPr>
            <w:tcW w:type="dxa" w:w="6406"/>
            <w:vAlign w:val="center"/>
          </w:tcPr>
          <w:p>
            <w:pPr>
              <w:pStyle w:val="TableText"/>
              <w:spacing w:after="0"/>
              <w:jc w:val="center"/>
            </w:pPr>
            <w:r>
              <w:t>随机组基线与本文计算时间中位数 / s</w:t>
            </w:r>
          </w:p>
        </w:tc>
        <w:tc>
          <w:tcPr>
            <w:tcW w:type="dxa" w:w="2665"/>
            <w:vAlign w:val="center"/>
          </w:tcPr>
          <w:p>
            <w:pPr>
              <w:pStyle w:val="TableText"/>
              <w:spacing w:after="0"/>
              <w:jc w:val="center"/>
            </w:pPr>
            <w:r>
              <w:t>1.446 / 5.031</w:t>
            </w:r>
          </w:p>
        </w:tc>
      </w:tr>
    </w:tbl>
    <w:p>
      <w:pPr>
        <w:pStyle w:val="Caption"/>
        <w:spacing w:before="80"/>
        <w:jc w:val="left"/>
      </w:pPr>
      <w:r>
        <w:t>注：改善定义为基线 U 减本文 U，按 ±0.05 m 区分改善、持平与退步；时间为原实验记录。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16000"/>
            <wp:docPr id="2" name="Picture 2" descr="200个随机案例的半径上界配对散点图及改善量分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comparison_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80"/>
      </w:pPr>
      <w:r>
        <w:t>图 6-2 统一评分精度下的配对改善</w:t>
      </w:r>
    </w:p>
    <w:p>
      <w:pPr/>
      <w:r>
        <w:t>平均改善的 bootstrap 95% 区间为 [0.708,0.955] m，5 个种子均有正的平均改善。结果支持本组实验中的总体改善，但部分案例退步，且计算时间增加。</w:t>
      </w:r>
    </w:p>
    <w:p>
      <w:pPr/>
      <w:r>
        <w:t>独立验证检查 49,077 次示向响应，另记 40 次近距响应，未发现上界违规；31 项单元测试全部通过。10 例全域 25 m 网格及局部 5 m 网格复核均通过，最大差距为 0.556 m，验收门槛为 2 m 与参考值 2% 中的较大者。</w:t>
      </w:r>
    </w:p>
    <w:p>
      <w:pPr/>
      <w:r>
        <w:t>220 例的最大间隙 0.358 m 满足 0.5 m 总体验收门槛，但未全部达到 0.05 m。圆外包、空间离散和浮点计算仍限制精度，有限网格检验不构成连续全局最优证明。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567" w:footer="70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1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before="0" w:after="0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 w:line="276" w:lineRule="auto"/>
      <w:ind w:firstLine="0"/>
      <w:jc w:val="left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80" w:after="80" w:line="276" w:lineRule="auto"/>
      <w:ind w:firstLine="0"/>
      <w:jc w:val="left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60" w:line="276" w:lineRule="auto"/>
      <w:ind w:firstLine="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spacing w:after="320" w:line="276" w:lineRule="auto" w:before="0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0" w:after="8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spacing w:line="276" w:lineRule="auto" w:before="0" w:after="80"/>
      <w:ind w:firstLine="0"/>
      <w:jc w:val="left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TableHeader">
    <w:name w:val="Table Header"/>
    <w:basedOn w:val="Normal"/>
    <w:pPr>
      <w:spacing w:line="276" w:lineRule="auto" w:before="0" w:after="80"/>
      <w:ind w:firstLine="0"/>
      <w:jc w:val="left"/>
    </w:pPr>
    <w:rPr>
      <w:rFonts w:ascii="Times New Roman" w:hAnsi="Times New Roman" w:eastAsia="黑体"/>
      <w:b/>
      <w:color w:val="000000"/>
      <w:sz w:val="21"/>
    </w:rPr>
  </w:style>
  <w:style w:type="paragraph" w:customStyle="1" w:styleId="Equation">
    <w:name w:val="Equation"/>
    <w:basedOn w:val="Normal"/>
    <w:pPr>
      <w:spacing w:line="276" w:lineRule="auto" w:before="0" w:after="80"/>
      <w:ind w:firstLine="0"/>
      <w:jc w:val="center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Reference">
    <w:name w:val="Reference"/>
    <w:basedOn w:val="Normal"/>
    <w:pPr>
      <w:spacing w:line="276" w:lineRule="auto" w:before="0" w:after="80"/>
      <w:ind w:left="420" w:hanging="420"/>
      <w:jc w:val="left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Code">
    <w:name w:val="Code"/>
    <w:basedOn w:val="Normal"/>
    <w:pPr>
      <w:spacing w:line="240" w:lineRule="auto" w:before="0" w:after="0"/>
      <w:ind w:firstLine="0"/>
      <w:jc w:val="left"/>
    </w:pPr>
    <w:rPr>
      <w:rFonts w:ascii="Consolas" w:hAnsi="Consolas" w:eastAsia="宋体"/>
      <w:b w:val="0"/>
      <w:color w:val="000000"/>
      <w:sz w:val="18"/>
    </w:rPr>
  </w:style>
  <w:style w:type="paragraph" w:customStyle="1" w:styleId="TemplateNote">
    <w:name w:val="Template Note"/>
    <w:basedOn w:val="Normal"/>
    <w:pPr>
      <w:spacing w:line="276" w:lineRule="auto" w:before="0" w:after="80"/>
      <w:ind w:firstLine="0"/>
      <w:jc w:val="left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UnnumberedHeading">
    <w:name w:val="Unnumbered Heading"/>
    <w:basedOn w:val="Normal"/>
    <w:pPr>
      <w:keepNext/>
      <w:spacing w:line="276" w:lineRule="auto" w:before="280" w:after="140"/>
      <w:ind w:firstLine="0"/>
      <w:jc w:val="left"/>
    </w:pPr>
    <w:rPr>
      <w:rFonts w:ascii="Times New Roman" w:hAnsi="Times New Roman" w:eastAsia="黑体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问题二的模型建立与求解</dc:title>
  <dc:subject>全向干扰源第二检测点选择与保证收信候选区域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