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SOXL/TQQQ Rotation with cash</w:t>
      </w:r>
    </w:p>
    <w:p>
      <w:pPr>
        <w:jc w:val="center"/>
      </w:pPr>
      <w:r>
        <w:rPr>
          <w:i/>
          <w:sz w:val="20"/>
        </w:rPr>
        <w:t>Daily scanner specification, historical performance, and automation notes</w:t>
      </w:r>
    </w:p>
    <w:p/>
    <w:p>
      <w:pPr>
        <w:pStyle w:val="Heading1"/>
      </w:pPr>
      <w:r>
        <w:t>Executive Takeaway</w:t>
      </w:r>
    </w:p>
    <w:p>
      <w:r>
        <w:t>The cash-balanced strategy keeps the high-upside SOXL/TQQQ rotation framework but adds a simple risk-off rule. It targets SOXL or TQQQ only when the selected ETF or QQQ confirms trend, and otherwise moves to cash. The result is lower drawdown and materially better bear-market behavior than the always-invested base rotation or the DCA return variant.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center"/>
            <w:shd w:fill="1F4D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8"/>
              </w:rPr>
              <w:t>Metric</w:t>
            </w:r>
          </w:p>
        </w:tc>
        <w:tc>
          <w:tcPr>
            <w:tcW w:type="dxa" w:w="3456"/>
            <w:vAlign w:val="center"/>
            <w:shd w:fill="1F4D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8"/>
              </w:rPr>
              <w:t>Value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Full test return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297,253.48%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Full test max drawdown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-52.16%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2022 return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-27.73%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2022 drawdown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-27.73%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Cash days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16.57%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DCA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</w:tr>
    </w:tbl>
    <w:p/>
    <w:p>
      <w:pPr>
        <w:pStyle w:val="Heading1"/>
      </w:pPr>
      <w:r>
        <w:t>Trading Rules</w:t>
      </w:r>
    </w:p>
    <w:p>
      <w:pPr>
        <w:pStyle w:val="Heading2"/>
      </w:pPr>
      <w:r>
        <w:t>Base rotation</w:t>
      </w:r>
    </w:p>
    <w:p>
      <w:pPr>
        <w:pStyle w:val="ListBullet"/>
        <w:spacing w:after="60"/>
      </w:pPr>
      <w:r>
        <w:t>Universe: SOXL and TQQQ only.</w:t>
      </w:r>
    </w:p>
    <w:p>
      <w:pPr>
        <w:pStyle w:val="ListBullet"/>
        <w:spacing w:after="60"/>
      </w:pPr>
      <w:r>
        <w:t>Timeframe: daily bars, evaluated after the daily close.</w:t>
      </w:r>
    </w:p>
    <w:p>
      <w:pPr>
        <w:pStyle w:val="ListBullet"/>
        <w:spacing w:after="60"/>
      </w:pPr>
      <w:r>
        <w:t>Relative momentum score: 63-day return minus 0.5 x annualized volatility, skipping the most recent 10 trading days.</w:t>
      </w:r>
    </w:p>
    <w:p>
      <w:pPr>
        <w:pStyle w:val="ListBullet"/>
        <w:spacing w:after="60"/>
      </w:pPr>
      <w:r>
        <w:t>Rebalance cadence: monthly; a 5% score hysteresis is used to avoid small noisy switches.</w:t>
      </w:r>
    </w:p>
    <w:p>
      <w:pPr>
        <w:pStyle w:val="ListBullet"/>
        <w:spacing w:after="60"/>
      </w:pPr>
      <w:r>
        <w:t>Trend preference: if the selected ETF is below its SMA50 and the alternate ETF is above its SMA50, prefer the alternate ETF.</w:t>
      </w:r>
    </w:p>
    <w:p>
      <w:pPr>
        <w:pStyle w:val="Heading2"/>
      </w:pPr>
      <w:r>
        <w:t>Cash filter</w:t>
      </w:r>
    </w:p>
    <w:p>
      <w:pPr>
        <w:pStyle w:val="ListBullet"/>
        <w:spacing w:after="60"/>
      </w:pPr>
      <w:r>
        <w:t>Target can be SOXL, TQQQ, or CASH.</w:t>
      </w:r>
    </w:p>
    <w:p>
      <w:pPr>
        <w:pStyle w:val="ListBullet"/>
        <w:spacing w:after="60"/>
      </w:pPr>
      <w:r>
        <w:t>Exit to cash when both the selected ETF and QQQ are below SMA150.</w:t>
      </w:r>
    </w:p>
    <w:p>
      <w:pPr>
        <w:pStyle w:val="ListBullet"/>
        <w:spacing w:after="60"/>
      </w:pPr>
      <w:r>
        <w:t>Re-enter when either the selected ETF or QQQ is above SMA150 + 1%.</w:t>
      </w:r>
    </w:p>
    <w:p>
      <w:pPr>
        <w:pStyle w:val="ListBullet"/>
        <w:spacing w:after="60"/>
      </w:pPr>
      <w:r>
        <w:t>Position size: 1x target position. The balanced cash version does not use DCA or leverage.</w:t>
      </w:r>
    </w:p>
    <w:p>
      <w:pPr>
        <w:pStyle w:val="Heading1"/>
      </w:pPr>
      <w:r>
        <w:t>Entry and Exit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1F4D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8"/>
              </w:rPr>
              <w:t>Action</w:t>
            </w:r>
          </w:p>
        </w:tc>
        <w:tc>
          <w:tcPr>
            <w:tcW w:type="dxa" w:w="6768"/>
            <w:vAlign w:val="center"/>
            <w:shd w:fill="1F4D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8"/>
              </w:rPr>
              <w:t>Rule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Entry from cash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Buy the current selected ETF when either the selected ETF or QQQ closes above SMA150 + 1%.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Rotation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Switch between SOXL and TQQQ when the base monthly relative-momentum target changes and the cash filter remains risk-on.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Exit to cash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Sell SOXL/TQQQ when both the selected ETF and QQQ are below SMA150.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Hold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If the account already holds the target ETF, do nothing.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Execution window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Automation runs at 4:10 PM ET. Extended-hours orders are DAY limit orders when execution is enabled.</w:t>
            </w:r>
          </w:p>
        </w:tc>
      </w:tr>
    </w:tbl>
    <w:p/>
    <w:p>
      <w:pPr>
        <w:pStyle w:val="Heading1"/>
      </w:pPr>
      <w:r>
        <w:t>Historical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3168"/>
            <w:vAlign w:val="center"/>
            <w:shd w:fill="1F4D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8"/>
              </w:rPr>
              <w:t>Strategy</w:t>
            </w:r>
          </w:p>
        </w:tc>
        <w:tc>
          <w:tcPr>
            <w:tcW w:type="dxa" w:w="1584"/>
            <w:vAlign w:val="center"/>
            <w:shd w:fill="1F4D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8"/>
              </w:rPr>
              <w:t>Full return</w:t>
            </w:r>
          </w:p>
        </w:tc>
        <w:tc>
          <w:tcPr>
            <w:tcW w:type="dxa" w:w="1296"/>
            <w:vAlign w:val="center"/>
            <w:shd w:fill="1F4D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8"/>
              </w:rPr>
              <w:t>CAGR</w:t>
            </w:r>
          </w:p>
        </w:tc>
        <w:tc>
          <w:tcPr>
            <w:tcW w:type="dxa" w:w="1584"/>
            <w:vAlign w:val="center"/>
            <w:shd w:fill="1F4D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8"/>
              </w:rPr>
              <w:t>Max drawdown</w:t>
            </w:r>
          </w:p>
        </w:tc>
        <w:tc>
          <w:tcPr>
            <w:tcW w:type="dxa" w:w="1584"/>
            <w:vAlign w:val="center"/>
            <w:shd w:fill="1F4D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8"/>
              </w:rPr>
              <w:t>2022 return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New cash balanced strategy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297,253.48%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65.36%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-52.16%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-27.73%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Base SOXL/TQQQ rotation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775,116.80%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75.63%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-79.24%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-76.80%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Verified DCA return strategy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2,823,010.49%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90.50%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-65.54%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-62.54%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SOXL-only strategy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41,069.80%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46.02%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-66.18%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-57.81%</w:t>
            </w:r>
          </w:p>
        </w:tc>
      </w:tr>
    </w:tbl>
    <w:p/>
    <w:p>
      <w:pPr>
        <w:pStyle w:val="Heading2"/>
      </w:pPr>
      <w:r>
        <w:t>2020-to-date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3312"/>
            <w:vAlign w:val="center"/>
            <w:shd w:fill="1F4D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8"/>
              </w:rPr>
              <w:t>Strategy</w:t>
            </w:r>
          </w:p>
        </w:tc>
        <w:tc>
          <w:tcPr>
            <w:tcW w:type="dxa" w:w="2304"/>
            <w:vAlign w:val="center"/>
            <w:shd w:fill="1F4D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8"/>
              </w:rPr>
              <w:t>Period</w:t>
            </w:r>
          </w:p>
        </w:tc>
        <w:tc>
          <w:tcPr>
            <w:tcW w:type="dxa" w:w="1728"/>
            <w:vAlign w:val="center"/>
            <w:shd w:fill="1F4D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8"/>
              </w:rPr>
              <w:t>Cumulative return %</w:t>
            </w:r>
          </w:p>
        </w:tc>
        <w:tc>
          <w:tcPr>
            <w:tcW w:type="dxa" w:w="1728"/>
            <w:vAlign w:val="center"/>
            <w:shd w:fill="1F4D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8"/>
              </w:rPr>
              <w:t>Max drawdown %</w:t>
            </w:r>
          </w:p>
        </w:tc>
        <w:tc>
          <w:tcPr>
            <w:tcW w:type="dxa" w:w="1584"/>
            <w:vAlign w:val="center"/>
            <w:shd w:fill="1F4D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8"/>
              </w:rPr>
              <w:t>Ending growth of $1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Base SOXL/TQQQ rotation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2020-01-02 to 2026-05-20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8,405.93%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-79.24%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85.0593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Verified DCA strategy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2020-01-02 to 2026-05-20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11,296.24%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-65.19%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113.9624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New cash balanced strategy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2020-01-02 to 2026-05-20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10,570.12%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-50.78%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106.7012</w:t>
            </w:r>
          </w:p>
        </w:tc>
      </w:tr>
    </w:tbl>
    <w:p/>
    <w:p>
      <w:pPr>
        <w:pStyle w:val="Heading2"/>
      </w:pPr>
      <w:r>
        <w:t>Annual return and drawdown, 2020-to-date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92"/>
            <w:vAlign w:val="center"/>
            <w:shd w:fill="1F4D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8"/>
              </w:rPr>
              <w:t>Year</w:t>
            </w:r>
          </w:p>
        </w:tc>
        <w:tc>
          <w:tcPr>
            <w:tcW w:type="dxa" w:w="1224"/>
            <w:vAlign w:val="center"/>
            <w:shd w:fill="1F4D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8"/>
              </w:rPr>
              <w:t>Base return</w:t>
            </w:r>
          </w:p>
        </w:tc>
        <w:tc>
          <w:tcPr>
            <w:tcW w:type="dxa" w:w="1080"/>
            <w:vAlign w:val="center"/>
            <w:shd w:fill="1F4D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8"/>
              </w:rPr>
              <w:t>Base DD</w:t>
            </w:r>
          </w:p>
        </w:tc>
        <w:tc>
          <w:tcPr>
            <w:tcW w:type="dxa" w:w="1224"/>
            <w:vAlign w:val="center"/>
            <w:shd w:fill="1F4D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8"/>
              </w:rPr>
              <w:t>DCA return</w:t>
            </w:r>
          </w:p>
        </w:tc>
        <w:tc>
          <w:tcPr>
            <w:tcW w:type="dxa" w:w="1080"/>
            <w:vAlign w:val="center"/>
            <w:shd w:fill="1F4D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8"/>
              </w:rPr>
              <w:t>DCA DD</w:t>
            </w:r>
          </w:p>
        </w:tc>
        <w:tc>
          <w:tcPr>
            <w:tcW w:type="dxa" w:w="1224"/>
            <w:vAlign w:val="center"/>
            <w:shd w:fill="1F4D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8"/>
              </w:rPr>
              <w:t>Cash return</w:t>
            </w:r>
          </w:p>
        </w:tc>
        <w:tc>
          <w:tcPr>
            <w:tcW w:type="dxa" w:w="1080"/>
            <w:vAlign w:val="center"/>
            <w:shd w:fill="1F4D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8"/>
              </w:rPr>
              <w:t>Cash DD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2020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238.38%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-70.33%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236.55%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-65.18%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218.59%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-50.78%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2021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140.98%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-40.92%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137.60%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-55.73%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140.98%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-40.92%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2022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-76.80%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-78.98%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-62.54%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-64.92%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-27.73%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-27.73%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2023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246.85%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-33.14%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176.98%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-36.18%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98.83%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-29.00%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2024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119.56%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-44.30%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49.51%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-55.52%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86.60%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-44.30%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2025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48.60%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-54.94%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99.24%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-46.05%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50.43%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-43.72%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2026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266.64%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-43.47%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284.29%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-54.16%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210.85%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-43.47%</w:t>
            </w:r>
          </w:p>
        </w:tc>
      </w:tr>
    </w:tbl>
    <w:p/>
    <w:p>
      <w:pPr>
        <w:pStyle w:val="Heading1"/>
      </w:pPr>
      <w:r>
        <w:t>Why This Is Better Than Base and DCA Return</w:t>
      </w:r>
    </w:p>
    <w:p>
      <w:pPr>
        <w:pStyle w:val="ListBullet"/>
        <w:spacing w:after="60"/>
      </w:pPr>
      <w:r>
        <w:t>Better bear-market behavior: in 2022 the cash strategy lost -27.73%, compared with -76.80% for the base rotation and -62.54% for the verified DCA return strategy.</w:t>
      </w:r>
    </w:p>
    <w:p>
      <w:pPr>
        <w:pStyle w:val="ListBullet"/>
        <w:spacing w:after="60"/>
      </w:pPr>
      <w:r>
        <w:t>Lower structural drawdown: full-test max drawdown improved to -52.16%, versus -79.24% for base rotation and -65.54% for the DCA strategy.</w:t>
      </w:r>
    </w:p>
    <w:p>
      <w:pPr>
        <w:pStyle w:val="ListBullet"/>
        <w:spacing w:after="60"/>
      </w:pPr>
      <w:r>
        <w:t>Cleaner risk logic: DCA adds exposure during declines; the cash strategy reduces exposure when both the selected ETF and QQQ fail trend.</w:t>
      </w:r>
    </w:p>
    <w:p>
      <w:pPr>
        <w:pStyle w:val="ListBullet"/>
        <w:spacing w:after="60"/>
      </w:pPr>
      <w:r>
        <w:t>Still high-return: from 2020 to date, the cash strategy compounded $1 to $106.70, close to the DCA strategy's $113.96 while carrying much lower drawdown.</w:t>
      </w:r>
    </w:p>
    <w:p>
      <w:pPr>
        <w:pStyle w:val="ListBullet"/>
        <w:spacing w:after="60"/>
      </w:pPr>
      <w:r>
        <w:t>Operationally simpler: no fractional exposure ladder or average-cost bookkeeping is required; the scanner targets SOXL, TQQQ, or CASH.</w:t>
      </w:r>
    </w:p>
    <w:p>
      <w:pPr>
        <w:pStyle w:val="Heading1"/>
      </w:pPr>
      <w:r>
        <w:t>Scanner and Automation</w:t>
      </w:r>
    </w:p>
    <w:p>
      <w:pPr>
        <w:pStyle w:val="ListBullet"/>
        <w:spacing w:after="60"/>
      </w:pPr>
      <w:r>
        <w:t>Scanner script: scripts/soxl_tqqq_cash_signal_scanner.py</w:t>
      </w:r>
    </w:p>
    <w:p>
      <w:pPr>
        <w:pStyle w:val="ListBullet"/>
        <w:spacing w:after="60"/>
      </w:pPr>
      <w:r>
        <w:t>Agent: agents/SOXL_TQQQ Rotation with cash</w:t>
      </w:r>
    </w:p>
    <w:p>
      <w:pPr>
        <w:pStyle w:val="ListBullet"/>
        <w:spacing w:after="60"/>
      </w:pPr>
      <w:r>
        <w:t>Default automation command reads Alpaca positions and writes the signal files; it does not submit live orders unless the command is changed to include --execute.</w:t>
      </w:r>
    </w:p>
    <w:p>
      <w:pPr>
        <w:pStyle w:val="ListBullet"/>
        <w:spacing w:after="60"/>
      </w:pPr>
      <w:r>
        <w:t>Extended-hours execution is supported by the scanner with --execute --extended-hours --limit-offset-pct 0 --qty 1.</w:t>
      </w:r>
    </w:p>
    <w:p>
      <w:pPr>
        <w:sectPr>
          <w:footerReference w:type="default" r:id="rId9"/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Generated by Codex - local yfinance backtest; no commissions, slippage, taxes, or execution friction included.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