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/>
          <w:b/>
          <w:color w:val="000000"/>
          <w:sz w:val="46"/>
        </w:rPr>
        <w:t>SMH Historical Components Momentum Strategy</w:t>
      </w:r>
    </w:p>
    <w:p>
      <w:pPr>
        <w:spacing w:after="280"/>
      </w:pPr>
      <w:r>
        <w:rPr>
          <w:rFonts w:ascii="Calibri" w:hAnsi="Calibri"/>
          <w:color w:val="555555"/>
          <w:sz w:val="27"/>
        </w:rPr>
        <w:t>Top2 L252 S0 SMA100 DCA1 - Monthly Point-in-Time Backtest</w:t>
      </w:r>
    </w:p>
    <w:p>
      <w:pPr>
        <w:spacing w:after="40"/>
      </w:pPr>
      <w:r>
        <w:rPr>
          <w:rFonts w:ascii="Calibri" w:hAnsi="Calibri"/>
          <w:b/>
          <w:color w:val="000000"/>
          <w:sz w:val="21"/>
        </w:rPr>
        <w:t xml:space="preserve">Prepared for: </w:t>
      </w:r>
      <w:r>
        <w:rPr>
          <w:rFonts w:ascii="Calibri" w:hAnsi="Calibri"/>
          <w:color w:val="000000"/>
          <w:sz w:val="21"/>
        </w:rPr>
        <w:t>Future strategy replication and review</w:t>
      </w:r>
    </w:p>
    <w:p>
      <w:pPr>
        <w:spacing w:after="40"/>
      </w:pPr>
      <w:r>
        <w:rPr>
          <w:rFonts w:ascii="Calibri" w:hAnsi="Calibri"/>
          <w:b/>
          <w:color w:val="000000"/>
          <w:sz w:val="21"/>
        </w:rPr>
        <w:t xml:space="preserve">Data window: </w:t>
      </w:r>
      <w:r>
        <w:rPr>
          <w:rFonts w:ascii="Calibri" w:hAnsi="Calibri"/>
          <w:color w:val="000000"/>
          <w:sz w:val="21"/>
        </w:rPr>
        <w:t>2010-01-01 through 2026-05-24 YTD</w:t>
      </w:r>
    </w:p>
    <w:p>
      <w:pPr>
        <w:spacing w:after="40"/>
      </w:pPr>
      <w:r>
        <w:rPr>
          <w:rFonts w:ascii="Calibri" w:hAnsi="Calibri"/>
          <w:b/>
          <w:color w:val="000000"/>
          <w:sz w:val="21"/>
        </w:rPr>
        <w:t xml:space="preserve">Selected strategy: </w:t>
      </w:r>
      <w:r>
        <w:rPr>
          <w:rFonts w:ascii="Calibri" w:hAnsi="Calibri"/>
          <w:color w:val="000000"/>
          <w:sz w:val="21"/>
        </w:rPr>
        <w:t>Top2 L252 S0 SMA100 DCA1</w:t>
      </w:r>
    </w:p>
    <w:p>
      <w:pPr>
        <w:spacing w:after="40"/>
      </w:pPr>
      <w:r>
        <w:rPr>
          <w:rFonts w:ascii="Calibri" w:hAnsi="Calibri"/>
          <w:b/>
          <w:color w:val="000000"/>
          <w:sz w:val="21"/>
        </w:rPr>
        <w:t xml:space="preserve">Benchmark: </w:t>
      </w:r>
      <w:r>
        <w:rPr>
          <w:rFonts w:ascii="Calibri" w:hAnsi="Calibri"/>
          <w:color w:val="000000"/>
          <w:sz w:val="21"/>
        </w:rPr>
        <w:t>SMH buy-and-hold, monthly open-to-open</w:t>
      </w:r>
    </w:p>
    <w:p>
      <w:pPr>
        <w:spacing w:after="40"/>
      </w:pPr>
      <w:r>
        <w:rPr>
          <w:rFonts w:ascii="Calibri" w:hAnsi="Calibri"/>
          <w:b/>
          <w:color w:val="000000"/>
          <w:sz w:val="21"/>
        </w:rPr>
        <w:t xml:space="preserve">Status: </w:t>
      </w:r>
      <w:r>
        <w:rPr>
          <w:rFonts w:ascii="Calibri" w:hAnsi="Calibri"/>
          <w:color w:val="000000"/>
          <w:sz w:val="21"/>
        </w:rPr>
        <w:t>Research backtest, not investment advice</w:t>
      </w:r>
    </w:p>
    <w:p>
      <w:pPr>
        <w:spacing w:after="240"/>
        <w:pBdr>
          <w:bottom w:val="single" w:sz="10" w:space="6" w:color="2E74B5"/>
        </w:pBdr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EF"/>
          <w:left w:val="single" w:sz="4" w:space="0" w:color="D9E2EF"/>
          <w:bottom w:val="single" w:sz="4" w:space="0" w:color="D9E2EF"/>
          <w:right w:val="single" w:sz="4" w:space="0" w:color="D9E2EF"/>
          <w:insideH w:val="single" w:sz="4" w:space="0" w:color="D9E2EF"/>
          <w:insideV w:val="single" w:sz="4" w:space="0" w:color="D9E2EF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4D78"/>
                <w:sz w:val="22"/>
              </w:rPr>
              <w:t>One-page takeaway</w:t>
            </w:r>
          </w:p>
          <w:p>
            <w:pPr>
              <w:spacing w:after="0"/>
            </w:pPr>
            <w:r>
              <w:rPr>
                <w:rFonts w:ascii="Calibri" w:hAnsi="Calibri"/>
                <w:color w:val="000000"/>
                <w:sz w:val="21"/>
              </w:rPr>
              <w:t>The selected strategy is a monthly, two-stock momentum rotation inside the historical SMH/HOLDRS universe. It beat SMH in the 2010-2019 in-sample window, the full 2010-2026 YTD test, and the 2020-2026 YTD OOS window on total return and drawdown. OOS Sharpe was slightly higher than SMH in this run.</w:t>
            </w:r>
          </w:p>
        </w:tc>
      </w:tr>
    </w:tbl>
    <w:p/>
    <w:p>
      <w:pPr>
        <w:pStyle w:val="Heading1"/>
      </w:pPr>
      <w:r>
        <w:t>Selected Configuration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4680"/>
        <w:gridCol w:w="4680"/>
      </w:tblGrid>
      <w:tr>
        <w:tc>
          <w:tcPr>
            <w:tcW w:type="dxa" w:w="223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19"/>
              </w:rPr>
              <w:t>Field</w:t>
            </w:r>
          </w:p>
        </w:tc>
        <w:tc>
          <w:tcPr>
            <w:tcW w:type="dxa" w:w="712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19"/>
              </w:rPr>
              <w:t>Setting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Universe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Historical SMH and legacy Semiconductor HOLDRS holdings from public SEC filings.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Point-in-time rule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Use only the latest holdings snapshot filed on or before the monthly signal date.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Ranking score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252-trading-day total momentum: Close[t] / Close[t-252] - 1.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Skip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S0: no one-month skip. The score uses the signal date close.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Selection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Buy the top 2 ranked stocks, equal weight, when risk filter is on.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Risk filter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Risk-on only when SMH close is above its 100-day SMA at the signal date. Otherwise hold cash.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Execution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Signal at prior month-end close; enter at next month first open; exit/rebalance at following month first open.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DCA1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No staged entry. Move to full target exposure immediately on each monthly rebalance.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Benchmark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SMH buy-and-hold, measured monthly open-to-open on the same calendar.</w:t>
            </w:r>
          </w:p>
        </w:tc>
      </w:tr>
    </w:tbl>
    <w:p/>
    <w:p>
      <w:pPr>
        <w:pStyle w:val="Heading1"/>
      </w:pPr>
      <w:r>
        <w:t>Trading Rules</w:t>
      </w:r>
    </w:p>
    <w:p>
      <w:pPr>
        <w:pStyle w:val="ListNumber"/>
      </w:pPr>
      <w:r>
        <w:t>At each month-end signal date, load the latest SMH/HOLDRS holdings filing that was public by that date.</w:t>
      </w:r>
    </w:p>
    <w:p>
      <w:pPr>
        <w:pStyle w:val="ListNumber"/>
      </w:pPr>
      <w:r>
        <w:t>Drop stocks without usable adjusted open/close price history for that month.</w:t>
      </w:r>
    </w:p>
    <w:p>
      <w:pPr>
        <w:pStyle w:val="ListNumber"/>
      </w:pPr>
      <w:r>
        <w:t>Calculate each eligible stock's 252-trading-day momentum using adjusted closes.</w:t>
      </w:r>
    </w:p>
    <w:p>
      <w:pPr>
        <w:pStyle w:val="ListNumber"/>
      </w:pPr>
      <w:r>
        <w:t>Check the market filter: SMH adjusted close must be above its 100-day simple moving average.</w:t>
      </w:r>
    </w:p>
    <w:p>
      <w:pPr>
        <w:pStyle w:val="ListNumber"/>
      </w:pPr>
      <w:r>
        <w:t>If the filter is on, buy the top 2 momentum stocks at the next trading day's adjusted open, equal weighted.</w:t>
      </w:r>
    </w:p>
    <w:p>
      <w:pPr>
        <w:pStyle w:val="ListNumber"/>
      </w:pPr>
      <w:r>
        <w:t>If the filter is off, hold cash for the month.</w:t>
      </w:r>
    </w:p>
    <w:p>
      <w:pPr>
        <w:pStyle w:val="ListNumber"/>
      </w:pPr>
      <w:r>
        <w:t>At the next monthly rebalance, repeat the process and replace the portfolio if the top 2 names change.</w:t>
      </w:r>
    </w:p>
    <w:p>
      <w:pPr>
        <w:pStyle w:val="Heading1"/>
      </w:pPr>
      <w:r>
        <w:t>Performance Summary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37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19"/>
              </w:rPr>
              <w:t>Period</w:t>
            </w:r>
          </w:p>
        </w:tc>
        <w:tc>
          <w:tcPr>
            <w:tcW w:type="dxa" w:w="14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19"/>
              </w:rPr>
              <w:t>Strategy Return</w:t>
            </w:r>
          </w:p>
        </w:tc>
        <w:tc>
          <w:tcPr>
            <w:tcW w:type="dxa" w:w="136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19"/>
              </w:rPr>
              <w:t>SMH Return</w:t>
            </w:r>
          </w:p>
        </w:tc>
        <w:tc>
          <w:tcPr>
            <w:tcW w:type="dxa" w:w="122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19"/>
              </w:rPr>
              <w:t>Excess</w:t>
            </w:r>
          </w:p>
        </w:tc>
        <w:tc>
          <w:tcPr>
            <w:tcW w:type="dxa" w:w="14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19"/>
              </w:rPr>
              <w:t>Strategy CAGR</w:t>
            </w:r>
          </w:p>
        </w:tc>
        <w:tc>
          <w:tcPr>
            <w:tcW w:type="dxa" w:w="136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19"/>
              </w:rPr>
              <w:t>SMH CAGR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In-sample 2010-2019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2249.91%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475.52%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1774.40%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37.12%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19.13%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Out-of-sample 2020-2026 YTD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993.60%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731.93%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261.66%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45.18%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39.12%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Full period 2010-2026 YTD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25598.59%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4687.92%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20910.66%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40.22%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26.57%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19"/>
              </w:rPr>
              <w:t>Period</w:t>
            </w:r>
          </w:p>
        </w:tc>
        <w:tc>
          <w:tcPr>
            <w:tcW w:type="dxa" w:w="158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19"/>
              </w:rPr>
              <w:t>Strategy Max DD</w:t>
            </w:r>
          </w:p>
        </w:tc>
        <w:tc>
          <w:tcPr>
            <w:tcW w:type="dxa" w:w="158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19"/>
              </w:rPr>
              <w:t>SMH Max DD</w:t>
            </w:r>
          </w:p>
        </w:tc>
        <w:tc>
          <w:tcPr>
            <w:tcW w:type="dxa" w:w="172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19"/>
              </w:rPr>
              <w:t>Strategy Sharpe</w:t>
            </w:r>
          </w:p>
        </w:tc>
        <w:tc>
          <w:tcPr>
            <w:tcW w:type="dxa" w:w="158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19"/>
              </w:rPr>
              <w:t>SMH Sharpe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In-sample 2010-2019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-22.84%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-22.46%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1.37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0.96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Out-of-sample 2020-2026 YTD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-26.89%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-39.84%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1.23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1.21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Full period 2010-2026 YTD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-26.89%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-39.84%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1.29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1.06</w:t>
            </w:r>
          </w:p>
        </w:tc>
      </w:tr>
    </w:tbl>
    <w:p/>
    <w:p>
      <w:pPr>
        <w:pStyle w:val="Heading1"/>
      </w:pPr>
      <w:r>
        <w:t>Annual Return Comparison</w:t>
      </w:r>
    </w:p>
    <w:p>
      <w:r>
        <w:t>Annual rows are calendar-year compounded monthly returns. The 2026 row is year-to-date through 2026-05-24.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19"/>
              </w:rPr>
              <w:t>Year</w:t>
            </w:r>
          </w:p>
        </w:tc>
        <w:tc>
          <w:tcPr>
            <w:tcW w:type="dxa" w:w="201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19"/>
              </w:rPr>
              <w:t>Strategy</w:t>
            </w:r>
          </w:p>
        </w:tc>
        <w:tc>
          <w:tcPr>
            <w:tcW w:type="dxa" w:w="201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19"/>
              </w:rPr>
              <w:t>SMH</w:t>
            </w:r>
          </w:p>
        </w:tc>
        <w:tc>
          <w:tcPr>
            <w:tcW w:type="dxa" w:w="201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19"/>
              </w:rPr>
              <w:t>Excess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2010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-0.70%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15.20%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-15.90%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2011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5.08%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-4.96%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10.04%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2012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-8.28%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9.12%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-17.39%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2013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48.13%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28.93%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19.20%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2014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91.45%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31.43%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60.01%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2015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60.64%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-2.17%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62.81%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2016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90.25%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40.29%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49.96%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2017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102.12%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37.16%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64.97%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2018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10.72%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-11.54%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22.26%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2019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26.59%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70.72%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-44.13%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2020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19.48%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54.45%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-34.97%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2021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-4.96%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41.90%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-46.87%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2022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-20.69%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-32.89%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12.19%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2023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69.72%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67.87%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1.85%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2024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80.37%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42.50%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37.87%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2025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84.55%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51.36%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33.20%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2026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114.95%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56.21%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58.74%</w:t>
            </w:r>
          </w:p>
        </w:tc>
      </w:tr>
    </w:tbl>
    <w:p/>
    <w:p>
      <w:pPr>
        <w:pStyle w:val="Heading1"/>
      </w:pPr>
      <w:r>
        <w:t>Operational Notes</w:t>
      </w:r>
    </w:p>
    <w:p>
      <w:pPr>
        <w:pStyle w:val="ListBullet"/>
      </w:pPr>
      <w:r>
        <w:t>Months tested: 197. Invested months: 146. Cash months: 51.</w:t>
      </w:r>
    </w:p>
    <w:p>
      <w:pPr>
        <w:pStyle w:val="ListBullet"/>
      </w:pPr>
      <w:r>
        <w:t>Most frequently selected tickers in the selected strategy: NVDA (59), MU (42), AVGO (34), AMD (27), AMAT (16), ASML (14), TER (13), SWKS (13).</w:t>
      </w:r>
    </w:p>
    <w:p>
      <w:pPr>
        <w:pStyle w:val="ListBullet"/>
      </w:pPr>
      <w:r>
        <w:t>Backtest uses adjusted Yahoo Finance open/close data. Adjusted prices include split/dividend adjustment behavior from the data source.</w:t>
      </w:r>
    </w:p>
    <w:p>
      <w:pPr>
        <w:pStyle w:val="ListBullet"/>
      </w:pPr>
      <w:r>
        <w:t>Sharpe ratio is calculated from monthly returns, annualized by sqrt(12), with a zero risk-free-rate assumption.</w:t>
      </w:r>
    </w:p>
    <w:p>
      <w:pPr>
        <w:pStyle w:val="ListBullet"/>
      </w:pPr>
      <w:r>
        <w:t>The test does not include commissions, bid/ask spread, market impact, taxes, or position-size constraints.</w:t>
      </w:r>
    </w:p>
    <w:p>
      <w:pPr>
        <w:pStyle w:val="Heading1"/>
      </w:pPr>
      <w:r>
        <w:t>Data and Validation Notes</w:t>
      </w:r>
    </w:p>
    <w:p>
      <w:pPr>
        <w:pStyle w:val="ListBullet"/>
      </w:pPr>
      <w:r>
        <w:t>Historical universe source: public SEC filings for legacy Semiconductor HOLDRS, Market Vectors Semiconductor ETF, and VanEck Semiconductor ETF.</w:t>
      </w:r>
    </w:p>
    <w:p>
      <w:pPr>
        <w:pStyle w:val="ListBullet"/>
      </w:pPr>
      <w:r>
        <w:t>Lookahead control: holdings are keyed by filing date, not only by period end. The selected ticker audit found no cases where a trade used a filing after the signal date.</w:t>
      </w:r>
    </w:p>
    <w:p>
      <w:pPr>
        <w:pStyle w:val="ListBullet"/>
      </w:pPr>
      <w:r>
        <w:t>Before December 2011, SMH was represented by the legacy Semiconductor HOLDRS structure. After the VanEck exchange-offer transition, the universe switches to VanEck/Market Vectors SMH filings.</w:t>
      </w:r>
    </w:p>
    <w:p>
      <w:pPr>
        <w:pStyle w:val="ListBullet"/>
      </w:pPr>
      <w:r>
        <w:t>Unavailable acquired/delisted tickers in this Yahoo-based run: ALTR, ATML, BRCM, CREE, IDTI, LLTC, LSI, MXIM, NVLS, XLNX.</w:t>
      </w:r>
    </w:p>
    <w:p>
      <w:pPr>
        <w:pStyle w:val="ListBullet"/>
      </w:pPr>
      <w:r>
        <w:t>Because several old constituents lack usable Yahoo price data, this is more robust than a current-holdings test but still not a fully institutional survivorship-free database.</w:t>
      </w:r>
    </w:p>
    <w:p>
      <w:pPr>
        <w:pStyle w:val="Heading1"/>
      </w:pPr>
      <w:r>
        <w:t>Source Files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4680"/>
        <w:gridCol w:w="4680"/>
      </w:tblGrid>
      <w:tr>
        <w:tc>
          <w:tcPr>
            <w:tcW w:type="dxa" w:w="244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19"/>
              </w:rPr>
              <w:t>Artifact</w:t>
            </w:r>
          </w:p>
        </w:tc>
        <w:tc>
          <w:tcPr>
            <w:tcW w:type="dxa" w:w="691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0000"/>
                <w:sz w:val="19"/>
              </w:rPr>
              <w:t>Path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Backtest workbook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reports\smh_historical_components_momentum_is2010_2019_oos2020_2026ytd.xlsx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Historical holdings file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data/smh_components/smh_historical_holdings_sec.csv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Backtest script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src/strategy_lab/smh_historical_components_momentum_is_oos.py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SEC holdings extractor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src/strategy_lab/extract_smh_historical_holdings_sec.py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55555"/>
        <w:sz w:val="17"/>
      </w:rPr>
      <w:t>Prepared by Codex - backtest uses public SEC holdings and adjusted Yahoo Finance prices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555555"/>
        <w:sz w:val="18"/>
      </w:rPr>
      <w:t>SMH Momentum Strategy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SMH Historical Components Momentum Strategy</dc:title>
  <dc:subject>Top2 L252 S0 SMA100 DCA1 - Monthly Point-in-Time Backtest</dc:subject>
  <dc:creator>Codex</dc:creator>
  <cp:keywords>SMH, momentum, backtest, point-in-time holdings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