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随机模拟卷</w:t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Q1</w:t>
      </w:r>
      <w:r>
        <w:rPr>
          <w:rFonts w:ascii="宋体" w:hAnsi="宋体" w:eastAsia="宋体"/>
          <w:sz w:val="22"/>
        </w:rPr>
        <w:t xml:space="preserve">  知识点: II.条件概率与独立性 来源: 李贤平第二章习题第12题</w:t>
      </w:r>
    </w:p>
    <w:p>
      <w:r>
        <w:drawing>
          <wp:inline xmlns:a="http://schemas.openxmlformats.org/drawingml/2006/main" xmlns:pic="http://schemas.openxmlformats.org/drawingml/2006/picture">
            <wp:extent cx="5040000" cy="830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30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Q2</w:t>
      </w:r>
      <w:r>
        <w:rPr>
          <w:rFonts w:ascii="宋体" w:hAnsi="宋体" w:eastAsia="宋体"/>
          <w:sz w:val="22"/>
        </w:rPr>
        <w:t xml:space="preserve">  知识点: II.条件概率与独立性 来源: 茆诗松习题1.4第11题</w:t>
      </w:r>
    </w:p>
    <w:p>
      <w:r>
        <w:drawing>
          <wp:inline xmlns:a="http://schemas.openxmlformats.org/drawingml/2006/main" xmlns:pic="http://schemas.openxmlformats.org/drawingml/2006/picture">
            <wp:extent cx="5040000" cy="9089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08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Q3</w:t>
      </w:r>
      <w:r>
        <w:rPr>
          <w:rFonts w:ascii="宋体" w:hAnsi="宋体" w:eastAsia="宋体"/>
          <w:sz w:val="22"/>
        </w:rPr>
        <w:t xml:space="preserve">  知识点: III.随机变量与分布函数 来源: 李贤平第三章习题第40题</w:t>
      </w:r>
    </w:p>
    <w:p>
      <w:r>
        <w:drawing>
          <wp:inline xmlns:a="http://schemas.openxmlformats.org/drawingml/2006/main" xmlns:pic="http://schemas.openxmlformats.org/drawingml/2006/picture">
            <wp:extent cx="5040000" cy="4367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Q4</w:t>
      </w:r>
      <w:r>
        <w:rPr>
          <w:rFonts w:ascii="宋体" w:hAnsi="宋体" w:eastAsia="宋体"/>
          <w:sz w:val="22"/>
        </w:rPr>
        <w:t xml:space="preserve">  知识点: III.随机变量与分布函数 来源: 李贤平第三章习题第20题</w:t>
      </w:r>
    </w:p>
    <w:p>
      <w:r>
        <w:drawing>
          <wp:inline xmlns:a="http://schemas.openxmlformats.org/drawingml/2006/main" xmlns:pic="http://schemas.openxmlformats.org/drawingml/2006/picture">
            <wp:extent cx="5040000" cy="16957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5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Q5</w:t>
      </w:r>
      <w:r>
        <w:rPr>
          <w:rFonts w:ascii="宋体" w:hAnsi="宋体" w:eastAsia="宋体"/>
          <w:sz w:val="22"/>
        </w:rPr>
        <w:t xml:space="preserve">  知识点: III.随机变量与分布函数 来源: 李贤平第三章习题第25题</w:t>
      </w:r>
    </w:p>
    <w:p>
      <w:r>
        <w:drawing>
          <wp:inline xmlns:a="http://schemas.openxmlformats.org/drawingml/2006/main" xmlns:pic="http://schemas.openxmlformats.org/drawingml/2006/picture">
            <wp:extent cx="5040000" cy="12129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12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Q6</w:t>
      </w:r>
      <w:r>
        <w:rPr>
          <w:rFonts w:ascii="宋体" w:hAnsi="宋体" w:eastAsia="宋体"/>
          <w:sz w:val="22"/>
        </w:rPr>
        <w:t xml:space="preserve">  知识点: IV.数字特征 来源: 李贤平第四章习题第23题</w:t>
      </w:r>
    </w:p>
    <w:p>
      <w:r>
        <w:drawing>
          <wp:inline xmlns:a="http://schemas.openxmlformats.org/drawingml/2006/main" xmlns:pic="http://schemas.openxmlformats.org/drawingml/2006/picture">
            <wp:extent cx="5040000" cy="8486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8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Q7</w:t>
      </w:r>
      <w:r>
        <w:rPr>
          <w:rFonts w:ascii="宋体" w:hAnsi="宋体" w:eastAsia="宋体"/>
          <w:sz w:val="22"/>
        </w:rPr>
        <w:t xml:space="preserve">  知识点: IV.数字特征 来源: 茆诗松习题3.4第4题</w:t>
      </w:r>
    </w:p>
    <w:p>
      <w:r>
        <w:drawing>
          <wp:inline xmlns:a="http://schemas.openxmlformats.org/drawingml/2006/main" xmlns:pic="http://schemas.openxmlformats.org/drawingml/2006/picture">
            <wp:extent cx="5040000" cy="23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Q8</w:t>
      </w:r>
      <w:r>
        <w:rPr>
          <w:rFonts w:ascii="宋体" w:hAnsi="宋体" w:eastAsia="宋体"/>
          <w:sz w:val="22"/>
        </w:rPr>
        <w:t xml:space="preserve">  知识点: V.收敛性,大数定理,中心极限定理 来源: 李贤平第五章习题第31题</w:t>
      </w:r>
    </w:p>
    <w:p>
      <w:r>
        <w:drawing>
          <wp:inline xmlns:a="http://schemas.openxmlformats.org/drawingml/2006/main" xmlns:pic="http://schemas.openxmlformats.org/drawingml/2006/picture">
            <wp:extent cx="5040000" cy="134922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49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Q9</w:t>
      </w:r>
      <w:r>
        <w:rPr>
          <w:rFonts w:ascii="宋体" w:hAnsi="宋体" w:eastAsia="宋体"/>
          <w:sz w:val="22"/>
        </w:rPr>
        <w:t xml:space="preserve">  知识点: V.收敛性,大数定理,中心极限定理 来源: 李贤平第五章习题第32题</w:t>
      </w:r>
    </w:p>
    <w:p>
      <w:r>
        <w:drawing>
          <wp:inline xmlns:a="http://schemas.openxmlformats.org/drawingml/2006/main" xmlns:pic="http://schemas.openxmlformats.org/drawingml/2006/picture">
            <wp:extent cx="5040000" cy="43425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4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Q10</w:t>
      </w:r>
      <w:r>
        <w:rPr>
          <w:rFonts w:ascii="宋体" w:hAnsi="宋体" w:eastAsia="宋体"/>
          <w:sz w:val="22"/>
        </w:rPr>
        <w:t xml:space="preserve">  知识点: V.收敛性,大数定理,中心极限定理 来源: 李贤平第五章习题第43题</w:t>
      </w:r>
    </w:p>
    <w:p>
      <w:r>
        <w:drawing>
          <wp:inline xmlns:a="http://schemas.openxmlformats.org/drawingml/2006/main" xmlns:pic="http://schemas.openxmlformats.org/drawingml/2006/picture">
            <wp:extent cx="5040000" cy="1512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1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Q11</w:t>
      </w:r>
      <w:r>
        <w:rPr>
          <w:rFonts w:ascii="宋体" w:hAnsi="宋体" w:eastAsia="宋体"/>
          <w:sz w:val="22"/>
        </w:rPr>
        <w:t xml:space="preserve">  知识点: VI.统计量与三大抽样分布 来源: 统计推断第五章习题第25题</w:t>
      </w:r>
    </w:p>
    <w:p>
      <w:r>
        <w:drawing>
          <wp:inline xmlns:a="http://schemas.openxmlformats.org/drawingml/2006/main" xmlns:pic="http://schemas.openxmlformats.org/drawingml/2006/picture">
            <wp:extent cx="5040000" cy="250111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01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微软雅黑" w:hAnsi="微软雅黑" w:eastAsia="微软雅黑"/>
          <w:sz w:val="40"/>
        </w:rPr>
        <w:t>Q12</w:t>
      </w:r>
      <w:r>
        <w:rPr>
          <w:rFonts w:ascii="宋体" w:hAnsi="宋体" w:eastAsia="宋体"/>
          <w:sz w:val="22"/>
        </w:rPr>
        <w:t xml:space="preserve">  知识点: VI.统计量与三大抽样分布 来源: 统计推断第六章习题第15题</w:t>
      </w:r>
    </w:p>
    <w:p>
      <w:r>
        <w:drawing>
          <wp:inline xmlns:a="http://schemas.openxmlformats.org/drawingml/2006/main" xmlns:pic="http://schemas.openxmlformats.org/drawingml/2006/picture">
            <wp:extent cx="5040000" cy="5331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331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