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GrowthLens · 新客增长跨域诊断 Agent</w:t>
      </w:r>
    </w:p>
    <w:p>
      <w:pPr>
        <w:spacing w:after="200"/>
      </w:pPr>
      <w:r>
        <w:rPr>
          <w:b w:val="false"/>
          <w:bCs w:val="false"/>
          <w:color w:val="666666"/>
          <w:sz w:val="26"/>
          <w:szCs w:val="26"/>
        </w:rPr>
        <w:t xml:space="preserve">立项书（路演版）</w:t>
      </w:r>
    </w:p>
    <w:p>
      <w:pPr>
        <w:pBdr>
          <w:left w:val="single" w:color="C0392B" w:sz="24" w:space="12"/>
        </w:pBdr>
        <w:spacing w:after="200" w:before="60" w:line="340"/>
        <w:ind w:left="240"/>
      </w:pPr>
      <w:r>
        <w:rPr>
          <w:b/>
          <w:bCs/>
          <w:sz w:val="24"/>
          <w:szCs w:val="24"/>
        </w:rPr>
        <w:t xml:space="preserve">一句话：把“新客转化为什么掉了”这个要五个团队吵一下午的问题，变成 agent 90 秒的诊断，和一份能直接领走的行动清单。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赛道：AI Native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形态：归因引擎（Python）+ Claude Code Skill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团队：（待补）</w:t>
      </w:r>
    </w:p>
    <w:p>
      <w:pPr>
        <w:spacing w:after="100"/>
      </w:pPr>
    </w:p>
    <w:p>
      <w:pPr>
        <w:pStyle w:val="Heading1"/>
      </w:pPr>
      <w:r>
        <w:rPr>
          <w:b w:val="false"/>
          <w:bCs w:val="false"/>
        </w:rPr>
        <w:t xml:space="preserve">01｜每次大盘波动，都是一场罗生门</w:t>
      </w:r>
    </w:p>
    <w:p>
      <w:pPr>
        <w:spacing w:after="140" w:line="330"/>
      </w:pPr>
      <w:r>
        <w:rPr>
          <w:b w:val="false"/>
          <w:bCs w:val="false"/>
        </w:rPr>
        <w:t xml:space="preserve">新客转化率掉了两个点。投放说渠道质量没变，产品说漏斗各步正常，品类说库存深度达标，物流说时效在 SLA 内——每个团队的数据都证明“不是我的问题”，但指标确实在掉。</w:t>
      </w:r>
    </w:p>
    <w:p>
      <w:pPr>
        <w:spacing w:after="140" w:line="330"/>
      </w:pPr>
      <w:r>
        <w:rPr>
          <w:b w:val="false"/>
          <w:bCs w:val="false"/>
        </w:rPr>
        <w:t xml:space="preserve">会开了一下午，结论是“继续观察”。两周后复盘才发现：东南亚 3C 在大促前缺货，投放买来的高意图用户加购之后无货可买。等看清楚，窗口已经关了。</w:t>
      </w:r>
    </w:p>
    <w:p>
      <w:pPr>
        <w:spacing w:after="140" w:line="330"/>
      </w:pPr>
      <w:r>
        <w:rPr>
          <w:b w:val="false"/>
          <w:bCs w:val="false"/>
        </w:rPr>
        <w:t xml:space="preserve">这不是某一次的故事。这是每次大盘波动的标准剧本。</w:t>
      </w:r>
    </w:p>
    <w:p>
      <w:pPr>
        <w:pStyle w:val="Heading1"/>
      </w:pPr>
      <w:r>
        <w:rPr>
          <w:b w:val="false"/>
          <w:bCs w:val="false"/>
        </w:rPr>
        <w:t xml:space="preserve">02｜卡点不在任何一个团队手里，在团队之间</w:t>
      </w:r>
    </w:p>
    <w:p>
      <w:pPr>
        <w:spacing w:after="140" w:line="330"/>
      </w:pPr>
      <w:r>
        <w:rPr>
          <w:b w:val="false"/>
          <w:bCs w:val="false"/>
        </w:rPr>
        <w:t xml:space="preserve">为什么五个团队都没看见？因为真正的卡点，要把两个团队的数据放进同一张表才会显形：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投放的数据说：这批用户意图很高，加购率高于大盘；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供给的数据说：这个品类库存偏薄，但单看不算异常；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b w:val="false"/>
          <w:bCs w:val="false"/>
        </w:rPr>
        <w:t xml:space="preserve">两张表各自“正常”，join 起来才是事故。</w:t>
      </w:r>
    </w:p>
    <w:p>
      <w:pPr>
        <w:spacing w:after="140" w:line="330"/>
      </w:pPr>
      <w:r>
        <w:rPr>
          <w:b w:val="false"/>
          <w:bCs w:val="false"/>
        </w:rPr>
        <w:t xml:space="preserve">人不是不会做这个 join，是做不过来：品类 × 国家 × 渠道 × 价格带，几百个格子，每个格子要同时看 4–8 个域，还要叠加搜索热度、大促节奏这些外部变量。这超出任何人的工作记忆——但对程序，只是一次 join。</w:t>
      </w:r>
    </w:p>
    <w:p>
      <w:pPr>
        <w:spacing w:after="140" w:line="330"/>
      </w:pPr>
      <w:r>
        <w:rPr>
          <w:b w:val="false"/>
          <w:bCs w:val="false"/>
        </w:rPr>
        <w:t xml:space="preserve">BI 已经把“查得快”做到了头。没人解决的是“看得全”。这就是 agent 该站的位置。</w:t>
      </w:r>
    </w:p>
    <w:p>
      <w:pPr>
        <w:pStyle w:val="Heading1"/>
      </w:pPr>
      <w:r>
        <w:rPr>
          <w:b w:val="false"/>
          <w:bCs w:val="false"/>
        </w:rPr>
        <w:t xml:space="preserve">03｜方案：一个锚点指标，四层架构，域可无限加</w:t>
      </w:r>
    </w:p>
    <w:p>
      <w:pPr>
        <w:spacing w:after="140" w:line="330"/>
      </w:pPr>
      <w:r>
        <w:rPr>
          <w:b w:val="false"/>
          <w:bCs w:val="false"/>
        </w:rPr>
        <w:t xml:space="preserve">锚定「新客首单转化率」。选它不是因为它好算，是因为解释它必然跨域——渠道质量、站内体验、供给深度、价格竞争力都会动它，任何单一团队都无法独立解释。它是天然的跨域入口。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6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产物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语义层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指标口径、维度定义、归因方法的单一事实来源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semantic.yaml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数据层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每个域一张预聚合宽表，原始明细不出本地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行为 / 供给 / 投放 / 搜索趋势 / 大促日历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归因引擎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跨域 join、基准对照、显著性检验、优先级排序，全部确定性计算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结构化诊断 + 象限图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表达层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在引擎数字之上组织诊断叙事与行动建议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Claude Code Skill</w:t>
            </w:r>
          </w:p>
        </w:tc>
      </w:tr>
    </w:tbl>
    <w:p>
      <w:pPr>
        <w:spacing w:after="100"/>
      </w:pPr>
    </w:p>
    <w:p>
      <w:pPr>
        <w:spacing w:after="140" w:line="330"/>
      </w:pPr>
      <w:r>
        <w:rPr>
          <w:b w:val="false"/>
          <w:bCs w:val="false"/>
        </w:rPr>
        <w:t xml:space="preserve">关键设计一句话：</w:t>
      </w:r>
      <w:r>
        <w:rPr>
          <w:b/>
          <w:bCs/>
        </w:rPr>
        <w:t xml:space="preserve">新增一个域 = 一张聚合宽表 + 一个查询函数</w:t>
      </w:r>
      <w:r>
        <w:rPr>
          <w:b w:val="false"/>
          <w:bCs w:val="false"/>
        </w:rPr>
        <w:t xml:space="preserve">。今天是行为 × 供给 × 搜索 × 大促 4 个域，明天加物流、投放、竞品，框架不动。域越多，人越看不过来，这套系统越值钱。</w:t>
      </w:r>
    </w:p>
    <w:p>
      <w:pPr>
        <w:pStyle w:val="Heading1"/>
      </w:pPr>
      <w:r>
        <w:rPr>
          <w:b w:val="false"/>
          <w:bCs w:val="false"/>
        </w:rPr>
        <w:t xml:space="preserve">04｜现场演示：90 秒，从“为什么掉”到“怎么办”</w:t>
      </w:r>
    </w:p>
    <w:p>
      <w:pPr>
        <w:spacing w:after="140" w:line="330"/>
      </w:pPr>
      <w:r>
        <w:rPr>
          <w:b w:val="false"/>
          <w:bCs w:val="false"/>
        </w:rPr>
        <w:t xml:space="preserve">路演现场实跑（MVP 已可运行，以下输出为构造数据实测）。输入一条指令 /growth-diagnose，agent 给出四层：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第一层，整体体检</w:t>
      </w:r>
      <w:r>
        <w:rPr>
          <w:b w:val="false"/>
          <w:bCs w:val="false"/>
        </w:rPr>
        <w:t xml:space="preserve">——“新客首单转化率 1.46%。聚合视角最弱的步骤是曝光→点击，但这是陷阱：基线最低 ≠ 机会最大，真正可挽回的钱不在这一步。”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第二层，定位真凶</w:t>
      </w:r>
      <w:r>
        <w:rPr>
          <w:b w:val="false"/>
          <w:bCs w:val="false"/>
        </w:rPr>
        <w:t xml:space="preserve">——“泰国 3C：高意图加购 4,340 人，加购→下单只有 11.7%（品类健康基准 38%），缺货率 47%、价格竞争力 0.56。主因：供给。置信度 1.0。”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第三层，外部交叉</w:t>
      </w:r>
      <w:r>
        <w:rPr>
          <w:b w:val="false"/>
          <w:bCs w:val="false"/>
        </w:rPr>
        <w:t xml:space="preserve">——“该品类搜索热度环比 +121%，距 618 还有 14 天。需求在涨、窗口在关、承接能力缺失，三件事同时成立——这是 TOP1 紧急项。”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第四层，行动清单</w:t>
      </w:r>
      <w:r>
        <w:rPr>
          <w:b w:val="false"/>
          <w:bCs w:val="false"/>
        </w:rPr>
        <w:t xml:space="preserve">——补供给、跟价、暂停该格子的高成本投放，按 RICE 排序，每条带预期影响（TOP3 格子合计可挽回约 2,900 单）。</w:t>
      </w:r>
    </w:p>
    <w:p>
      <w:pPr>
        <w:spacing w:after="140" w:line="330"/>
      </w:pPr>
      <w:r>
        <w:rPr>
          <w:b w:val="false"/>
          <w:bCs w:val="false"/>
        </w:rPr>
        <w:t xml:space="preserve">然后是演示的关键一刻。评委一定会问：“AI 瞎说怎么办？”我们主动演示反例：巴西美妆，转化率同样显著偏低，但引擎不报供给问题，置信度只给 0.36——因为它的供给是健康的。</w:t>
      </w:r>
      <w:r>
        <w:rPr>
          <w:b/>
          <w:bCs/>
        </w:rPr>
        <w:t xml:space="preserve">引擎分得清“指标异常”和“异常是谁造成的”，这是纯漏斗工具做不到的一步。</w:t>
      </w:r>
      <w:r>
        <w:rPr>
          <w:b w:val="false"/>
          <w:bCs w:val="false"/>
        </w:rPr>
        <w:t xml:space="preserve"/>
      </w:r>
    </w:p>
    <w:p>
      <w:pPr>
        <w:spacing w:after="100"/>
      </w:pPr>
    </w:p>
    <w:p>
      <w:pPr>
        <w:jc w:val="center"/>
      </w:pPr>
      <w:r>
        <w:drawing>
          <wp:inline distT="0" distB="0" distL="0" distR="0">
            <wp:extent cx="5524500" cy="3771900"/>
            <wp:effectExtent t="0" r="0" b="0" l="0"/>
            <wp:docPr id="1" name="quadrant" descr="新客增长供需错配象限图" title="供需错配象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08080"/>
          <w:sz w:val="18"/>
          <w:szCs w:val="18"/>
        </w:rPr>
        <w:t xml:space="preserve">配图：供需错配象限图（横轴供给缺口、纵轴需求意图、气泡大小为优先级，三个红色大泡一眼锁定卡点）</w:t>
      </w:r>
    </w:p>
    <w:p>
      <w:pPr>
        <w:pStyle w:val="Heading1"/>
      </w:pPr>
      <w:r>
        <w:rPr>
          <w:b w:val="false"/>
          <w:bCs w:val="false"/>
        </w:rPr>
        <w:t xml:space="preserve">05｜凭什么可信：三道防线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数字防线</w:t>
      </w:r>
      <w:r>
        <w:rPr>
          <w:b w:val="false"/>
          <w:bCs w:val="false"/>
        </w:rPr>
        <w:t xml:space="preserve">：所有数字来自确定性 Python 计算，LLM 一个数都不编；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统计防线</w:t>
      </w:r>
      <w:r>
        <w:rPr>
          <w:b w:val="false"/>
          <w:bCs w:val="false"/>
        </w:rPr>
        <w:t xml:space="preserve">：样本量门槛（n≥100）+ 分品类基准 z 检验 + 价格带混杂修正。48 个格子里只有 15 个过显著性关、11 个因混杂被降权——引擎宁可少报，不误报；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因果防线</w:t>
      </w:r>
      <w:r>
        <w:rPr>
          <w:b w:val="false"/>
          <w:bCs w:val="false"/>
        </w:rPr>
        <w:t xml:space="preserve">：每条结论带置信度与验证设计（A/B 或增量测试）。我们交付的是“排好序的强假设”，不冒充因果真理。</w:t>
      </w:r>
    </w:p>
    <w:p>
      <w:pPr>
        <w:pStyle w:val="Heading1"/>
      </w:pPr>
      <w:r>
        <w:rPr>
          <w:b w:val="false"/>
          <w:bCs w:val="false"/>
        </w:rPr>
        <w:t xml:space="preserve">06｜价值：三笔账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效率账</w:t>
      </w:r>
      <w:r>
        <w:rPr>
          <w:b w:val="false"/>
          <w:bCs w:val="false"/>
        </w:rPr>
        <w:t xml:space="preserve">：跨团队归因从 0.5–2 天降到分钟级。按每月 4–6 次归因，每月省 4–10 人天，且结论从“凭经验”变成“有统计把关、可复查”。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机会账</w:t>
      </w:r>
      <w:r>
        <w:rPr>
          <w:b w:val="false"/>
          <w:bCs w:val="false"/>
        </w:rPr>
        <w:t xml:space="preserve">：可挽回订单 = 高意图流量 ×（品类基准转化率 − 实际转化率），只统计置信度达标的格子。构造数据下 TOP3 约 2,900 单——此数字用于演示口径可行，业务收益以真实数据验证后的对比为准。</w:t>
      </w:r>
    </w:p>
    <w:p>
      <w:pPr>
        <w:spacing w:after="140" w:line="33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资产账</w:t>
      </w:r>
      <w:r>
        <w:rPr>
          <w:b w:val="false"/>
          <w:bCs w:val="false"/>
        </w:rPr>
        <w:t xml:space="preserve">：指标口径与归因方法论沉淀为结构化语义层（semantic.yaml），可审计、可复用。框架平移到复购、大促冷启动、品类增长，只需换一个锚点指标。</w:t>
      </w:r>
    </w:p>
    <w:p>
      <w:pPr>
        <w:pStyle w:val="Heading1"/>
      </w:pPr>
      <w:r>
        <w:rPr>
          <w:b w:val="false"/>
          <w:bCs w:val="false"/>
        </w:rPr>
        <w:t xml:space="preserve">07｜17 天计划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6/12–6/15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第 1 个真实域数据接入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真实数据上跑通完整诊断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6/16–6/20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第 2 个内部域接入，按真实数据调参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诊断结论经业务方人工复核认可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6/21–6/24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外部域接真实源（搜索趋势 / 大促日历）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输出至少一条“内外交叉”型结论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6/25–6/28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效果对比与交付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</w:rPr>
              <w:t xml:space="preserve">归因耗时前后对比、演示视频、复用文档</w:t>
            </w:r>
          </w:p>
        </w:tc>
      </w:tr>
    </w:tbl>
    <w:p>
      <w:pPr>
        <w:spacing w:after="100"/>
      </w:pPr>
    </w:p>
    <w:p>
      <w:pPr>
        <w:spacing w:after="140" w:line="330"/>
      </w:pPr>
      <w:r>
        <w:rPr>
          <w:b w:val="false"/>
          <w:bCs w:val="false"/>
        </w:rPr>
        <w:t xml:space="preserve">主要风险与应对：真实数据申请不齐（最大风险）→ 优先锁定最易获取的 2 个域，其余用构造数据演示扩展性并明确标注；归因可信度被挑战（必然被问）→ 统计防线 + 反例演示就是内置回答；内网模型限制 → 架构与模型解耦，明细不出本地，表达层可替换为内部模型。</w:t>
      </w:r>
    </w:p>
    <w:p>
      <w:pPr>
        <w:pStyle w:val="Heading1"/>
      </w:pPr>
      <w:r>
        <w:rPr>
          <w:b w:val="false"/>
          <w:bCs w:val="false"/>
        </w:rPr>
        <w:t xml:space="preserve">08｜收尾</w:t>
      </w:r>
    </w:p>
    <w:p>
      <w:pPr>
        <w:spacing w:after="140" w:line="330"/>
      </w:pPr>
      <w:r>
        <w:rPr>
          <w:b w:val="false"/>
          <w:bCs w:val="false"/>
        </w:rPr>
        <w:t xml:space="preserve">我们不是在做“又一个 BI”。BI 回答“发生了什么”；这个 agent 回答“为什么、在哪、怎么办、值多少钱”。</w:t>
      </w:r>
    </w:p>
    <w:p>
      <w:pPr>
        <w:pBdr>
          <w:left w:val="single" w:color="C0392B" w:sz="24" w:space="12"/>
        </w:pBdr>
        <w:spacing w:after="200" w:before="60" w:line="340"/>
        <w:ind w:left="240"/>
      </w:pPr>
      <w:r>
        <w:rPr>
          <w:b/>
          <w:bCs/>
          <w:sz w:val="24"/>
          <w:szCs w:val="24"/>
        </w:rPr>
        <w:t xml:space="preserve">把五个团队的一下午，变成一个 agent 的 90 秒——这就是这个项目要证明的事。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GrowthLens 立项书（路演版）·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Microsoft YaHei" w:cs="Microsoft YaHei" w:eastAsia="Microsoft YaHei" w:hAnsi="Microsoft YaHei"/>
      <w:b/>
      <w:bCs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Microsoft YaHei" w:cs="Microsoft YaHei" w:eastAsia="Microsoft YaHei" w:hAnsi="Microsoft YaHei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57a3acc834559b6512cfbe32cfcea59bdf12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2026-06-30T07:22:17.087Z</dcterms:created>
  <dcterms:modified xsi:type="dcterms:W3CDTF">2026-06-30T07:22:17.088Z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