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32" w:rsidRPr="004907E2" w:rsidRDefault="00456754" w:rsidP="004907E2">
      <w:pPr>
        <w:ind w:left="-336"/>
        <w:rPr>
          <w:rFonts w:ascii="Arial" w:hAnsi="Arial" w:cs="Arial"/>
          <w:color w:val="C0504D" w:themeColor="accent2"/>
          <w:sz w:val="28"/>
          <w:szCs w:val="28"/>
        </w:rPr>
      </w:pPr>
      <w:bookmarkStart w:id="0" w:name="_GoBack"/>
      <w:bookmarkEnd w:id="0"/>
      <w:r w:rsidRPr="004907E2">
        <w:rPr>
          <w:rFonts w:ascii="Arial" w:hAnsi="Arial" w:cs="Arial"/>
          <w:b/>
          <w:i/>
          <w:color w:val="C0504D" w:themeColor="accent2"/>
          <w:sz w:val="28"/>
          <w:szCs w:val="28"/>
        </w:rPr>
        <w:t xml:space="preserve">Recommandations de consommation de poissons selon l’âge, </w:t>
      </w:r>
      <w:r w:rsidR="004907E2">
        <w:rPr>
          <w:rFonts w:ascii="Arial" w:hAnsi="Arial" w:cs="Arial"/>
          <w:b/>
          <w:i/>
          <w:color w:val="C0504D" w:themeColor="accent2"/>
          <w:sz w:val="28"/>
          <w:szCs w:val="28"/>
        </w:rPr>
        <w:br/>
      </w:r>
      <w:r w:rsidRPr="004907E2">
        <w:rPr>
          <w:rFonts w:ascii="Arial" w:hAnsi="Arial" w:cs="Arial"/>
          <w:b/>
          <w:i/>
          <w:color w:val="C0504D" w:themeColor="accent2"/>
          <w:sz w:val="28"/>
          <w:szCs w:val="28"/>
        </w:rPr>
        <w:t>le sexe et la condition physique</w:t>
      </w:r>
      <w:r w:rsidRPr="004907E2">
        <w:rPr>
          <w:rFonts w:ascii="Arial" w:hAnsi="Arial" w:cs="Arial"/>
          <w:b/>
          <w:i/>
          <w:color w:val="C0504D" w:themeColor="accent2"/>
          <w:sz w:val="28"/>
          <w:szCs w:val="28"/>
        </w:rPr>
        <w:br/>
      </w:r>
    </w:p>
    <w:tbl>
      <w:tblPr>
        <w:tblStyle w:val="Grille"/>
        <w:tblW w:w="10150" w:type="dxa"/>
        <w:tblInd w:w="-227" w:type="dxa"/>
        <w:tblLook w:val="04A0" w:firstRow="1" w:lastRow="0" w:firstColumn="1" w:lastColumn="0" w:noHBand="0" w:noVBand="1"/>
      </w:tblPr>
      <w:tblGrid>
        <w:gridCol w:w="1470"/>
        <w:gridCol w:w="1315"/>
        <w:gridCol w:w="1338"/>
        <w:gridCol w:w="1299"/>
        <w:gridCol w:w="1311"/>
        <w:gridCol w:w="1312"/>
        <w:gridCol w:w="2105"/>
      </w:tblGrid>
      <w:tr w:rsidR="00FF6732" w:rsidRPr="00FF6732" w:rsidTr="004907E2"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 w:rsidP="00FF67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Population générale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 w:rsidP="00FF67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Fillettes et adolescentes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 w:rsidP="00FF67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Femmes en âge de procréer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 w:rsidP="00FF67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Femmes allaitantes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 w:rsidP="00FF67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Femmes enceintes, enfants de moins de 3 ans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 w:rsidP="00FF67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Autres personnes sensibles (personnes âgées, immunodéprimées etc.)</w:t>
            </w:r>
          </w:p>
        </w:tc>
      </w:tr>
      <w:tr w:rsidR="00FF6732" w:rsidRPr="00FF6732" w:rsidTr="004907E2">
        <w:tc>
          <w:tcPr>
            <w:tcW w:w="1470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Recommandation générale</w:t>
            </w:r>
          </w:p>
        </w:tc>
        <w:tc>
          <w:tcPr>
            <w:tcW w:w="8680" w:type="dxa"/>
            <w:gridSpan w:val="6"/>
            <w:shd w:val="clear" w:color="auto" w:fill="FED2B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4907E2" w:rsidRDefault="00FF6732">
            <w:pPr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Consommer 2 portions de poissons par semaine</w:t>
            </w:r>
            <w:r w:rsidRPr="004907E2">
              <w:rPr>
                <w:rFonts w:ascii="Arial" w:hAnsi="Arial" w:cs="Arial"/>
                <w:sz w:val="16"/>
                <w:szCs w:val="16"/>
                <w:shd w:val="clear" w:color="auto" w:fill="F5CBB8"/>
              </w:rPr>
              <w:t>, dont une à forte teneur en EPA et DHA (saumon*, sardine*, maquereau*, hareng*, truite fumée**), en variant les espèces et les lieux d’approvisionnement</w:t>
            </w:r>
          </w:p>
        </w:tc>
      </w:tr>
      <w:tr w:rsidR="00FF6732" w:rsidRPr="00FF6732" w:rsidTr="004907E2">
        <w:tc>
          <w:tcPr>
            <w:tcW w:w="1470" w:type="dxa"/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 xml:space="preserve">Poissons d’eau douce fortement </w:t>
            </w:r>
            <w:proofErr w:type="spellStart"/>
            <w:r w:rsidRPr="00FF6732">
              <w:rPr>
                <w:rFonts w:ascii="Arial" w:hAnsi="Arial" w:cs="Arial"/>
                <w:b/>
                <w:sz w:val="14"/>
                <w:szCs w:val="14"/>
              </w:rPr>
              <w:t>bioaccumulateurs</w:t>
            </w:r>
            <w:proofErr w:type="spellEnd"/>
            <w:r w:rsidRPr="00FF6732">
              <w:rPr>
                <w:rFonts w:ascii="Arial" w:hAnsi="Arial" w:cs="Arial"/>
                <w:b/>
                <w:sz w:val="14"/>
                <w:szCs w:val="14"/>
              </w:rPr>
              <w:t xml:space="preserve"> (anguille, barbeau, brème, carpe, silure)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FF6732" w:rsidRPr="004907E2" w:rsidRDefault="00FF6732" w:rsidP="00FF67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À limiter à 2 fois par mois</w:t>
            </w:r>
          </w:p>
        </w:tc>
        <w:tc>
          <w:tcPr>
            <w:tcW w:w="5260" w:type="dxa"/>
            <w:gridSpan w:val="4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FF6732" w:rsidRPr="004907E2" w:rsidRDefault="00FF6732" w:rsidP="00FF67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À limiter à 1 fois tout les deux mois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FF6732" w:rsidRPr="004907E2" w:rsidRDefault="00FF6732" w:rsidP="00FF67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À limiter à deux fois par mois</w:t>
            </w:r>
          </w:p>
        </w:tc>
      </w:tr>
      <w:tr w:rsidR="00FF6732" w:rsidRPr="00FF6732" w:rsidTr="004907E2">
        <w:tc>
          <w:tcPr>
            <w:tcW w:w="1470" w:type="dxa"/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Poissons prédateurs sauvages***</w:t>
            </w:r>
          </w:p>
        </w:tc>
        <w:tc>
          <w:tcPr>
            <w:tcW w:w="3952" w:type="dxa"/>
            <w:gridSpan w:val="3"/>
            <w:vMerge w:val="restart"/>
            <w:shd w:val="clear" w:color="auto" w:fill="FDD1BE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FF6732" w:rsidRPr="004907E2" w:rsidRDefault="00FF6732" w:rsidP="00FF67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Pas de recommandation spécifique</w:t>
            </w:r>
          </w:p>
        </w:tc>
        <w:tc>
          <w:tcPr>
            <w:tcW w:w="2623" w:type="dxa"/>
            <w:gridSpan w:val="2"/>
            <w:shd w:val="clear" w:color="auto" w:fill="FDD1BE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FF6732" w:rsidRPr="004907E2" w:rsidRDefault="00FF6732" w:rsidP="00FF67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À limiter</w:t>
            </w:r>
          </w:p>
        </w:tc>
        <w:tc>
          <w:tcPr>
            <w:tcW w:w="2105" w:type="dxa"/>
            <w:vMerge w:val="restart"/>
            <w:shd w:val="clear" w:color="auto" w:fill="FDD1BE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FF6732" w:rsidRPr="004907E2" w:rsidRDefault="00FF6732" w:rsidP="00FF67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Pas de recommandation spécifique</w:t>
            </w:r>
          </w:p>
        </w:tc>
      </w:tr>
      <w:tr w:rsidR="00FF6732" w:rsidRPr="00FF6732" w:rsidTr="004907E2">
        <w:tc>
          <w:tcPr>
            <w:tcW w:w="1470" w:type="dxa"/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FF6732" w:rsidRDefault="00FF673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 xml:space="preserve">Espadon, marlin, </w:t>
            </w:r>
            <w:proofErr w:type="spellStart"/>
            <w:r w:rsidRPr="00FF6732">
              <w:rPr>
                <w:rFonts w:ascii="Arial" w:hAnsi="Arial" w:cs="Arial"/>
                <w:b/>
                <w:sz w:val="14"/>
                <w:szCs w:val="14"/>
              </w:rPr>
              <w:t>siki</w:t>
            </w:r>
            <w:proofErr w:type="spellEnd"/>
            <w:r w:rsidRPr="00FF6732">
              <w:rPr>
                <w:rFonts w:ascii="Arial" w:hAnsi="Arial" w:cs="Arial"/>
                <w:b/>
                <w:sz w:val="14"/>
                <w:szCs w:val="14"/>
              </w:rPr>
              <w:t>, requin et lamproie</w:t>
            </w:r>
          </w:p>
        </w:tc>
        <w:tc>
          <w:tcPr>
            <w:tcW w:w="3952" w:type="dxa"/>
            <w:gridSpan w:val="3"/>
            <w:vMerge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4907E2" w:rsidRDefault="00FF67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23" w:type="dxa"/>
            <w:gridSpan w:val="2"/>
            <w:shd w:val="clear" w:color="auto" w:fill="F9CFBC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FF6732" w:rsidRPr="004907E2" w:rsidRDefault="00FF6732" w:rsidP="00FF67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À éviter</w:t>
            </w:r>
          </w:p>
        </w:tc>
        <w:tc>
          <w:tcPr>
            <w:tcW w:w="2105" w:type="dxa"/>
            <w:vMerge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4907E2" w:rsidRDefault="00FF67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754" w:rsidRPr="00FF6732" w:rsidTr="004907E2">
        <w:tc>
          <w:tcPr>
            <w:tcW w:w="1470" w:type="dxa"/>
            <w:tcBorders>
              <w:bottom w:val="single" w:sz="4" w:space="0" w:color="auto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56754" w:rsidRPr="00FF6732" w:rsidRDefault="0045675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FF6732">
              <w:rPr>
                <w:rFonts w:ascii="Arial" w:hAnsi="Arial" w:cs="Arial"/>
                <w:b/>
                <w:sz w:val="14"/>
                <w:szCs w:val="14"/>
              </w:rPr>
              <w:t>Mesures spécifiques d’hygiène à respecter</w:t>
            </w:r>
          </w:p>
        </w:tc>
        <w:tc>
          <w:tcPr>
            <w:tcW w:w="5263" w:type="dxa"/>
            <w:gridSpan w:val="4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907E2" w:rsidRDefault="00456754" w:rsidP="00456754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Cuisson à cœur du poisson de mer frais ou congélation pendant 7 jours dans un congélateur domestique après éviscération rapide du poisson pêché pour une consommation crue</w:t>
            </w:r>
          </w:p>
          <w:p w:rsidR="004907E2" w:rsidRDefault="00456754" w:rsidP="004907E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Éviter la consommation de coquillages, s’ils ne proviennent pas d’une zone d</w:t>
            </w:r>
            <w:r w:rsidR="004907E2">
              <w:rPr>
                <w:rFonts w:ascii="Arial" w:hAnsi="Arial" w:cs="Arial"/>
                <w:sz w:val="16"/>
                <w:szCs w:val="16"/>
              </w:rPr>
              <w:t>’élevage autorisée et contrôlée</w:t>
            </w:r>
          </w:p>
          <w:p w:rsidR="00456754" w:rsidRPr="004907E2" w:rsidRDefault="00456754" w:rsidP="004907E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Consommation des coquillages et fruits de mer crus dans les deux heures qui suivent la sortie du réfrigérateur</w:t>
            </w:r>
          </w:p>
        </w:tc>
        <w:tc>
          <w:tcPr>
            <w:tcW w:w="3417" w:type="dxa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907E2" w:rsidRDefault="00456754" w:rsidP="004907E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Éviter la consommation de poissons crus ou insuffisamment cuits et de poissons fumés</w:t>
            </w:r>
          </w:p>
          <w:p w:rsidR="004907E2" w:rsidRDefault="00456754" w:rsidP="004907E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Éviter la consommation de coquillages crus ou peu cuits.</w:t>
            </w:r>
          </w:p>
          <w:p w:rsidR="00456754" w:rsidRPr="004907E2" w:rsidRDefault="00456754" w:rsidP="004907E2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sz w:val="16"/>
                <w:szCs w:val="16"/>
              </w:rPr>
              <w:t>Éviter la consommation de crustacés décortiqués vendus cuits (cuire soi-même les crustacés)</w:t>
            </w:r>
          </w:p>
        </w:tc>
      </w:tr>
      <w:tr w:rsidR="00FF6732" w:rsidRPr="00FF6732" w:rsidTr="004907E2">
        <w:trPr>
          <w:trHeight w:val="476"/>
        </w:trPr>
        <w:tc>
          <w:tcPr>
            <w:tcW w:w="10150" w:type="dxa"/>
            <w:gridSpan w:val="7"/>
            <w:shd w:val="clear" w:color="auto" w:fill="FFCBB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6732" w:rsidRPr="004907E2" w:rsidRDefault="00FF673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907E2">
              <w:rPr>
                <w:rFonts w:ascii="Arial" w:hAnsi="Arial" w:cs="Arial"/>
                <w:i/>
                <w:sz w:val="14"/>
                <w:szCs w:val="14"/>
              </w:rPr>
              <w:t>* tout type de conservation</w:t>
            </w:r>
            <w:r w:rsidR="004907E2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4907E2">
              <w:rPr>
                <w:rFonts w:ascii="Arial" w:hAnsi="Arial" w:cs="Arial"/>
                <w:i/>
                <w:sz w:val="14"/>
                <w:szCs w:val="14"/>
              </w:rPr>
              <w:t xml:space="preserve">(frais, surgelé,  fumé, </w:t>
            </w:r>
            <w:proofErr w:type="gramStart"/>
            <w:r w:rsidRPr="004907E2">
              <w:rPr>
                <w:rFonts w:ascii="Arial" w:hAnsi="Arial" w:cs="Arial"/>
                <w:i/>
                <w:sz w:val="14"/>
                <w:szCs w:val="14"/>
              </w:rPr>
              <w:t>conserve…)</w:t>
            </w:r>
            <w:proofErr w:type="gramEnd"/>
          </w:p>
          <w:p w:rsidR="00FF6732" w:rsidRPr="004907E2" w:rsidRDefault="00FF673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907E2">
              <w:rPr>
                <w:rFonts w:ascii="Arial" w:hAnsi="Arial" w:cs="Arial"/>
                <w:i/>
                <w:sz w:val="14"/>
                <w:szCs w:val="14"/>
              </w:rPr>
              <w:t>** la truite fumée est une espèce différente de la truite de rivière « classique »</w:t>
            </w:r>
          </w:p>
          <w:p w:rsidR="00FF6732" w:rsidRPr="00FF6732" w:rsidRDefault="00FF6732">
            <w:pPr>
              <w:rPr>
                <w:rFonts w:ascii="Arial" w:hAnsi="Arial" w:cs="Arial"/>
                <w:sz w:val="16"/>
                <w:szCs w:val="16"/>
              </w:rPr>
            </w:pPr>
            <w:r w:rsidRPr="004907E2">
              <w:rPr>
                <w:rFonts w:ascii="Arial" w:hAnsi="Arial" w:cs="Arial"/>
                <w:i/>
                <w:sz w:val="14"/>
                <w:szCs w:val="14"/>
              </w:rPr>
              <w:t>*** lotte (baudroie), loup (bar), bonite, anguille, empereur, grenadier, flétan, brochet, dorade, raie, sabre, thon…</w:t>
            </w:r>
          </w:p>
        </w:tc>
      </w:tr>
    </w:tbl>
    <w:p w:rsidR="00FF6732" w:rsidRPr="00FF6732" w:rsidRDefault="00FF6732">
      <w:pPr>
        <w:rPr>
          <w:rFonts w:ascii="Arial" w:hAnsi="Arial" w:cs="Arial"/>
          <w:sz w:val="16"/>
          <w:szCs w:val="16"/>
        </w:rPr>
      </w:pPr>
    </w:p>
    <w:sectPr w:rsidR="00FF6732" w:rsidRPr="00FF6732" w:rsidSect="000237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A34EA"/>
    <w:multiLevelType w:val="hybridMultilevel"/>
    <w:tmpl w:val="806E98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32"/>
    <w:rsid w:val="00023742"/>
    <w:rsid w:val="00456754"/>
    <w:rsid w:val="004907E2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304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F6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F6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F67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F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277</Words>
  <Characters>1525</Characters>
  <Application>Microsoft Macintosh Word</Application>
  <DocSecurity>0</DocSecurity>
  <Lines>12</Lines>
  <Paragraphs>3</Paragraphs>
  <ScaleCrop>false</ScaleCrop>
  <Company>Cégep de Sainte-Foy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Ève Février</dc:creator>
  <cp:keywords/>
  <dc:description/>
  <cp:lastModifiedBy>Ève Février</cp:lastModifiedBy>
  <cp:revision>1</cp:revision>
  <dcterms:created xsi:type="dcterms:W3CDTF">2016-03-14T01:32:00Z</dcterms:created>
  <dcterms:modified xsi:type="dcterms:W3CDTF">2016-03-14T02:08:00Z</dcterms:modified>
</cp:coreProperties>
</file>