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878DF9" w14:textId="77777777" w:rsidR="00893D54" w:rsidRDefault="00000000">
      <w:pPr>
        <w:widowControl w:val="0"/>
        <w:pBdr>
          <w:top w:val="nil"/>
          <w:left w:val="nil"/>
          <w:bottom w:val="nil"/>
          <w:right w:val="nil"/>
          <w:between w:val="nil"/>
        </w:pBdr>
        <w:spacing w:line="240" w:lineRule="auto"/>
        <w:ind w:left="39"/>
        <w:jc w:val="center"/>
        <w:rPr>
          <w:b/>
          <w:bCs/>
          <w:color w:val="1F4E79"/>
          <w:sz w:val="40"/>
          <w:szCs w:val="40"/>
        </w:rPr>
      </w:pPr>
      <w:r>
        <w:rPr>
          <w:b/>
          <w:bCs/>
          <w:color w:val="1F4E79"/>
          <w:sz w:val="40"/>
          <w:szCs w:val="40"/>
        </w:rPr>
        <w:t xml:space="preserve">HIV Screening Clinical Quality Measure Report </w:t>
      </w:r>
    </w:p>
    <w:p w14:paraId="485E4433" w14:textId="77777777" w:rsidR="00893D54" w:rsidRDefault="00893D54">
      <w:pPr>
        <w:widowControl w:val="0"/>
        <w:pBdr>
          <w:top w:val="nil"/>
          <w:left w:val="nil"/>
          <w:bottom w:val="nil"/>
          <w:right w:val="nil"/>
          <w:between w:val="nil"/>
        </w:pBdr>
        <w:spacing w:line="240" w:lineRule="auto"/>
        <w:ind w:left="39"/>
        <w:jc w:val="center"/>
        <w:rPr>
          <w:b/>
          <w:bCs/>
          <w:color w:val="1F4E79"/>
          <w:sz w:val="40"/>
          <w:szCs w:val="40"/>
        </w:rPr>
      </w:pPr>
    </w:p>
    <w:p w14:paraId="636B41F3" w14:textId="77777777" w:rsidR="00893D54" w:rsidRDefault="00000000">
      <w:pPr>
        <w:widowControl w:val="0"/>
        <w:pBdr>
          <w:top w:val="nil"/>
          <w:left w:val="nil"/>
          <w:bottom w:val="nil"/>
          <w:right w:val="nil"/>
          <w:between w:val="nil"/>
        </w:pBdr>
        <w:spacing w:line="240" w:lineRule="auto"/>
        <w:ind w:left="39"/>
        <w:jc w:val="center"/>
        <w:rPr>
          <w:color w:val="444444"/>
        </w:rPr>
      </w:pPr>
      <w:r>
        <w:rPr>
          <w:color w:val="444444"/>
        </w:rPr>
        <w:t>Monthly Clinical Quality Metrics Report | Measurement Month: June 2026 | Created by: Skye Johnson - WEA Public Health Intern &amp; Innocent Menyo - WEA Data Analyst</w:t>
      </w:r>
    </w:p>
    <w:p w14:paraId="24CE0263" w14:textId="77777777" w:rsidR="00893D54" w:rsidRDefault="00000000">
      <w:pPr>
        <w:widowControl w:val="0"/>
        <w:pBdr>
          <w:top w:val="nil"/>
          <w:left w:val="nil"/>
          <w:bottom w:val="nil"/>
          <w:right w:val="nil"/>
          <w:between w:val="nil"/>
        </w:pBdr>
        <w:spacing w:line="240" w:lineRule="auto"/>
        <w:ind w:left="39"/>
        <w:jc w:val="center"/>
        <w:rPr>
          <w:color w:val="777777"/>
          <w:sz w:val="18"/>
          <w:szCs w:val="18"/>
        </w:rPr>
      </w:pPr>
      <w:r>
        <w:rPr>
          <w:color w:val="444444"/>
          <w:sz w:val="24"/>
          <w:szCs w:val="24"/>
        </w:rPr>
        <w:t xml:space="preserve"> </w:t>
      </w:r>
      <w:r>
        <w:rPr>
          <w:color w:val="777777"/>
          <w:sz w:val="18"/>
          <w:szCs w:val="18"/>
        </w:rPr>
        <w:t xml:space="preserve">Report date: June 30, </w:t>
      </w:r>
      <w:proofErr w:type="gramStart"/>
      <w:r>
        <w:rPr>
          <w:color w:val="777777"/>
          <w:sz w:val="18"/>
          <w:szCs w:val="18"/>
        </w:rPr>
        <w:t>2026</w:t>
      </w:r>
      <w:proofErr w:type="gramEnd"/>
      <w:r>
        <w:rPr>
          <w:color w:val="777777"/>
          <w:sz w:val="18"/>
          <w:szCs w:val="18"/>
        </w:rPr>
        <w:t xml:space="preserve"> | Data source: Athena + LabCorp (June 1, 2025 – June 30, 2026) </w:t>
      </w:r>
    </w:p>
    <w:p w14:paraId="0E3E5427" w14:textId="77777777" w:rsidR="00893D54" w:rsidRDefault="00000000">
      <w:pPr>
        <w:widowControl w:val="0"/>
        <w:pBdr>
          <w:top w:val="nil"/>
          <w:left w:val="nil"/>
          <w:bottom w:val="nil"/>
          <w:right w:val="nil"/>
          <w:between w:val="nil"/>
        </w:pBdr>
        <w:spacing w:before="141" w:line="240" w:lineRule="auto"/>
        <w:ind w:left="29"/>
        <w:rPr>
          <w:b/>
          <w:bCs/>
          <w:color w:val="1F4E79"/>
          <w:sz w:val="26"/>
          <w:szCs w:val="26"/>
        </w:rPr>
      </w:pPr>
      <w:r>
        <w:rPr>
          <w:b/>
          <w:bCs/>
          <w:color w:val="1F4E79"/>
          <w:sz w:val="26"/>
          <w:szCs w:val="26"/>
        </w:rPr>
        <w:t xml:space="preserve">Measure Definition </w:t>
      </w:r>
    </w:p>
    <w:p w14:paraId="082F1AE3" w14:textId="77777777" w:rsidR="00893D54" w:rsidRDefault="00000000">
      <w:pPr>
        <w:widowControl w:val="0"/>
        <w:pBdr>
          <w:top w:val="nil"/>
          <w:left w:val="nil"/>
          <w:bottom w:val="nil"/>
          <w:right w:val="nil"/>
          <w:between w:val="nil"/>
        </w:pBdr>
        <w:spacing w:before="198" w:line="229" w:lineRule="auto"/>
        <w:ind w:left="23" w:right="4" w:hanging="3"/>
        <w:jc w:val="both"/>
        <w:rPr>
          <w:color w:val="000000"/>
        </w:rPr>
      </w:pPr>
      <w:r>
        <w:rPr>
          <w:b/>
          <w:bCs/>
          <w:color w:val="000000"/>
        </w:rPr>
        <w:t>Clinical Quality Metric (CQM)</w:t>
      </w:r>
      <w:r>
        <w:rPr>
          <w:color w:val="000000"/>
        </w:rPr>
        <w:t xml:space="preserve">: For WEA patients who have at least one medical visit in the measurement month (denominator), how many have an HIV test result in the last 12 months (numerator; # and % of denominator)? </w:t>
      </w:r>
    </w:p>
    <w:p w14:paraId="12272B38" w14:textId="6399465D" w:rsidR="00893D54" w:rsidRDefault="00000000">
      <w:pPr>
        <w:widowControl w:val="0"/>
        <w:pBdr>
          <w:top w:val="nil"/>
          <w:left w:val="nil"/>
          <w:bottom w:val="nil"/>
          <w:right w:val="nil"/>
          <w:between w:val="nil"/>
        </w:pBdr>
        <w:spacing w:before="205" w:line="229" w:lineRule="auto"/>
        <w:ind w:left="13" w:right="1" w:firstLine="1"/>
        <w:jc w:val="both"/>
        <w:rPr>
          <w:b/>
          <w:bCs/>
          <w:color w:val="1F4E79"/>
          <w:sz w:val="26"/>
          <w:szCs w:val="26"/>
        </w:rPr>
      </w:pPr>
      <w:r>
        <w:rPr>
          <w:color w:val="000000"/>
        </w:rPr>
        <w:t xml:space="preserve">The denominator captures patients with at least one non-cancelled appointment in </w:t>
      </w:r>
      <w:r>
        <w:t>June</w:t>
      </w:r>
      <w:r>
        <w:rPr>
          <w:color w:val="000000"/>
        </w:rPr>
        <w:t xml:space="preserve"> 2026, restricted to ages 15-65 years at the time of testing per Uniform Data System (</w:t>
      </w:r>
      <w:r>
        <w:rPr>
          <w:color w:val="1155CC"/>
          <w:u w:val="single"/>
        </w:rPr>
        <w:t>HRSA UDS</w:t>
      </w:r>
      <w:r>
        <w:rPr>
          <w:color w:val="000000"/>
          <w:u w:val="single"/>
        </w:rPr>
        <w:t>)</w:t>
      </w:r>
      <w:r>
        <w:rPr>
          <w:color w:val="000000"/>
        </w:rPr>
        <w:t xml:space="preserve"> CMS349v5. The numerator identifies, among those patients, </w:t>
      </w:r>
      <w:r w:rsidR="009C4BBF">
        <w:rPr>
          <w:color w:val="000000"/>
        </w:rPr>
        <w:t xml:space="preserve">those </w:t>
      </w:r>
      <w:r>
        <w:rPr>
          <w:color w:val="000000"/>
        </w:rPr>
        <w:t>who have a documented HIV screening test result anywhere in the 12-month lookback window (</w:t>
      </w:r>
      <w:r>
        <w:t xml:space="preserve">June </w:t>
      </w:r>
      <w:r>
        <w:rPr>
          <w:color w:val="000000"/>
        </w:rPr>
        <w:t xml:space="preserve">1, 2025 – </w:t>
      </w:r>
      <w:r>
        <w:t>June</w:t>
      </w:r>
      <w:r>
        <w:rPr>
          <w:color w:val="000000"/>
        </w:rPr>
        <w:t xml:space="preserve"> 30, 2026) per the </w:t>
      </w:r>
      <w:r>
        <w:rPr>
          <w:color w:val="1155CC"/>
          <w:u w:val="single"/>
        </w:rPr>
        <w:t>CPRC guide</w:t>
      </w:r>
      <w:r>
        <w:rPr>
          <w:color w:val="000000"/>
          <w:u w:val="single"/>
        </w:rPr>
        <w:t>.</w:t>
      </w:r>
      <w:r>
        <w:rPr>
          <w:color w:val="000000"/>
        </w:rPr>
        <w:t xml:space="preserve"> The measure applies across all WEA regions (Coachella Valley, San Bernardino, Los Angeles). </w:t>
      </w:r>
    </w:p>
    <w:p w14:paraId="03B1B207" w14:textId="77777777" w:rsidR="00893D54" w:rsidRDefault="00000000">
      <w:pPr>
        <w:keepNext/>
        <w:widowControl w:val="0"/>
        <w:spacing w:before="141" w:after="200" w:line="240" w:lineRule="auto"/>
        <w:ind w:left="29"/>
        <w:rPr>
          <w:b/>
          <w:bCs/>
          <w:color w:val="1F4E79"/>
          <w:sz w:val="28"/>
          <w:szCs w:val="28"/>
        </w:rPr>
      </w:pPr>
      <w:r>
        <w:rPr>
          <w:b/>
          <w:bCs/>
          <w:color w:val="1F4E79"/>
          <w:sz w:val="26"/>
          <w:szCs w:val="26"/>
        </w:rPr>
        <w:t>Why Is This Metric Important for WEA?</w:t>
      </w:r>
    </w:p>
    <w:p w14:paraId="5307703D" w14:textId="364A27CD" w:rsidR="00893D54" w:rsidRDefault="00000000">
      <w:pPr>
        <w:keepNext/>
        <w:spacing w:after="200"/>
      </w:pPr>
      <w:r>
        <w:t>The HIV Clinical Quality Measure is important to Wellness Equity Alliance (WEA) because it aligns directly with the organization’s mission, vision, and service delivery model. WEA is committed to providing equitable, high-quality healthcare to marginalized populations, particularly individuals impacted by homelessness and those affected by behavioral health conditions. These populations are disproportionately impacted by HIV and often face barriers to accessing preventive healthcare services.</w:t>
      </w:r>
    </w:p>
    <w:p w14:paraId="5F69A8C1" w14:textId="77777777" w:rsidR="00893D54" w:rsidRDefault="00000000">
      <w:pPr>
        <w:keepNext/>
        <w:spacing w:after="200"/>
      </w:pPr>
      <w:r>
        <w:t xml:space="preserve">The mission of providing equitable healthcare is backed by WEA services that include behavioral healthcare and crisis walk in center, mobile healthcare delivery to rural communities, and street medicine treatments to unhoused individuals. A particular service and initiative started at WEA is HIV street medicine, which offers HIV testing, </w:t>
      </w:r>
      <w:proofErr w:type="spellStart"/>
      <w:r>
        <w:t>PrEP</w:t>
      </w:r>
      <w:proofErr w:type="spellEnd"/>
      <w:r>
        <w:t xml:space="preserve"> delivery, hygiene supplies, and harm reduction services to combat the U.S. HIV epidemic. </w:t>
      </w:r>
    </w:p>
    <w:p w14:paraId="737BD0B9" w14:textId="77777777" w:rsidR="00893D54" w:rsidRDefault="00000000">
      <w:pPr>
        <w:keepNext/>
        <w:spacing w:after="200"/>
      </w:pPr>
      <w:r>
        <w:t>Monitoring the HIV Clinical Quality Measure monthly aids in the organization-wide HIV street medicine initiative to evaluate whether eligible patients are receiving recommended HIV screenings and whether gaps lie in the facilitation of preventive care. Ultimately, these quality improvement efforts help ensure equitable access to HIV screenings for underserved communities and WEA’s commitment to eradicating the HIV epidemic.</w:t>
      </w:r>
    </w:p>
    <w:p w14:paraId="70033686" w14:textId="77777777" w:rsidR="00893D54" w:rsidRDefault="00000000">
      <w:pPr>
        <w:spacing w:after="160"/>
        <w:rPr>
          <w:b/>
          <w:bCs/>
          <w:color w:val="2E74B5"/>
          <w:sz w:val="24"/>
          <w:szCs w:val="24"/>
        </w:rPr>
      </w:pPr>
      <w:r>
        <w:rPr>
          <w:b/>
          <w:bCs/>
          <w:color w:val="2E74B5"/>
          <w:sz w:val="24"/>
          <w:szCs w:val="24"/>
        </w:rPr>
        <w:t xml:space="preserve">June 2026 Results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93D54" w14:paraId="3DF176DA" w14:textId="77777777">
        <w:trPr>
          <w:trHeight w:val="795"/>
          <w:tblHeader/>
        </w:trPr>
        <w:tc>
          <w:tcPr>
            <w:tcW w:w="2340" w:type="dxa"/>
            <w:shd w:val="clear" w:color="auto" w:fill="1F4E79"/>
            <w:tcMar>
              <w:top w:w="100" w:type="dxa"/>
              <w:left w:w="100" w:type="dxa"/>
              <w:bottom w:w="100" w:type="dxa"/>
              <w:right w:w="100" w:type="dxa"/>
            </w:tcMar>
          </w:tcPr>
          <w:p w14:paraId="464FB37B" w14:textId="77777777" w:rsidR="00893D54" w:rsidRDefault="00000000">
            <w:pPr>
              <w:widowControl w:val="0"/>
              <w:pBdr>
                <w:top w:val="nil"/>
                <w:left w:val="nil"/>
                <w:bottom w:val="nil"/>
                <w:right w:val="nil"/>
                <w:between w:val="nil"/>
              </w:pBdr>
              <w:spacing w:line="240" w:lineRule="auto"/>
              <w:ind w:left="144"/>
              <w:rPr>
                <w:b/>
                <w:bCs/>
                <w:color w:val="FFFFFF"/>
                <w:sz w:val="20"/>
                <w:szCs w:val="20"/>
              </w:rPr>
            </w:pPr>
            <w:r>
              <w:rPr>
                <w:b/>
                <w:bCs/>
                <w:color w:val="FFFFFF"/>
                <w:sz w:val="20"/>
                <w:szCs w:val="20"/>
              </w:rPr>
              <w:t xml:space="preserve">DENOMINATOR </w:t>
            </w:r>
          </w:p>
        </w:tc>
        <w:tc>
          <w:tcPr>
            <w:tcW w:w="2340" w:type="dxa"/>
            <w:shd w:val="clear" w:color="auto" w:fill="1F4E79"/>
            <w:tcMar>
              <w:top w:w="100" w:type="dxa"/>
              <w:left w:w="100" w:type="dxa"/>
              <w:bottom w:w="100" w:type="dxa"/>
              <w:right w:w="100" w:type="dxa"/>
            </w:tcMar>
          </w:tcPr>
          <w:p w14:paraId="7AA558CF" w14:textId="77777777" w:rsidR="00893D54" w:rsidRDefault="00000000">
            <w:pPr>
              <w:widowControl w:val="0"/>
              <w:pBdr>
                <w:top w:val="nil"/>
                <w:left w:val="nil"/>
                <w:bottom w:val="nil"/>
                <w:right w:val="nil"/>
                <w:between w:val="nil"/>
              </w:pBdr>
              <w:spacing w:line="240" w:lineRule="auto"/>
              <w:ind w:left="134"/>
              <w:rPr>
                <w:b/>
                <w:bCs/>
                <w:color w:val="FFFFFF"/>
                <w:sz w:val="20"/>
                <w:szCs w:val="20"/>
              </w:rPr>
            </w:pPr>
            <w:r>
              <w:rPr>
                <w:b/>
                <w:bCs/>
                <w:color w:val="FFFFFF"/>
                <w:sz w:val="20"/>
                <w:szCs w:val="20"/>
              </w:rPr>
              <w:t>TESTS ORDERED</w:t>
            </w:r>
          </w:p>
        </w:tc>
        <w:tc>
          <w:tcPr>
            <w:tcW w:w="2340" w:type="dxa"/>
            <w:shd w:val="clear" w:color="auto" w:fill="C00000"/>
            <w:tcMar>
              <w:top w:w="100" w:type="dxa"/>
              <w:left w:w="100" w:type="dxa"/>
              <w:bottom w:w="100" w:type="dxa"/>
              <w:right w:w="100" w:type="dxa"/>
            </w:tcMar>
          </w:tcPr>
          <w:p w14:paraId="344D0951" w14:textId="77777777" w:rsidR="00893D54" w:rsidRDefault="00000000">
            <w:pPr>
              <w:widowControl w:val="0"/>
              <w:pBdr>
                <w:top w:val="nil"/>
                <w:left w:val="nil"/>
                <w:bottom w:val="nil"/>
                <w:right w:val="nil"/>
                <w:between w:val="nil"/>
              </w:pBdr>
              <w:spacing w:line="240" w:lineRule="auto"/>
              <w:ind w:left="144"/>
              <w:rPr>
                <w:b/>
                <w:bCs/>
                <w:color w:val="FFFFFF"/>
                <w:sz w:val="20"/>
                <w:szCs w:val="20"/>
              </w:rPr>
            </w:pPr>
            <w:r>
              <w:rPr>
                <w:b/>
                <w:bCs/>
                <w:color w:val="FFFFFF"/>
                <w:sz w:val="20"/>
                <w:szCs w:val="20"/>
              </w:rPr>
              <w:t xml:space="preserve">NUMERATOR </w:t>
            </w:r>
          </w:p>
          <w:p w14:paraId="0A6B3588" w14:textId="77777777" w:rsidR="00893D54" w:rsidRDefault="00000000">
            <w:pPr>
              <w:widowControl w:val="0"/>
              <w:pBdr>
                <w:top w:val="nil"/>
                <w:left w:val="nil"/>
                <w:bottom w:val="nil"/>
                <w:right w:val="nil"/>
                <w:between w:val="nil"/>
              </w:pBdr>
              <w:spacing w:line="240" w:lineRule="auto"/>
              <w:ind w:left="140"/>
              <w:rPr>
                <w:b/>
                <w:bCs/>
                <w:color w:val="FFFFFF"/>
                <w:sz w:val="20"/>
                <w:szCs w:val="20"/>
              </w:rPr>
            </w:pPr>
            <w:r>
              <w:rPr>
                <w:b/>
                <w:bCs/>
                <w:color w:val="FFFFFF"/>
                <w:sz w:val="20"/>
                <w:szCs w:val="20"/>
              </w:rPr>
              <w:t>(COMPLETED)</w:t>
            </w:r>
          </w:p>
        </w:tc>
        <w:tc>
          <w:tcPr>
            <w:tcW w:w="2340" w:type="dxa"/>
            <w:shd w:val="clear" w:color="auto" w:fill="C00000"/>
            <w:tcMar>
              <w:top w:w="100" w:type="dxa"/>
              <w:left w:w="100" w:type="dxa"/>
              <w:bottom w:w="100" w:type="dxa"/>
              <w:right w:w="100" w:type="dxa"/>
            </w:tcMar>
          </w:tcPr>
          <w:p w14:paraId="4DF1525C" w14:textId="77777777" w:rsidR="00893D54" w:rsidRDefault="00000000">
            <w:pPr>
              <w:widowControl w:val="0"/>
              <w:pBdr>
                <w:top w:val="nil"/>
                <w:left w:val="nil"/>
                <w:bottom w:val="nil"/>
                <w:right w:val="nil"/>
                <w:between w:val="nil"/>
              </w:pBdr>
              <w:spacing w:line="240" w:lineRule="auto"/>
              <w:ind w:left="144"/>
              <w:rPr>
                <w:b/>
                <w:bCs/>
                <w:color w:val="FFFFFF"/>
                <w:sz w:val="20"/>
                <w:szCs w:val="20"/>
              </w:rPr>
            </w:pPr>
            <w:r>
              <w:rPr>
                <w:b/>
                <w:bCs/>
                <w:color w:val="FFFFFF"/>
                <w:sz w:val="20"/>
                <w:szCs w:val="20"/>
              </w:rPr>
              <w:t>RATE</w:t>
            </w:r>
          </w:p>
        </w:tc>
      </w:tr>
      <w:tr w:rsidR="00893D54" w14:paraId="6A0D2DF2" w14:textId="77777777">
        <w:trPr>
          <w:trHeight w:val="600"/>
        </w:trPr>
        <w:tc>
          <w:tcPr>
            <w:tcW w:w="2340" w:type="dxa"/>
            <w:tcMar>
              <w:top w:w="100" w:type="dxa"/>
              <w:left w:w="100" w:type="dxa"/>
              <w:bottom w:w="100" w:type="dxa"/>
              <w:right w:w="100" w:type="dxa"/>
            </w:tcMar>
          </w:tcPr>
          <w:p w14:paraId="73696475" w14:textId="77777777" w:rsidR="00893D54" w:rsidRDefault="00000000">
            <w:pPr>
              <w:widowControl w:val="0"/>
              <w:pBdr>
                <w:top w:val="nil"/>
                <w:left w:val="nil"/>
                <w:bottom w:val="nil"/>
                <w:right w:val="nil"/>
                <w:between w:val="nil"/>
              </w:pBdr>
              <w:spacing w:line="240" w:lineRule="auto"/>
              <w:ind w:left="145"/>
              <w:rPr>
                <w:b/>
                <w:bCs/>
                <w:color w:val="000000"/>
                <w:sz w:val="20"/>
                <w:szCs w:val="20"/>
              </w:rPr>
            </w:pPr>
            <w:r>
              <w:rPr>
                <w:b/>
                <w:bCs/>
                <w:color w:val="000000"/>
                <w:sz w:val="20"/>
                <w:szCs w:val="20"/>
              </w:rPr>
              <w:t>12</w:t>
            </w:r>
            <w:r>
              <w:rPr>
                <w:b/>
                <w:bCs/>
                <w:sz w:val="20"/>
                <w:szCs w:val="20"/>
              </w:rPr>
              <w:t>3</w:t>
            </w:r>
          </w:p>
        </w:tc>
        <w:tc>
          <w:tcPr>
            <w:tcW w:w="2340" w:type="dxa"/>
            <w:tcMar>
              <w:top w:w="100" w:type="dxa"/>
              <w:left w:w="100" w:type="dxa"/>
              <w:bottom w:w="100" w:type="dxa"/>
              <w:right w:w="100" w:type="dxa"/>
            </w:tcMar>
          </w:tcPr>
          <w:p w14:paraId="2D3FBF7C" w14:textId="77777777" w:rsidR="00893D54" w:rsidRDefault="00000000">
            <w:pPr>
              <w:widowControl w:val="0"/>
              <w:pBdr>
                <w:top w:val="nil"/>
                <w:left w:val="nil"/>
                <w:bottom w:val="nil"/>
                <w:right w:val="nil"/>
                <w:between w:val="nil"/>
              </w:pBdr>
              <w:spacing w:line="240" w:lineRule="auto"/>
              <w:ind w:left="138"/>
              <w:rPr>
                <w:b/>
                <w:bCs/>
                <w:color w:val="000000"/>
                <w:sz w:val="20"/>
                <w:szCs w:val="20"/>
              </w:rPr>
            </w:pPr>
            <w:r>
              <w:rPr>
                <w:b/>
                <w:bCs/>
                <w:sz w:val="20"/>
                <w:szCs w:val="20"/>
              </w:rPr>
              <w:t>2</w:t>
            </w:r>
          </w:p>
        </w:tc>
        <w:tc>
          <w:tcPr>
            <w:tcW w:w="2340" w:type="dxa"/>
            <w:tcMar>
              <w:top w:w="100" w:type="dxa"/>
              <w:left w:w="100" w:type="dxa"/>
              <w:bottom w:w="100" w:type="dxa"/>
              <w:right w:w="100" w:type="dxa"/>
            </w:tcMar>
          </w:tcPr>
          <w:p w14:paraId="01A1CFF1" w14:textId="77777777" w:rsidR="00893D54" w:rsidRDefault="00000000">
            <w:pPr>
              <w:widowControl w:val="0"/>
              <w:pBdr>
                <w:top w:val="nil"/>
                <w:left w:val="nil"/>
                <w:bottom w:val="nil"/>
                <w:right w:val="nil"/>
                <w:between w:val="nil"/>
              </w:pBdr>
              <w:spacing w:line="240" w:lineRule="auto"/>
              <w:ind w:left="133"/>
              <w:rPr>
                <w:b/>
                <w:bCs/>
                <w:color w:val="000000"/>
                <w:sz w:val="20"/>
                <w:szCs w:val="20"/>
              </w:rPr>
            </w:pPr>
            <w:r>
              <w:rPr>
                <w:b/>
                <w:bCs/>
                <w:sz w:val="20"/>
                <w:szCs w:val="20"/>
              </w:rPr>
              <w:t>2</w:t>
            </w:r>
            <w:r>
              <w:rPr>
                <w:b/>
                <w:bCs/>
                <w:color w:val="000000"/>
                <w:sz w:val="20"/>
                <w:szCs w:val="20"/>
              </w:rPr>
              <w:t xml:space="preserve"> </w:t>
            </w:r>
          </w:p>
        </w:tc>
        <w:tc>
          <w:tcPr>
            <w:tcW w:w="2340" w:type="dxa"/>
            <w:tcMar>
              <w:top w:w="100" w:type="dxa"/>
              <w:left w:w="100" w:type="dxa"/>
              <w:bottom w:w="100" w:type="dxa"/>
              <w:right w:w="100" w:type="dxa"/>
            </w:tcMar>
          </w:tcPr>
          <w:p w14:paraId="37B30680" w14:textId="77777777" w:rsidR="00893D54" w:rsidRDefault="00000000">
            <w:pPr>
              <w:widowControl w:val="0"/>
              <w:pBdr>
                <w:top w:val="nil"/>
                <w:left w:val="nil"/>
                <w:bottom w:val="nil"/>
                <w:right w:val="nil"/>
                <w:between w:val="nil"/>
              </w:pBdr>
              <w:spacing w:line="240" w:lineRule="auto"/>
              <w:ind w:left="137"/>
              <w:rPr>
                <w:b/>
                <w:bCs/>
                <w:color w:val="000000"/>
                <w:sz w:val="20"/>
                <w:szCs w:val="20"/>
              </w:rPr>
            </w:pPr>
            <w:r>
              <w:rPr>
                <w:b/>
                <w:bCs/>
                <w:sz w:val="20"/>
                <w:szCs w:val="20"/>
              </w:rPr>
              <w:t>1</w:t>
            </w:r>
            <w:r>
              <w:rPr>
                <w:b/>
                <w:bCs/>
                <w:color w:val="000000"/>
                <w:sz w:val="20"/>
                <w:szCs w:val="20"/>
              </w:rPr>
              <w:t>.</w:t>
            </w:r>
            <w:r>
              <w:rPr>
                <w:b/>
                <w:bCs/>
                <w:sz w:val="20"/>
                <w:szCs w:val="20"/>
              </w:rPr>
              <w:t>6</w:t>
            </w:r>
            <w:r>
              <w:rPr>
                <w:b/>
                <w:bCs/>
                <w:color w:val="000000"/>
                <w:sz w:val="20"/>
                <w:szCs w:val="20"/>
              </w:rPr>
              <w:t>%</w:t>
            </w:r>
          </w:p>
        </w:tc>
      </w:tr>
      <w:tr w:rsidR="00893D54" w14:paraId="0F04997C" w14:textId="77777777">
        <w:trPr>
          <w:trHeight w:val="1040"/>
        </w:trPr>
        <w:tc>
          <w:tcPr>
            <w:tcW w:w="2340" w:type="dxa"/>
            <w:tcMar>
              <w:top w:w="100" w:type="dxa"/>
              <w:left w:w="100" w:type="dxa"/>
              <w:bottom w:w="100" w:type="dxa"/>
              <w:right w:w="100" w:type="dxa"/>
            </w:tcMar>
          </w:tcPr>
          <w:p w14:paraId="16A8933B" w14:textId="77777777" w:rsidR="00893D54" w:rsidRDefault="00000000">
            <w:pPr>
              <w:widowControl w:val="0"/>
              <w:pBdr>
                <w:top w:val="nil"/>
                <w:left w:val="nil"/>
                <w:bottom w:val="nil"/>
                <w:right w:val="nil"/>
                <w:between w:val="nil"/>
              </w:pBdr>
              <w:spacing w:line="229" w:lineRule="auto"/>
              <w:ind w:left="135" w:right="76" w:hanging="5"/>
              <w:jc w:val="both"/>
              <w:rPr>
                <w:color w:val="000000"/>
                <w:sz w:val="20"/>
                <w:szCs w:val="20"/>
              </w:rPr>
            </w:pPr>
            <w:r>
              <w:rPr>
                <w:color w:val="000000"/>
                <w:sz w:val="20"/>
                <w:szCs w:val="20"/>
              </w:rPr>
              <w:lastRenderedPageBreak/>
              <w:t xml:space="preserve">Visits in </w:t>
            </w:r>
            <w:r>
              <w:rPr>
                <w:sz w:val="20"/>
                <w:szCs w:val="20"/>
              </w:rPr>
              <w:t xml:space="preserve">June </w:t>
            </w:r>
            <w:r>
              <w:rPr>
                <w:color w:val="000000"/>
                <w:sz w:val="20"/>
                <w:szCs w:val="20"/>
              </w:rPr>
              <w:t>2026 (ages 15–65; UDS criteria)</w:t>
            </w:r>
          </w:p>
        </w:tc>
        <w:tc>
          <w:tcPr>
            <w:tcW w:w="2340" w:type="dxa"/>
            <w:tcMar>
              <w:top w:w="100" w:type="dxa"/>
              <w:left w:w="100" w:type="dxa"/>
              <w:bottom w:w="100" w:type="dxa"/>
              <w:right w:w="100" w:type="dxa"/>
            </w:tcMar>
          </w:tcPr>
          <w:p w14:paraId="5C24EAA4" w14:textId="77777777" w:rsidR="00893D54" w:rsidRDefault="00000000">
            <w:pPr>
              <w:widowControl w:val="0"/>
              <w:pBdr>
                <w:top w:val="nil"/>
                <w:left w:val="nil"/>
                <w:bottom w:val="nil"/>
                <w:right w:val="nil"/>
                <w:between w:val="nil"/>
              </w:pBdr>
              <w:spacing w:line="229" w:lineRule="auto"/>
              <w:ind w:left="133" w:right="76" w:firstLine="12"/>
              <w:rPr>
                <w:color w:val="000000"/>
                <w:sz w:val="20"/>
                <w:szCs w:val="20"/>
              </w:rPr>
            </w:pPr>
            <w:r>
              <w:rPr>
                <w:color w:val="000000"/>
                <w:sz w:val="20"/>
                <w:szCs w:val="20"/>
              </w:rPr>
              <w:t>HIV tests ordered in the lookback period</w:t>
            </w:r>
          </w:p>
        </w:tc>
        <w:tc>
          <w:tcPr>
            <w:tcW w:w="2340" w:type="dxa"/>
            <w:tcMar>
              <w:top w:w="100" w:type="dxa"/>
              <w:left w:w="100" w:type="dxa"/>
              <w:bottom w:w="100" w:type="dxa"/>
              <w:right w:w="100" w:type="dxa"/>
            </w:tcMar>
          </w:tcPr>
          <w:p w14:paraId="0F4A75DD" w14:textId="77777777" w:rsidR="00893D54" w:rsidRDefault="00000000">
            <w:pPr>
              <w:widowControl w:val="0"/>
              <w:pBdr>
                <w:top w:val="nil"/>
                <w:left w:val="nil"/>
                <w:bottom w:val="nil"/>
                <w:right w:val="nil"/>
                <w:between w:val="nil"/>
              </w:pBdr>
              <w:spacing w:line="229" w:lineRule="auto"/>
              <w:ind w:left="130" w:right="82" w:firstLine="2"/>
              <w:jc w:val="both"/>
              <w:rPr>
                <w:color w:val="000000"/>
                <w:sz w:val="20"/>
                <w:szCs w:val="20"/>
              </w:rPr>
            </w:pPr>
            <w:r>
              <w:rPr>
                <w:sz w:val="20"/>
                <w:szCs w:val="20"/>
              </w:rPr>
              <w:t>2</w:t>
            </w:r>
            <w:r>
              <w:rPr>
                <w:color w:val="000000"/>
                <w:sz w:val="20"/>
                <w:szCs w:val="20"/>
              </w:rPr>
              <w:t xml:space="preserve"> / 12</w:t>
            </w:r>
            <w:r>
              <w:rPr>
                <w:sz w:val="20"/>
                <w:szCs w:val="20"/>
              </w:rPr>
              <w:t>3</w:t>
            </w:r>
            <w:r>
              <w:rPr>
                <w:color w:val="000000"/>
                <w:sz w:val="20"/>
                <w:szCs w:val="20"/>
              </w:rPr>
              <w:t xml:space="preserve"> with a completed HIV Ab/p24 Ag Screen</w:t>
            </w:r>
          </w:p>
        </w:tc>
        <w:tc>
          <w:tcPr>
            <w:tcW w:w="2340" w:type="dxa"/>
            <w:tcMar>
              <w:top w:w="100" w:type="dxa"/>
              <w:left w:w="100" w:type="dxa"/>
              <w:bottom w:w="100" w:type="dxa"/>
              <w:right w:w="100" w:type="dxa"/>
            </w:tcMar>
          </w:tcPr>
          <w:p w14:paraId="3698626C" w14:textId="77777777" w:rsidR="00893D54" w:rsidRDefault="00000000">
            <w:pPr>
              <w:widowControl w:val="0"/>
              <w:pBdr>
                <w:top w:val="nil"/>
                <w:left w:val="nil"/>
                <w:bottom w:val="nil"/>
                <w:right w:val="nil"/>
                <w:between w:val="nil"/>
              </w:pBdr>
              <w:spacing w:line="240" w:lineRule="auto"/>
              <w:ind w:left="132"/>
              <w:rPr>
                <w:color w:val="000000"/>
                <w:sz w:val="20"/>
                <w:szCs w:val="20"/>
              </w:rPr>
            </w:pPr>
            <w:r>
              <w:rPr>
                <w:sz w:val="20"/>
                <w:szCs w:val="20"/>
              </w:rPr>
              <w:t>2</w:t>
            </w:r>
            <w:r>
              <w:rPr>
                <w:color w:val="000000"/>
                <w:sz w:val="20"/>
                <w:szCs w:val="20"/>
              </w:rPr>
              <w:t xml:space="preserve"> /12</w:t>
            </w:r>
            <w:r>
              <w:rPr>
                <w:sz w:val="20"/>
                <w:szCs w:val="20"/>
              </w:rPr>
              <w:t>3</w:t>
            </w:r>
          </w:p>
        </w:tc>
      </w:tr>
    </w:tbl>
    <w:p w14:paraId="3E80F221" w14:textId="77777777" w:rsidR="00893D54" w:rsidRDefault="00893D54">
      <w:pPr>
        <w:widowControl w:val="0"/>
        <w:pBdr>
          <w:top w:val="nil"/>
          <w:left w:val="nil"/>
          <w:bottom w:val="nil"/>
          <w:right w:val="nil"/>
          <w:between w:val="nil"/>
        </w:pBdr>
        <w:rPr>
          <w:color w:val="000000"/>
        </w:rPr>
      </w:pPr>
    </w:p>
    <w:p w14:paraId="73D5ABC9" w14:textId="77777777" w:rsidR="00893D54" w:rsidRDefault="00000000">
      <w:pPr>
        <w:widowControl w:val="0"/>
        <w:pBdr>
          <w:top w:val="nil"/>
          <w:left w:val="nil"/>
          <w:bottom w:val="nil"/>
          <w:right w:val="nil"/>
          <w:between w:val="nil"/>
        </w:pBdr>
      </w:pPr>
      <w:r>
        <w:rPr>
          <w:b/>
          <w:bCs/>
        </w:rPr>
        <w:t>Note on June 2026 Results:</w:t>
      </w:r>
      <w:r>
        <w:t xml:space="preserve"> To create and interpret the results of the clinical quality measure for June 2026, R studio (version 4.5.2) was used.</w:t>
      </w:r>
    </w:p>
    <w:p w14:paraId="672C2904" w14:textId="77777777" w:rsidR="00893D54" w:rsidRDefault="00893D54">
      <w:pPr>
        <w:widowControl w:val="0"/>
        <w:pBdr>
          <w:top w:val="nil"/>
          <w:left w:val="nil"/>
          <w:bottom w:val="nil"/>
          <w:right w:val="nil"/>
          <w:between w:val="nil"/>
        </w:pBdr>
      </w:pPr>
    </w:p>
    <w:p w14:paraId="242E66FB" w14:textId="77777777" w:rsidR="00893D54" w:rsidRDefault="00000000">
      <w:pPr>
        <w:widowControl w:val="0"/>
        <w:pBdr>
          <w:top w:val="nil"/>
          <w:left w:val="nil"/>
          <w:bottom w:val="nil"/>
          <w:right w:val="nil"/>
          <w:between w:val="nil"/>
        </w:pBdr>
        <w:spacing w:line="229" w:lineRule="auto"/>
        <w:ind w:left="16" w:right="8" w:firstLine="9"/>
        <w:jc w:val="both"/>
        <w:rPr>
          <w:color w:val="000000"/>
        </w:rPr>
      </w:pPr>
      <w:r>
        <w:rPr>
          <w:b/>
          <w:bCs/>
          <w:color w:val="000000"/>
        </w:rPr>
        <w:t>Note on incomplete test</w:t>
      </w:r>
      <w:r>
        <w:rPr>
          <w:color w:val="000000"/>
        </w:rPr>
        <w:t xml:space="preserve">: Of the </w:t>
      </w:r>
      <w:r>
        <w:t>2</w:t>
      </w:r>
      <w:r>
        <w:rPr>
          <w:color w:val="000000"/>
        </w:rPr>
        <w:t xml:space="preserve"> HIV tests ordered, the</w:t>
      </w:r>
      <w:r>
        <w:t>re were</w:t>
      </w:r>
      <w:r>
        <w:rPr>
          <w:color w:val="000000"/>
        </w:rPr>
        <w:t xml:space="preserve"> no i</w:t>
      </w:r>
      <w:r>
        <w:t xml:space="preserve">ncomplete tests </w:t>
      </w:r>
      <w:r>
        <w:rPr>
          <w:color w:val="000000"/>
        </w:rPr>
        <w:t xml:space="preserve">due to an insufficient specimen. The </w:t>
      </w:r>
      <w:r>
        <w:t>2</w:t>
      </w:r>
      <w:r>
        <w:rPr>
          <w:color w:val="000000"/>
        </w:rPr>
        <w:t xml:space="preserve"> patients with a completed HIV Ab/p24 Ag Screen result constitute the numerator. </w:t>
      </w:r>
    </w:p>
    <w:p w14:paraId="23316D92" w14:textId="77777777" w:rsidR="00893D54" w:rsidRDefault="00000000">
      <w:pPr>
        <w:widowControl w:val="0"/>
        <w:pBdr>
          <w:top w:val="nil"/>
          <w:left w:val="nil"/>
          <w:bottom w:val="nil"/>
          <w:right w:val="nil"/>
          <w:between w:val="nil"/>
        </w:pBdr>
        <w:spacing w:before="205" w:after="200" w:line="229" w:lineRule="auto"/>
        <w:ind w:left="10" w:right="4" w:firstLine="3"/>
        <w:jc w:val="both"/>
        <w:rPr>
          <w:color w:val="000000"/>
        </w:rPr>
      </w:pPr>
      <w:r>
        <w:rPr>
          <w:b/>
          <w:bCs/>
          <w:color w:val="000000"/>
        </w:rPr>
        <w:t>Test name used</w:t>
      </w:r>
      <w:r>
        <w:rPr>
          <w:color w:val="000000"/>
        </w:rPr>
        <w:t xml:space="preserve">: All </w:t>
      </w:r>
      <w:r>
        <w:t>2</w:t>
      </w:r>
      <w:r>
        <w:rPr>
          <w:color w:val="000000"/>
        </w:rPr>
        <w:t xml:space="preserve"> completed screening tests are recorded under the test name HIV Ab/p24 Ag with Reflex, with the analyte name HIV Ab/p24 Ag Screen in the LabCorp data. This is an antigen/antibody combination test and qualifies as an HIV screening test for the purposes of this measure.</w:t>
      </w:r>
    </w:p>
    <w:p w14:paraId="3A455155" w14:textId="77777777" w:rsidR="00893D54" w:rsidRDefault="00000000">
      <w:pPr>
        <w:widowControl w:val="0"/>
        <w:pBdr>
          <w:top w:val="nil"/>
          <w:left w:val="nil"/>
          <w:bottom w:val="nil"/>
          <w:right w:val="nil"/>
          <w:between w:val="nil"/>
        </w:pBdr>
        <w:spacing w:after="200" w:line="240" w:lineRule="auto"/>
        <w:rPr>
          <w:b/>
          <w:bCs/>
          <w:color w:val="1F4E79"/>
          <w:sz w:val="28"/>
          <w:szCs w:val="28"/>
        </w:rPr>
      </w:pPr>
      <w:r>
        <w:rPr>
          <w:b/>
          <w:bCs/>
          <w:color w:val="1F4E79"/>
          <w:sz w:val="28"/>
          <w:szCs w:val="28"/>
        </w:rPr>
        <w:t xml:space="preserve">Benchmark Comparison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1"/>
        <w:gridCol w:w="840"/>
        <w:gridCol w:w="2040"/>
        <w:gridCol w:w="2520"/>
        <w:gridCol w:w="1559"/>
      </w:tblGrid>
      <w:tr w:rsidR="00893D54" w14:paraId="37E283F8" w14:textId="77777777">
        <w:trPr>
          <w:trHeight w:val="600"/>
        </w:trPr>
        <w:tc>
          <w:tcPr>
            <w:tcW w:w="2400" w:type="dxa"/>
            <w:shd w:val="clear" w:color="auto" w:fill="2E74B5"/>
            <w:tcMar>
              <w:top w:w="100" w:type="dxa"/>
              <w:left w:w="100" w:type="dxa"/>
              <w:bottom w:w="100" w:type="dxa"/>
              <w:right w:w="100" w:type="dxa"/>
            </w:tcMar>
          </w:tcPr>
          <w:p w14:paraId="104DF4CF" w14:textId="77777777" w:rsidR="00893D54" w:rsidRDefault="00000000">
            <w:pPr>
              <w:widowControl w:val="0"/>
              <w:pBdr>
                <w:top w:val="nil"/>
                <w:left w:val="nil"/>
                <w:bottom w:val="nil"/>
                <w:right w:val="nil"/>
                <w:between w:val="nil"/>
              </w:pBdr>
              <w:spacing w:after="200" w:line="240" w:lineRule="auto"/>
              <w:ind w:left="144"/>
              <w:rPr>
                <w:b/>
                <w:bCs/>
                <w:color w:val="FFFFFF"/>
                <w:sz w:val="20"/>
                <w:szCs w:val="20"/>
              </w:rPr>
            </w:pPr>
            <w:r>
              <w:rPr>
                <w:b/>
                <w:bCs/>
                <w:color w:val="FFFFFF"/>
                <w:sz w:val="20"/>
                <w:szCs w:val="20"/>
              </w:rPr>
              <w:t xml:space="preserve">Benchmark / Source </w:t>
            </w:r>
          </w:p>
        </w:tc>
        <w:tc>
          <w:tcPr>
            <w:tcW w:w="840" w:type="dxa"/>
            <w:shd w:val="clear" w:color="auto" w:fill="2E74B5"/>
            <w:tcMar>
              <w:top w:w="100" w:type="dxa"/>
              <w:left w:w="100" w:type="dxa"/>
              <w:bottom w:w="100" w:type="dxa"/>
              <w:right w:w="100" w:type="dxa"/>
            </w:tcMar>
          </w:tcPr>
          <w:p w14:paraId="19B57541" w14:textId="77777777" w:rsidR="00893D54" w:rsidRDefault="00000000">
            <w:pPr>
              <w:widowControl w:val="0"/>
              <w:pBdr>
                <w:top w:val="nil"/>
                <w:left w:val="nil"/>
                <w:bottom w:val="nil"/>
                <w:right w:val="nil"/>
                <w:between w:val="nil"/>
              </w:pBdr>
              <w:spacing w:after="200" w:line="240" w:lineRule="auto"/>
              <w:ind w:left="144"/>
              <w:rPr>
                <w:b/>
                <w:bCs/>
                <w:color w:val="FFFFFF"/>
                <w:sz w:val="20"/>
                <w:szCs w:val="20"/>
              </w:rPr>
            </w:pPr>
            <w:r>
              <w:rPr>
                <w:b/>
                <w:bCs/>
                <w:color w:val="FFFFFF"/>
                <w:sz w:val="20"/>
                <w:szCs w:val="20"/>
              </w:rPr>
              <w:t xml:space="preserve">Rate </w:t>
            </w:r>
          </w:p>
        </w:tc>
        <w:tc>
          <w:tcPr>
            <w:tcW w:w="2040" w:type="dxa"/>
            <w:shd w:val="clear" w:color="auto" w:fill="2E74B5"/>
            <w:tcMar>
              <w:top w:w="100" w:type="dxa"/>
              <w:left w:w="100" w:type="dxa"/>
              <w:bottom w:w="100" w:type="dxa"/>
              <w:right w:w="100" w:type="dxa"/>
            </w:tcMar>
          </w:tcPr>
          <w:p w14:paraId="61600019" w14:textId="77777777" w:rsidR="00893D54" w:rsidRDefault="00000000">
            <w:pPr>
              <w:widowControl w:val="0"/>
              <w:pBdr>
                <w:top w:val="nil"/>
                <w:left w:val="nil"/>
                <w:bottom w:val="nil"/>
                <w:right w:val="nil"/>
                <w:between w:val="nil"/>
              </w:pBdr>
              <w:spacing w:after="200" w:line="240" w:lineRule="auto"/>
              <w:ind w:left="144"/>
              <w:rPr>
                <w:b/>
                <w:bCs/>
                <w:color w:val="FFFFFF"/>
                <w:sz w:val="20"/>
                <w:szCs w:val="20"/>
              </w:rPr>
            </w:pPr>
            <w:r>
              <w:rPr>
                <w:b/>
                <w:bCs/>
                <w:color w:val="FFFFFF"/>
                <w:sz w:val="20"/>
                <w:szCs w:val="20"/>
              </w:rPr>
              <w:t xml:space="preserve">Population </w:t>
            </w:r>
          </w:p>
        </w:tc>
        <w:tc>
          <w:tcPr>
            <w:tcW w:w="2520" w:type="dxa"/>
            <w:shd w:val="clear" w:color="auto" w:fill="2E74B5"/>
            <w:tcMar>
              <w:top w:w="100" w:type="dxa"/>
              <w:left w:w="100" w:type="dxa"/>
              <w:bottom w:w="100" w:type="dxa"/>
              <w:right w:w="100" w:type="dxa"/>
            </w:tcMar>
          </w:tcPr>
          <w:p w14:paraId="3AF0B5D8" w14:textId="77777777" w:rsidR="00893D54" w:rsidRDefault="00000000">
            <w:pPr>
              <w:widowControl w:val="0"/>
              <w:pBdr>
                <w:top w:val="nil"/>
                <w:left w:val="nil"/>
                <w:bottom w:val="nil"/>
                <w:right w:val="nil"/>
                <w:between w:val="nil"/>
              </w:pBdr>
              <w:spacing w:after="200" w:line="240" w:lineRule="auto"/>
              <w:ind w:left="144"/>
              <w:rPr>
                <w:b/>
                <w:bCs/>
                <w:color w:val="FFFFFF"/>
                <w:sz w:val="20"/>
                <w:szCs w:val="20"/>
              </w:rPr>
            </w:pPr>
            <w:r>
              <w:rPr>
                <w:b/>
                <w:bCs/>
                <w:color w:val="FFFFFF"/>
                <w:sz w:val="20"/>
                <w:szCs w:val="20"/>
              </w:rPr>
              <w:t xml:space="preserve">Notes </w:t>
            </w:r>
          </w:p>
        </w:tc>
        <w:tc>
          <w:tcPr>
            <w:tcW w:w="1559" w:type="dxa"/>
            <w:shd w:val="clear" w:color="auto" w:fill="2E74B5"/>
            <w:tcMar>
              <w:top w:w="100" w:type="dxa"/>
              <w:left w:w="100" w:type="dxa"/>
              <w:bottom w:w="100" w:type="dxa"/>
              <w:right w:w="100" w:type="dxa"/>
            </w:tcMar>
          </w:tcPr>
          <w:p w14:paraId="3F7CF57D" w14:textId="77777777" w:rsidR="00893D54" w:rsidRDefault="00000000">
            <w:pPr>
              <w:widowControl w:val="0"/>
              <w:pBdr>
                <w:top w:val="nil"/>
                <w:left w:val="nil"/>
                <w:bottom w:val="nil"/>
                <w:right w:val="nil"/>
                <w:between w:val="nil"/>
              </w:pBdr>
              <w:spacing w:after="200" w:line="240" w:lineRule="auto"/>
              <w:ind w:left="130"/>
              <w:rPr>
                <w:b/>
                <w:bCs/>
                <w:color w:val="FFFFFF"/>
                <w:sz w:val="20"/>
                <w:szCs w:val="20"/>
              </w:rPr>
            </w:pPr>
            <w:r>
              <w:rPr>
                <w:b/>
                <w:bCs/>
                <w:color w:val="FFFFFF"/>
                <w:sz w:val="20"/>
                <w:szCs w:val="20"/>
              </w:rPr>
              <w:t>WEA Status</w:t>
            </w:r>
          </w:p>
        </w:tc>
      </w:tr>
      <w:tr w:rsidR="00893D54" w14:paraId="7A808ECE" w14:textId="77777777">
        <w:trPr>
          <w:trHeight w:val="1520"/>
        </w:trPr>
        <w:tc>
          <w:tcPr>
            <w:tcW w:w="2400" w:type="dxa"/>
            <w:shd w:val="clear" w:color="auto" w:fill="F4CCCC"/>
            <w:tcMar>
              <w:top w:w="100" w:type="dxa"/>
              <w:left w:w="100" w:type="dxa"/>
              <w:bottom w:w="100" w:type="dxa"/>
              <w:right w:w="100" w:type="dxa"/>
            </w:tcMar>
          </w:tcPr>
          <w:p w14:paraId="07ED867B" w14:textId="77777777" w:rsidR="00893D54" w:rsidRDefault="00000000">
            <w:pPr>
              <w:widowControl w:val="0"/>
              <w:pBdr>
                <w:top w:val="nil"/>
                <w:left w:val="nil"/>
                <w:bottom w:val="nil"/>
                <w:right w:val="nil"/>
                <w:between w:val="nil"/>
              </w:pBdr>
              <w:spacing w:after="200" w:line="240" w:lineRule="auto"/>
              <w:ind w:left="130"/>
              <w:rPr>
                <w:b/>
                <w:bCs/>
                <w:color w:val="000000"/>
                <w:sz w:val="20"/>
                <w:szCs w:val="20"/>
              </w:rPr>
            </w:pPr>
            <w:r>
              <w:rPr>
                <w:b/>
                <w:bCs/>
                <w:color w:val="000000"/>
                <w:sz w:val="20"/>
                <w:szCs w:val="20"/>
              </w:rPr>
              <w:t xml:space="preserve">WEA - </w:t>
            </w:r>
            <w:r>
              <w:rPr>
                <w:b/>
                <w:bCs/>
                <w:sz w:val="20"/>
                <w:szCs w:val="20"/>
              </w:rPr>
              <w:t xml:space="preserve">June </w:t>
            </w:r>
            <w:r>
              <w:rPr>
                <w:b/>
                <w:bCs/>
                <w:color w:val="000000"/>
                <w:sz w:val="20"/>
                <w:szCs w:val="20"/>
              </w:rPr>
              <w:t xml:space="preserve">2026 </w:t>
            </w:r>
          </w:p>
        </w:tc>
        <w:tc>
          <w:tcPr>
            <w:tcW w:w="840" w:type="dxa"/>
            <w:shd w:val="clear" w:color="auto" w:fill="F4CCCC"/>
            <w:tcMar>
              <w:top w:w="100" w:type="dxa"/>
              <w:left w:w="100" w:type="dxa"/>
              <w:bottom w:w="100" w:type="dxa"/>
              <w:right w:w="100" w:type="dxa"/>
            </w:tcMar>
          </w:tcPr>
          <w:p w14:paraId="3E4CD7CD" w14:textId="77777777" w:rsidR="00893D54" w:rsidRDefault="00000000">
            <w:pPr>
              <w:widowControl w:val="0"/>
              <w:pBdr>
                <w:top w:val="nil"/>
                <w:left w:val="nil"/>
                <w:bottom w:val="nil"/>
                <w:right w:val="nil"/>
                <w:between w:val="nil"/>
              </w:pBdr>
              <w:spacing w:after="200" w:line="240" w:lineRule="auto"/>
              <w:ind w:left="137"/>
              <w:rPr>
                <w:b/>
                <w:bCs/>
                <w:color w:val="000000"/>
                <w:sz w:val="20"/>
                <w:szCs w:val="20"/>
              </w:rPr>
            </w:pPr>
            <w:r>
              <w:rPr>
                <w:b/>
                <w:bCs/>
                <w:sz w:val="20"/>
                <w:szCs w:val="20"/>
              </w:rPr>
              <w:t>1</w:t>
            </w:r>
            <w:r>
              <w:rPr>
                <w:b/>
                <w:bCs/>
                <w:color w:val="000000"/>
                <w:sz w:val="20"/>
                <w:szCs w:val="20"/>
              </w:rPr>
              <w:t>.6%</w:t>
            </w:r>
          </w:p>
        </w:tc>
        <w:tc>
          <w:tcPr>
            <w:tcW w:w="2040" w:type="dxa"/>
            <w:shd w:val="clear" w:color="auto" w:fill="F4CCCC"/>
            <w:tcMar>
              <w:top w:w="100" w:type="dxa"/>
              <w:left w:w="100" w:type="dxa"/>
              <w:bottom w:w="100" w:type="dxa"/>
              <w:right w:w="100" w:type="dxa"/>
            </w:tcMar>
          </w:tcPr>
          <w:p w14:paraId="24FFB961" w14:textId="77777777" w:rsidR="00893D54" w:rsidRDefault="00000000">
            <w:pPr>
              <w:widowControl w:val="0"/>
              <w:pBdr>
                <w:top w:val="nil"/>
                <w:left w:val="nil"/>
                <w:bottom w:val="nil"/>
                <w:right w:val="nil"/>
                <w:between w:val="nil"/>
              </w:pBdr>
              <w:spacing w:after="200" w:line="229" w:lineRule="auto"/>
              <w:ind w:left="130" w:right="85" w:firstLine="2"/>
              <w:rPr>
                <w:color w:val="000000"/>
                <w:sz w:val="20"/>
                <w:szCs w:val="20"/>
              </w:rPr>
            </w:pPr>
            <w:r>
              <w:rPr>
                <w:color w:val="000000"/>
                <w:sz w:val="20"/>
                <w:szCs w:val="20"/>
              </w:rPr>
              <w:t xml:space="preserve">WEA patients with </w:t>
            </w:r>
            <w:r>
              <w:rPr>
                <w:sz w:val="20"/>
                <w:szCs w:val="20"/>
              </w:rPr>
              <w:t>June</w:t>
            </w:r>
            <w:r>
              <w:rPr>
                <w:color w:val="000000"/>
                <w:sz w:val="20"/>
                <w:szCs w:val="20"/>
              </w:rPr>
              <w:t xml:space="preserve"> 2026 visit, ages 15–65</w:t>
            </w:r>
          </w:p>
        </w:tc>
        <w:tc>
          <w:tcPr>
            <w:tcW w:w="2520" w:type="dxa"/>
            <w:shd w:val="clear" w:color="auto" w:fill="F4CCCC"/>
            <w:tcMar>
              <w:top w:w="100" w:type="dxa"/>
              <w:left w:w="100" w:type="dxa"/>
              <w:bottom w:w="100" w:type="dxa"/>
              <w:right w:w="100" w:type="dxa"/>
            </w:tcMar>
          </w:tcPr>
          <w:p w14:paraId="017772EB" w14:textId="77777777" w:rsidR="00893D54" w:rsidRDefault="00000000">
            <w:pPr>
              <w:widowControl w:val="0"/>
              <w:pBdr>
                <w:top w:val="nil"/>
                <w:left w:val="nil"/>
                <w:bottom w:val="nil"/>
                <w:right w:val="nil"/>
                <w:between w:val="nil"/>
              </w:pBdr>
              <w:spacing w:after="200" w:line="229" w:lineRule="auto"/>
              <w:ind w:left="137" w:right="73" w:hanging="4"/>
              <w:rPr>
                <w:color w:val="000000"/>
                <w:sz w:val="20"/>
                <w:szCs w:val="20"/>
              </w:rPr>
            </w:pPr>
            <w:r>
              <w:rPr>
                <w:sz w:val="20"/>
                <w:szCs w:val="20"/>
              </w:rPr>
              <w:t>2</w:t>
            </w:r>
            <w:r>
              <w:rPr>
                <w:color w:val="000000"/>
                <w:sz w:val="20"/>
                <w:szCs w:val="20"/>
              </w:rPr>
              <w:t xml:space="preserve"> of 12</w:t>
            </w:r>
            <w:r>
              <w:rPr>
                <w:sz w:val="20"/>
                <w:szCs w:val="20"/>
              </w:rPr>
              <w:t>3</w:t>
            </w:r>
            <w:r>
              <w:rPr>
                <w:color w:val="000000"/>
                <w:sz w:val="20"/>
                <w:szCs w:val="20"/>
              </w:rPr>
              <w:t xml:space="preserve"> patients have a completed</w:t>
            </w:r>
            <w:r>
              <w:rPr>
                <w:sz w:val="20"/>
                <w:szCs w:val="20"/>
              </w:rPr>
              <w:t xml:space="preserve"> </w:t>
            </w:r>
            <w:r>
              <w:rPr>
                <w:color w:val="000000"/>
                <w:sz w:val="20"/>
                <w:szCs w:val="20"/>
              </w:rPr>
              <w:t xml:space="preserve">HIV screen. </w:t>
            </w:r>
          </w:p>
        </w:tc>
        <w:tc>
          <w:tcPr>
            <w:tcW w:w="1559" w:type="dxa"/>
            <w:shd w:val="clear" w:color="auto" w:fill="F4CCCC"/>
            <w:tcMar>
              <w:top w:w="100" w:type="dxa"/>
              <w:left w:w="100" w:type="dxa"/>
              <w:bottom w:w="100" w:type="dxa"/>
              <w:right w:w="100" w:type="dxa"/>
            </w:tcMar>
          </w:tcPr>
          <w:p w14:paraId="5E804915" w14:textId="77777777" w:rsidR="00893D54" w:rsidRDefault="00000000">
            <w:pPr>
              <w:widowControl w:val="0"/>
              <w:pBdr>
                <w:top w:val="nil"/>
                <w:left w:val="nil"/>
                <w:bottom w:val="nil"/>
                <w:right w:val="nil"/>
                <w:between w:val="nil"/>
              </w:pBdr>
              <w:spacing w:after="200" w:line="240" w:lineRule="auto"/>
              <w:ind w:left="139"/>
              <w:rPr>
                <w:b/>
                <w:bCs/>
                <w:color w:val="C00000"/>
                <w:sz w:val="20"/>
                <w:szCs w:val="20"/>
              </w:rPr>
            </w:pPr>
            <w:r>
              <w:rPr>
                <w:b/>
                <w:bCs/>
                <w:color w:val="C00000"/>
                <w:sz w:val="20"/>
                <w:szCs w:val="20"/>
              </w:rPr>
              <w:t>Critical gap</w:t>
            </w:r>
          </w:p>
        </w:tc>
      </w:tr>
      <w:tr w:rsidR="00893D54" w14:paraId="2547E156" w14:textId="77777777">
        <w:trPr>
          <w:trHeight w:val="1280"/>
        </w:trPr>
        <w:tc>
          <w:tcPr>
            <w:tcW w:w="2400" w:type="dxa"/>
            <w:tcMar>
              <w:top w:w="100" w:type="dxa"/>
              <w:left w:w="100" w:type="dxa"/>
              <w:bottom w:w="100" w:type="dxa"/>
              <w:right w:w="100" w:type="dxa"/>
            </w:tcMar>
          </w:tcPr>
          <w:p w14:paraId="30F37AE2" w14:textId="77777777" w:rsidR="00893D54" w:rsidRDefault="00000000">
            <w:pPr>
              <w:widowControl w:val="0"/>
              <w:pBdr>
                <w:top w:val="nil"/>
                <w:left w:val="nil"/>
                <w:bottom w:val="nil"/>
                <w:right w:val="nil"/>
                <w:between w:val="nil"/>
              </w:pBdr>
              <w:spacing w:after="200" w:line="229" w:lineRule="auto"/>
              <w:ind w:left="130" w:right="103" w:firstLine="15"/>
              <w:rPr>
                <w:color w:val="000000"/>
                <w:sz w:val="20"/>
                <w:szCs w:val="20"/>
              </w:rPr>
            </w:pPr>
            <w:r>
              <w:rPr>
                <w:color w:val="000000"/>
                <w:sz w:val="20"/>
                <w:szCs w:val="20"/>
              </w:rPr>
              <w:t>HRSA UDS National Avg. (2023)</w:t>
            </w:r>
          </w:p>
        </w:tc>
        <w:tc>
          <w:tcPr>
            <w:tcW w:w="840" w:type="dxa"/>
            <w:tcMar>
              <w:top w:w="100" w:type="dxa"/>
              <w:left w:w="100" w:type="dxa"/>
              <w:bottom w:w="100" w:type="dxa"/>
              <w:right w:w="100" w:type="dxa"/>
            </w:tcMar>
          </w:tcPr>
          <w:p w14:paraId="07BE084C" w14:textId="77777777" w:rsidR="00893D54" w:rsidRDefault="00000000">
            <w:pPr>
              <w:widowControl w:val="0"/>
              <w:pBdr>
                <w:top w:val="nil"/>
                <w:left w:val="nil"/>
                <w:bottom w:val="nil"/>
                <w:right w:val="nil"/>
                <w:between w:val="nil"/>
              </w:pBdr>
              <w:spacing w:after="200" w:line="240" w:lineRule="auto"/>
              <w:jc w:val="center"/>
              <w:rPr>
                <w:color w:val="000000"/>
                <w:sz w:val="20"/>
                <w:szCs w:val="20"/>
              </w:rPr>
            </w:pPr>
            <w:r>
              <w:rPr>
                <w:color w:val="000000"/>
                <w:sz w:val="20"/>
                <w:szCs w:val="20"/>
              </w:rPr>
              <w:t>~62%</w:t>
            </w:r>
          </w:p>
        </w:tc>
        <w:tc>
          <w:tcPr>
            <w:tcW w:w="2040" w:type="dxa"/>
            <w:tcMar>
              <w:top w:w="100" w:type="dxa"/>
              <w:left w:w="100" w:type="dxa"/>
              <w:bottom w:w="100" w:type="dxa"/>
              <w:right w:w="100" w:type="dxa"/>
            </w:tcMar>
          </w:tcPr>
          <w:p w14:paraId="2050F712" w14:textId="77777777" w:rsidR="00893D54" w:rsidRDefault="00000000">
            <w:pPr>
              <w:widowControl w:val="0"/>
              <w:pBdr>
                <w:top w:val="nil"/>
                <w:left w:val="nil"/>
                <w:bottom w:val="nil"/>
                <w:right w:val="nil"/>
                <w:between w:val="nil"/>
              </w:pBdr>
              <w:spacing w:after="200" w:line="229" w:lineRule="auto"/>
              <w:ind w:left="137" w:right="89" w:firstLine="9"/>
              <w:rPr>
                <w:color w:val="000000"/>
                <w:sz w:val="20"/>
                <w:szCs w:val="20"/>
              </w:rPr>
            </w:pPr>
            <w:r>
              <w:rPr>
                <w:color w:val="000000"/>
                <w:sz w:val="20"/>
                <w:szCs w:val="20"/>
              </w:rPr>
              <w:t>FQHC patients ages 15–65</w:t>
            </w:r>
          </w:p>
        </w:tc>
        <w:tc>
          <w:tcPr>
            <w:tcW w:w="2520" w:type="dxa"/>
            <w:tcMar>
              <w:top w:w="100" w:type="dxa"/>
              <w:left w:w="100" w:type="dxa"/>
              <w:bottom w:w="100" w:type="dxa"/>
              <w:right w:w="100" w:type="dxa"/>
            </w:tcMar>
          </w:tcPr>
          <w:p w14:paraId="5D232E80" w14:textId="77777777" w:rsidR="00893D54" w:rsidRDefault="00000000">
            <w:pPr>
              <w:widowControl w:val="0"/>
              <w:pBdr>
                <w:top w:val="nil"/>
                <w:left w:val="nil"/>
                <w:bottom w:val="nil"/>
                <w:right w:val="nil"/>
                <w:between w:val="nil"/>
              </w:pBdr>
              <w:spacing w:after="200" w:line="229" w:lineRule="auto"/>
              <w:ind w:left="137" w:right="76" w:firstLine="2"/>
              <w:rPr>
                <w:color w:val="000000"/>
                <w:sz w:val="20"/>
                <w:szCs w:val="20"/>
              </w:rPr>
            </w:pPr>
            <w:r>
              <w:rPr>
                <w:color w:val="000000"/>
                <w:sz w:val="20"/>
                <w:szCs w:val="20"/>
              </w:rPr>
              <w:t>CMS349v5; most recent published national average from HRSA BPHC.</w:t>
            </w:r>
          </w:p>
        </w:tc>
        <w:tc>
          <w:tcPr>
            <w:tcW w:w="1559" w:type="dxa"/>
            <w:tcMar>
              <w:top w:w="100" w:type="dxa"/>
              <w:left w:w="100" w:type="dxa"/>
              <w:bottom w:w="100" w:type="dxa"/>
              <w:right w:w="100" w:type="dxa"/>
            </w:tcMar>
          </w:tcPr>
          <w:p w14:paraId="29BBD0D9" w14:textId="77777777" w:rsidR="00893D54" w:rsidRDefault="00000000">
            <w:pPr>
              <w:widowControl w:val="0"/>
              <w:pBdr>
                <w:top w:val="nil"/>
                <w:left w:val="nil"/>
                <w:bottom w:val="nil"/>
                <w:right w:val="nil"/>
                <w:between w:val="nil"/>
              </w:pBdr>
              <w:spacing w:after="200" w:line="240" w:lineRule="auto"/>
              <w:ind w:left="138"/>
              <w:rPr>
                <w:b/>
                <w:bCs/>
                <w:color w:val="C00000"/>
                <w:sz w:val="20"/>
                <w:szCs w:val="20"/>
              </w:rPr>
            </w:pPr>
            <w:r>
              <w:rPr>
                <w:rFonts w:ascii="Arial Unicode MS" w:eastAsia="Arial Unicode MS" w:hAnsi="Arial Unicode MS" w:cs="Arial Unicode MS"/>
                <w:b/>
                <w:bCs/>
                <w:color w:val="C00000"/>
                <w:sz w:val="20"/>
                <w:szCs w:val="20"/>
              </w:rPr>
              <w:t>−</w:t>
            </w:r>
            <w:r>
              <w:rPr>
                <w:b/>
                <w:bCs/>
                <w:color w:val="C00000"/>
                <w:sz w:val="20"/>
                <w:szCs w:val="20"/>
              </w:rPr>
              <w:t>60 pts</w:t>
            </w:r>
          </w:p>
        </w:tc>
      </w:tr>
      <w:tr w:rsidR="00893D54" w14:paraId="4C979934" w14:textId="77777777">
        <w:trPr>
          <w:trHeight w:val="1060"/>
        </w:trPr>
        <w:tc>
          <w:tcPr>
            <w:tcW w:w="2400" w:type="dxa"/>
            <w:tcMar>
              <w:top w:w="100" w:type="dxa"/>
              <w:left w:w="100" w:type="dxa"/>
              <w:bottom w:w="100" w:type="dxa"/>
              <w:right w:w="100" w:type="dxa"/>
            </w:tcMar>
          </w:tcPr>
          <w:p w14:paraId="519C652D" w14:textId="77777777" w:rsidR="00893D54" w:rsidRDefault="00000000">
            <w:pPr>
              <w:widowControl w:val="0"/>
              <w:pBdr>
                <w:top w:val="nil"/>
                <w:left w:val="nil"/>
                <w:bottom w:val="nil"/>
                <w:right w:val="nil"/>
                <w:between w:val="nil"/>
              </w:pBdr>
              <w:spacing w:after="200" w:line="229" w:lineRule="auto"/>
              <w:ind w:left="138" w:right="86" w:firstLine="7"/>
              <w:rPr>
                <w:color w:val="000000"/>
                <w:sz w:val="20"/>
                <w:szCs w:val="20"/>
              </w:rPr>
            </w:pPr>
            <w:r>
              <w:rPr>
                <w:color w:val="000000"/>
                <w:sz w:val="20"/>
                <w:szCs w:val="20"/>
              </w:rPr>
              <w:t>HRSA UDS Top Quartile (NQL)</w:t>
            </w:r>
          </w:p>
        </w:tc>
        <w:tc>
          <w:tcPr>
            <w:tcW w:w="840" w:type="dxa"/>
            <w:tcMar>
              <w:top w:w="100" w:type="dxa"/>
              <w:left w:w="100" w:type="dxa"/>
              <w:bottom w:w="100" w:type="dxa"/>
              <w:right w:w="100" w:type="dxa"/>
            </w:tcMar>
          </w:tcPr>
          <w:p w14:paraId="77E24D61" w14:textId="77777777" w:rsidR="00893D54" w:rsidRDefault="00000000">
            <w:pPr>
              <w:widowControl w:val="0"/>
              <w:pBdr>
                <w:top w:val="nil"/>
                <w:left w:val="nil"/>
                <w:bottom w:val="nil"/>
                <w:right w:val="nil"/>
                <w:between w:val="nil"/>
              </w:pBdr>
              <w:spacing w:after="200" w:line="240" w:lineRule="auto"/>
              <w:jc w:val="center"/>
              <w:rPr>
                <w:color w:val="000000"/>
                <w:sz w:val="20"/>
                <w:szCs w:val="20"/>
              </w:rPr>
            </w:pPr>
            <w:r>
              <w:rPr>
                <w:color w:val="000000"/>
                <w:sz w:val="20"/>
                <w:szCs w:val="20"/>
              </w:rPr>
              <w:t xml:space="preserve">~80% </w:t>
            </w:r>
          </w:p>
          <w:p w14:paraId="3FBF80DE" w14:textId="77777777" w:rsidR="00893D54" w:rsidRDefault="00000000">
            <w:pPr>
              <w:widowControl w:val="0"/>
              <w:pBdr>
                <w:top w:val="nil"/>
                <w:left w:val="nil"/>
                <w:bottom w:val="nil"/>
                <w:right w:val="nil"/>
                <w:between w:val="nil"/>
              </w:pBdr>
              <w:spacing w:after="200" w:line="240" w:lineRule="auto"/>
              <w:ind w:left="141"/>
              <w:rPr>
                <w:color w:val="000000"/>
                <w:sz w:val="20"/>
                <w:szCs w:val="20"/>
              </w:rPr>
            </w:pPr>
            <w:r>
              <w:rPr>
                <w:color w:val="000000"/>
                <w:sz w:val="20"/>
                <w:szCs w:val="20"/>
              </w:rPr>
              <w:t>+</w:t>
            </w:r>
          </w:p>
        </w:tc>
        <w:tc>
          <w:tcPr>
            <w:tcW w:w="2040" w:type="dxa"/>
            <w:tcMar>
              <w:top w:w="100" w:type="dxa"/>
              <w:left w:w="100" w:type="dxa"/>
              <w:bottom w:w="100" w:type="dxa"/>
              <w:right w:w="100" w:type="dxa"/>
            </w:tcMar>
          </w:tcPr>
          <w:p w14:paraId="30BF9D71" w14:textId="77777777" w:rsidR="00893D54" w:rsidRDefault="00000000">
            <w:pPr>
              <w:widowControl w:val="0"/>
              <w:pBdr>
                <w:top w:val="nil"/>
                <w:left w:val="nil"/>
                <w:bottom w:val="nil"/>
                <w:right w:val="nil"/>
                <w:between w:val="nil"/>
              </w:pBdr>
              <w:spacing w:after="200" w:line="229" w:lineRule="auto"/>
              <w:ind w:left="137" w:right="89" w:firstLine="9"/>
              <w:rPr>
                <w:color w:val="000000"/>
                <w:sz w:val="20"/>
                <w:szCs w:val="20"/>
              </w:rPr>
            </w:pPr>
            <w:r>
              <w:rPr>
                <w:color w:val="000000"/>
                <w:sz w:val="20"/>
                <w:szCs w:val="20"/>
              </w:rPr>
              <w:t>FQHC patients ages 15–65</w:t>
            </w:r>
          </w:p>
        </w:tc>
        <w:tc>
          <w:tcPr>
            <w:tcW w:w="2520" w:type="dxa"/>
            <w:tcMar>
              <w:top w:w="100" w:type="dxa"/>
              <w:left w:w="100" w:type="dxa"/>
              <w:bottom w:w="100" w:type="dxa"/>
              <w:right w:w="100" w:type="dxa"/>
            </w:tcMar>
          </w:tcPr>
          <w:p w14:paraId="4207B4E5" w14:textId="77777777" w:rsidR="00893D54" w:rsidRDefault="00000000">
            <w:pPr>
              <w:widowControl w:val="0"/>
              <w:pBdr>
                <w:top w:val="nil"/>
                <w:left w:val="nil"/>
                <w:bottom w:val="nil"/>
                <w:right w:val="nil"/>
                <w:between w:val="nil"/>
              </w:pBdr>
              <w:spacing w:after="200" w:line="229" w:lineRule="auto"/>
              <w:ind w:left="137" w:right="98" w:firstLine="8"/>
              <w:rPr>
                <w:color w:val="000000"/>
                <w:sz w:val="20"/>
                <w:szCs w:val="20"/>
              </w:rPr>
            </w:pPr>
            <w:r>
              <w:rPr>
                <w:color w:val="000000"/>
                <w:sz w:val="20"/>
                <w:szCs w:val="20"/>
              </w:rPr>
              <w:t>National Quality Leader badge threshold; adjusted quartile ranking.</w:t>
            </w:r>
          </w:p>
        </w:tc>
        <w:tc>
          <w:tcPr>
            <w:tcW w:w="1559" w:type="dxa"/>
            <w:tcMar>
              <w:top w:w="100" w:type="dxa"/>
              <w:left w:w="100" w:type="dxa"/>
              <w:bottom w:w="100" w:type="dxa"/>
              <w:right w:w="100" w:type="dxa"/>
            </w:tcMar>
          </w:tcPr>
          <w:p w14:paraId="3CB37B8D" w14:textId="77777777" w:rsidR="00893D54" w:rsidRDefault="00000000">
            <w:pPr>
              <w:widowControl w:val="0"/>
              <w:pBdr>
                <w:top w:val="nil"/>
                <w:left w:val="nil"/>
                <w:bottom w:val="nil"/>
                <w:right w:val="nil"/>
                <w:between w:val="nil"/>
              </w:pBdr>
              <w:spacing w:after="200" w:line="240" w:lineRule="auto"/>
              <w:ind w:left="138"/>
              <w:rPr>
                <w:b/>
                <w:bCs/>
                <w:color w:val="C00000"/>
                <w:sz w:val="20"/>
                <w:szCs w:val="20"/>
              </w:rPr>
            </w:pPr>
            <w:r>
              <w:rPr>
                <w:rFonts w:ascii="Arial Unicode MS" w:eastAsia="Arial Unicode MS" w:hAnsi="Arial Unicode MS" w:cs="Arial Unicode MS"/>
                <w:b/>
                <w:bCs/>
                <w:color w:val="C00000"/>
                <w:sz w:val="20"/>
                <w:szCs w:val="20"/>
              </w:rPr>
              <w:t>−7</w:t>
            </w:r>
            <w:r>
              <w:rPr>
                <w:b/>
                <w:bCs/>
                <w:color w:val="C00000"/>
                <w:sz w:val="20"/>
                <w:szCs w:val="20"/>
              </w:rPr>
              <w:t>8 pts</w:t>
            </w:r>
          </w:p>
        </w:tc>
      </w:tr>
      <w:tr w:rsidR="00893D54" w14:paraId="4DE2C10E" w14:textId="77777777">
        <w:trPr>
          <w:trHeight w:val="1740"/>
        </w:trPr>
        <w:tc>
          <w:tcPr>
            <w:tcW w:w="2400" w:type="dxa"/>
            <w:tcMar>
              <w:top w:w="100" w:type="dxa"/>
              <w:left w:w="100" w:type="dxa"/>
              <w:bottom w:w="100" w:type="dxa"/>
              <w:right w:w="100" w:type="dxa"/>
            </w:tcMar>
          </w:tcPr>
          <w:p w14:paraId="6EDD3695" w14:textId="77777777" w:rsidR="00893D54" w:rsidRDefault="00000000">
            <w:pPr>
              <w:widowControl w:val="0"/>
              <w:pBdr>
                <w:top w:val="nil"/>
                <w:left w:val="nil"/>
                <w:bottom w:val="nil"/>
                <w:right w:val="nil"/>
                <w:between w:val="nil"/>
              </w:pBdr>
              <w:spacing w:after="200" w:line="240" w:lineRule="auto"/>
              <w:ind w:left="145"/>
              <w:rPr>
                <w:color w:val="000000"/>
                <w:sz w:val="20"/>
                <w:szCs w:val="20"/>
              </w:rPr>
            </w:pPr>
            <w:r>
              <w:rPr>
                <w:color w:val="000000"/>
                <w:sz w:val="20"/>
                <w:szCs w:val="20"/>
              </w:rPr>
              <w:lastRenderedPageBreak/>
              <w:t xml:space="preserve">HEDIS (MY 2026) </w:t>
            </w:r>
          </w:p>
        </w:tc>
        <w:tc>
          <w:tcPr>
            <w:tcW w:w="840" w:type="dxa"/>
            <w:tcMar>
              <w:top w:w="100" w:type="dxa"/>
              <w:left w:w="100" w:type="dxa"/>
              <w:bottom w:w="100" w:type="dxa"/>
              <w:right w:w="100" w:type="dxa"/>
            </w:tcMar>
          </w:tcPr>
          <w:p w14:paraId="3783D20A" w14:textId="77777777" w:rsidR="00893D54" w:rsidRDefault="00000000">
            <w:pPr>
              <w:widowControl w:val="0"/>
              <w:pBdr>
                <w:top w:val="nil"/>
                <w:left w:val="nil"/>
                <w:bottom w:val="nil"/>
                <w:right w:val="nil"/>
                <w:between w:val="nil"/>
              </w:pBdr>
              <w:spacing w:after="200" w:line="240" w:lineRule="auto"/>
              <w:ind w:left="145"/>
              <w:rPr>
                <w:color w:val="000000"/>
                <w:sz w:val="20"/>
                <w:szCs w:val="20"/>
              </w:rPr>
            </w:pPr>
            <w:r>
              <w:rPr>
                <w:color w:val="000000"/>
                <w:sz w:val="20"/>
                <w:szCs w:val="20"/>
              </w:rPr>
              <w:t>N/A</w:t>
            </w:r>
          </w:p>
        </w:tc>
        <w:tc>
          <w:tcPr>
            <w:tcW w:w="2040" w:type="dxa"/>
            <w:tcMar>
              <w:top w:w="100" w:type="dxa"/>
              <w:left w:w="100" w:type="dxa"/>
              <w:bottom w:w="100" w:type="dxa"/>
              <w:right w:w="100" w:type="dxa"/>
            </w:tcMar>
          </w:tcPr>
          <w:p w14:paraId="571D904A" w14:textId="77777777" w:rsidR="00893D54" w:rsidRDefault="00000000">
            <w:pPr>
              <w:widowControl w:val="0"/>
              <w:pBdr>
                <w:top w:val="nil"/>
                <w:left w:val="nil"/>
                <w:bottom w:val="nil"/>
                <w:right w:val="nil"/>
                <w:between w:val="nil"/>
              </w:pBdr>
              <w:spacing w:after="200" w:line="229" w:lineRule="auto"/>
              <w:ind w:left="144" w:right="99" w:hanging="4"/>
              <w:rPr>
                <w:color w:val="000000"/>
                <w:sz w:val="20"/>
                <w:szCs w:val="20"/>
              </w:rPr>
            </w:pPr>
            <w:r>
              <w:rPr>
                <w:color w:val="000000"/>
                <w:sz w:val="20"/>
                <w:szCs w:val="20"/>
              </w:rPr>
              <w:t>Commercial / Medicaid enrollees</w:t>
            </w:r>
          </w:p>
        </w:tc>
        <w:tc>
          <w:tcPr>
            <w:tcW w:w="2520" w:type="dxa"/>
            <w:tcMar>
              <w:top w:w="100" w:type="dxa"/>
              <w:left w:w="100" w:type="dxa"/>
              <w:bottom w:w="100" w:type="dxa"/>
              <w:right w:w="100" w:type="dxa"/>
            </w:tcMar>
          </w:tcPr>
          <w:p w14:paraId="24354BBD" w14:textId="77777777" w:rsidR="00893D54" w:rsidRDefault="00000000">
            <w:pPr>
              <w:widowControl w:val="0"/>
              <w:pBdr>
                <w:top w:val="nil"/>
                <w:left w:val="nil"/>
                <w:bottom w:val="nil"/>
                <w:right w:val="nil"/>
                <w:between w:val="nil"/>
              </w:pBdr>
              <w:spacing w:after="200" w:line="229" w:lineRule="auto"/>
              <w:ind w:left="131" w:right="66" w:firstLine="13"/>
              <w:rPr>
                <w:color w:val="000000"/>
                <w:sz w:val="20"/>
                <w:szCs w:val="20"/>
              </w:rPr>
            </w:pPr>
            <w:r>
              <w:rPr>
                <w:color w:val="000000"/>
                <w:sz w:val="20"/>
                <w:szCs w:val="20"/>
              </w:rPr>
              <w:t>No standalone HIV screening rate measure. HIV measures in HEDIS are monitoring measures for known-positive patients only.</w:t>
            </w:r>
          </w:p>
        </w:tc>
        <w:tc>
          <w:tcPr>
            <w:tcW w:w="1559" w:type="dxa"/>
            <w:tcMar>
              <w:top w:w="100" w:type="dxa"/>
              <w:left w:w="100" w:type="dxa"/>
              <w:bottom w:w="100" w:type="dxa"/>
              <w:right w:w="100" w:type="dxa"/>
            </w:tcMar>
          </w:tcPr>
          <w:p w14:paraId="2BA757DF" w14:textId="77777777" w:rsidR="00893D54" w:rsidRDefault="00000000">
            <w:pPr>
              <w:widowControl w:val="0"/>
              <w:pBdr>
                <w:top w:val="nil"/>
                <w:left w:val="nil"/>
                <w:bottom w:val="nil"/>
                <w:right w:val="nil"/>
                <w:between w:val="nil"/>
              </w:pBdr>
              <w:spacing w:after="200" w:line="240" w:lineRule="auto"/>
              <w:jc w:val="center"/>
              <w:rPr>
                <w:color w:val="000000"/>
                <w:sz w:val="20"/>
                <w:szCs w:val="20"/>
              </w:rPr>
            </w:pPr>
            <w:r>
              <w:rPr>
                <w:color w:val="000000"/>
                <w:sz w:val="20"/>
                <w:szCs w:val="20"/>
              </w:rPr>
              <w:t>Not applicable</w:t>
            </w:r>
          </w:p>
        </w:tc>
      </w:tr>
    </w:tbl>
    <w:p w14:paraId="0F151506" w14:textId="77777777" w:rsidR="00893D54" w:rsidRDefault="00893D54">
      <w:pPr>
        <w:widowControl w:val="0"/>
        <w:pBdr>
          <w:top w:val="nil"/>
          <w:left w:val="nil"/>
          <w:bottom w:val="nil"/>
          <w:right w:val="nil"/>
          <w:between w:val="nil"/>
        </w:pBdr>
        <w:rPr>
          <w:color w:val="000000"/>
        </w:rPr>
      </w:pPr>
    </w:p>
    <w:p w14:paraId="36D43FFA" w14:textId="77777777" w:rsidR="00893D54" w:rsidRDefault="00893D54">
      <w:pPr>
        <w:widowControl w:val="0"/>
        <w:pBdr>
          <w:top w:val="nil"/>
          <w:left w:val="nil"/>
          <w:bottom w:val="nil"/>
          <w:right w:val="nil"/>
          <w:between w:val="nil"/>
        </w:pBdr>
        <w:rPr>
          <w:color w:val="000000"/>
        </w:rPr>
      </w:pPr>
    </w:p>
    <w:p w14:paraId="07A72786" w14:textId="77777777" w:rsidR="00893D54" w:rsidRDefault="00000000">
      <w:pPr>
        <w:widowControl w:val="0"/>
        <w:pBdr>
          <w:top w:val="nil"/>
          <w:left w:val="nil"/>
          <w:bottom w:val="nil"/>
          <w:right w:val="nil"/>
          <w:between w:val="nil"/>
        </w:pBdr>
        <w:spacing w:line="240" w:lineRule="auto"/>
        <w:ind w:left="9"/>
        <w:rPr>
          <w:b/>
          <w:bCs/>
          <w:i/>
          <w:iCs/>
          <w:color w:val="000000"/>
          <w:sz w:val="20"/>
          <w:szCs w:val="20"/>
        </w:rPr>
      </w:pPr>
      <w:r>
        <w:rPr>
          <w:b/>
          <w:bCs/>
          <w:i/>
          <w:iCs/>
          <w:color w:val="000000"/>
          <w:sz w:val="20"/>
          <w:szCs w:val="20"/>
        </w:rPr>
        <w:t xml:space="preserve">pts - Percentage Points </w:t>
      </w:r>
    </w:p>
    <w:p w14:paraId="32A40105" w14:textId="77777777" w:rsidR="00893D54" w:rsidRDefault="00000000">
      <w:pPr>
        <w:widowControl w:val="0"/>
        <w:pBdr>
          <w:top w:val="nil"/>
          <w:left w:val="nil"/>
          <w:bottom w:val="nil"/>
          <w:right w:val="nil"/>
          <w:between w:val="nil"/>
        </w:pBdr>
        <w:spacing w:before="195" w:line="230" w:lineRule="auto"/>
        <w:ind w:left="16" w:right="12" w:firstLine="9"/>
        <w:jc w:val="both"/>
        <w:rPr>
          <w:color w:val="000000"/>
        </w:rPr>
      </w:pPr>
      <w:r>
        <w:rPr>
          <w:b/>
          <w:bCs/>
          <w:color w:val="000000"/>
        </w:rPr>
        <w:t xml:space="preserve">Note: </w:t>
      </w:r>
      <w:r>
        <w:rPr>
          <w:color w:val="777777"/>
          <w:sz w:val="20"/>
          <w:szCs w:val="20"/>
        </w:rPr>
        <w:t xml:space="preserve">HEDIS does not publish a direct comparator for annual HIV screening rate. The primary external benchmark for this WEA measure is the HRSA UDS CMS349v5 national average. Age restriction for the denominator follows UDS criteria: patients 15–65 years of age. </w:t>
      </w:r>
    </w:p>
    <w:p w14:paraId="58C7DF47" w14:textId="77777777" w:rsidR="00893D54" w:rsidRDefault="00893D54">
      <w:pPr>
        <w:widowControl w:val="0"/>
        <w:pBdr>
          <w:top w:val="nil"/>
          <w:left w:val="nil"/>
          <w:bottom w:val="nil"/>
          <w:right w:val="nil"/>
          <w:between w:val="nil"/>
        </w:pBdr>
      </w:pPr>
    </w:p>
    <w:p w14:paraId="06CD850E" w14:textId="77777777" w:rsidR="00893D54" w:rsidRDefault="00000000">
      <w:pPr>
        <w:widowControl w:val="0"/>
        <w:spacing w:line="240" w:lineRule="auto"/>
        <w:rPr>
          <w:b/>
          <w:bCs/>
          <w:color w:val="1F4E79"/>
          <w:sz w:val="28"/>
          <w:szCs w:val="28"/>
        </w:rPr>
      </w:pPr>
      <w:r>
        <w:rPr>
          <w:b/>
          <w:bCs/>
          <w:color w:val="1F4E79"/>
          <w:sz w:val="28"/>
          <w:szCs w:val="28"/>
        </w:rPr>
        <w:t>Understanding Benchmark Comparisons</w:t>
      </w:r>
    </w:p>
    <w:p w14:paraId="157630E5" w14:textId="77777777" w:rsidR="00893D54" w:rsidRDefault="00893D54">
      <w:pPr>
        <w:widowControl w:val="0"/>
        <w:spacing w:line="240" w:lineRule="auto"/>
        <w:rPr>
          <w:sz w:val="20"/>
          <w:szCs w:val="20"/>
        </w:rPr>
      </w:pPr>
    </w:p>
    <w:p w14:paraId="723E8D9E" w14:textId="4A6A9917" w:rsidR="00893D54" w:rsidRDefault="00000000">
      <w:pPr>
        <w:widowControl w:val="0"/>
        <w:spacing w:line="240" w:lineRule="auto"/>
      </w:pPr>
      <w:r>
        <w:t xml:space="preserve">WEA’s June 2026 HIV screening rate was 1.6% (2 of 123 eligible patients), substantially below the HRSA UDS national average of approximately 62% and the estimated top-quartile performance of approximately 80% or greater. These comparisons indicate a significant quality gap and highlight the need for targeted interventions to increase routine HIV screening among eligible patients. Because HEDIS does not include a standalone measure for routine HIV screening in the general population, the HRSA UDS CMS349v5 measure serves as the most appropriate benchmark for evaluating WEA’s performance. A limitation of note is </w:t>
      </w:r>
      <w:r w:rsidR="009C4BBF">
        <w:t xml:space="preserve">that </w:t>
      </w:r>
      <w:r>
        <w:t>this benchmark comparison to WEA’s HIV screening rate is based on a single month, while the HRSA UDS benchmarks are based on annual organization-level rates.</w:t>
      </w:r>
    </w:p>
    <w:p w14:paraId="64CBCABA" w14:textId="77777777" w:rsidR="00893D54" w:rsidRDefault="00893D54">
      <w:pPr>
        <w:widowControl w:val="0"/>
        <w:spacing w:line="240" w:lineRule="auto"/>
        <w:rPr>
          <w:b/>
          <w:bCs/>
          <w:color w:val="1F4E79"/>
        </w:rPr>
      </w:pPr>
    </w:p>
    <w:p w14:paraId="792D23CC" w14:textId="77777777" w:rsidR="00893D54" w:rsidRDefault="00000000">
      <w:pPr>
        <w:widowControl w:val="0"/>
        <w:pBdr>
          <w:top w:val="nil"/>
          <w:left w:val="nil"/>
          <w:bottom w:val="nil"/>
          <w:right w:val="nil"/>
          <w:between w:val="nil"/>
        </w:pBdr>
        <w:spacing w:line="240" w:lineRule="auto"/>
        <w:ind w:left="29"/>
        <w:rPr>
          <w:b/>
          <w:bCs/>
          <w:color w:val="1F4E79"/>
          <w:sz w:val="28"/>
          <w:szCs w:val="28"/>
        </w:rPr>
      </w:pPr>
      <w:r>
        <w:rPr>
          <w:b/>
          <w:bCs/>
          <w:color w:val="1F4E79"/>
          <w:sz w:val="28"/>
          <w:szCs w:val="28"/>
        </w:rPr>
        <w:t xml:space="preserve">Improvement Tactics </w:t>
      </w:r>
    </w:p>
    <w:p w14:paraId="53C34E55" w14:textId="77777777" w:rsidR="00893D54" w:rsidRDefault="00000000">
      <w:pPr>
        <w:widowControl w:val="0"/>
        <w:pBdr>
          <w:top w:val="nil"/>
          <w:left w:val="nil"/>
          <w:bottom w:val="nil"/>
          <w:right w:val="nil"/>
          <w:between w:val="nil"/>
        </w:pBdr>
        <w:spacing w:before="237" w:line="240" w:lineRule="auto"/>
        <w:ind w:left="15"/>
        <w:rPr>
          <w:b/>
          <w:bCs/>
          <w:color w:val="2E74B5"/>
          <w:sz w:val="24"/>
          <w:szCs w:val="24"/>
        </w:rPr>
      </w:pPr>
      <w:r>
        <w:rPr>
          <w:b/>
          <w:bCs/>
          <w:color w:val="2E74B5"/>
          <w:sz w:val="24"/>
          <w:szCs w:val="24"/>
        </w:rPr>
        <w:t xml:space="preserve">Tactic 1 - Adopt opt-out testing language [In Progress] </w:t>
      </w:r>
    </w:p>
    <w:p w14:paraId="06A0EB13" w14:textId="77777777" w:rsidR="00893D54" w:rsidRDefault="00000000">
      <w:pPr>
        <w:widowControl w:val="0"/>
        <w:pBdr>
          <w:top w:val="nil"/>
          <w:left w:val="nil"/>
          <w:bottom w:val="nil"/>
          <w:right w:val="nil"/>
          <w:between w:val="nil"/>
        </w:pBdr>
        <w:spacing w:before="198" w:line="229" w:lineRule="auto"/>
        <w:ind w:left="13" w:right="3"/>
        <w:jc w:val="both"/>
        <w:rPr>
          <w:color w:val="000000"/>
          <w:sz w:val="20"/>
          <w:szCs w:val="20"/>
        </w:rPr>
      </w:pPr>
      <w:r>
        <w:rPr>
          <w:color w:val="000000"/>
          <w:sz w:val="20"/>
          <w:szCs w:val="20"/>
        </w:rPr>
        <w:t xml:space="preserve">Train all clinical staff to present HIV testing as a routine, expected part of care. Script development and staff training materials to be coordinated through CPRC. Opt-out framing aligns with CDC and USPSTF guidelines and is associated with significantly higher screening uptake in community health settings. </w:t>
      </w:r>
    </w:p>
    <w:p w14:paraId="6666E35C" w14:textId="77777777" w:rsidR="00893D54" w:rsidRDefault="00000000">
      <w:pPr>
        <w:widowControl w:val="0"/>
        <w:pBdr>
          <w:top w:val="nil"/>
          <w:left w:val="nil"/>
          <w:bottom w:val="nil"/>
          <w:right w:val="nil"/>
          <w:between w:val="nil"/>
        </w:pBdr>
        <w:spacing w:before="242" w:line="240" w:lineRule="auto"/>
        <w:ind w:left="15"/>
        <w:rPr>
          <w:b/>
          <w:bCs/>
          <w:color w:val="2E74B5"/>
          <w:sz w:val="24"/>
          <w:szCs w:val="24"/>
        </w:rPr>
      </w:pPr>
      <w:r>
        <w:rPr>
          <w:b/>
          <w:bCs/>
          <w:color w:val="2E74B5"/>
          <w:sz w:val="24"/>
          <w:szCs w:val="24"/>
        </w:rPr>
        <w:t xml:space="preserve">Tactic 2 - Tie-in with initial medical visits [In Progress] </w:t>
      </w:r>
    </w:p>
    <w:p w14:paraId="142D27C0" w14:textId="77777777" w:rsidR="00893D54" w:rsidRDefault="00000000">
      <w:pPr>
        <w:widowControl w:val="0"/>
        <w:pBdr>
          <w:top w:val="nil"/>
          <w:left w:val="nil"/>
          <w:bottom w:val="nil"/>
          <w:right w:val="nil"/>
          <w:between w:val="nil"/>
        </w:pBdr>
        <w:spacing w:before="198" w:line="229" w:lineRule="auto"/>
        <w:ind w:left="17" w:right="10" w:firstLine="8"/>
        <w:rPr>
          <w:color w:val="000000"/>
          <w:sz w:val="20"/>
          <w:szCs w:val="20"/>
        </w:rPr>
      </w:pPr>
      <w:r>
        <w:rPr>
          <w:color w:val="000000"/>
          <w:sz w:val="20"/>
          <w:szCs w:val="20"/>
        </w:rPr>
        <w:t xml:space="preserve">Embed HIV screening into the workflow of all initial provider visits across sites. For patients who have already completed initial visits without screening, schedule nurse visits to close testing gaps. </w:t>
      </w:r>
    </w:p>
    <w:p w14:paraId="235AB6BC" w14:textId="77777777" w:rsidR="00893D54" w:rsidRDefault="00000000">
      <w:pPr>
        <w:widowControl w:val="0"/>
        <w:pBdr>
          <w:top w:val="nil"/>
          <w:left w:val="nil"/>
          <w:bottom w:val="nil"/>
          <w:right w:val="nil"/>
          <w:between w:val="nil"/>
        </w:pBdr>
        <w:spacing w:before="202" w:line="240" w:lineRule="auto"/>
        <w:ind w:left="15"/>
        <w:rPr>
          <w:b/>
          <w:bCs/>
          <w:color w:val="2E74B5"/>
          <w:sz w:val="24"/>
          <w:szCs w:val="24"/>
        </w:rPr>
      </w:pPr>
      <w:r>
        <w:rPr>
          <w:b/>
          <w:bCs/>
          <w:color w:val="2E74B5"/>
          <w:sz w:val="24"/>
          <w:szCs w:val="24"/>
        </w:rPr>
        <w:t xml:space="preserve">Tactic 3 </w:t>
      </w:r>
      <w:r>
        <w:rPr>
          <w:color w:val="000000"/>
          <w:sz w:val="20"/>
          <w:szCs w:val="20"/>
        </w:rPr>
        <w:t xml:space="preserve">- </w:t>
      </w:r>
      <w:r>
        <w:rPr>
          <w:b/>
          <w:bCs/>
          <w:color w:val="2E74B5"/>
          <w:sz w:val="24"/>
          <w:szCs w:val="24"/>
        </w:rPr>
        <w:t xml:space="preserve">Patient incentives [Under Evaluation] </w:t>
      </w:r>
    </w:p>
    <w:p w14:paraId="6A2116CC" w14:textId="77777777" w:rsidR="00893D54" w:rsidRDefault="00000000">
      <w:pPr>
        <w:widowControl w:val="0"/>
        <w:pBdr>
          <w:top w:val="nil"/>
          <w:left w:val="nil"/>
          <w:bottom w:val="nil"/>
          <w:right w:val="nil"/>
          <w:between w:val="nil"/>
        </w:pBdr>
        <w:spacing w:before="198" w:line="240" w:lineRule="auto"/>
        <w:ind w:left="14"/>
        <w:rPr>
          <w:color w:val="000000"/>
          <w:sz w:val="20"/>
          <w:szCs w:val="20"/>
        </w:rPr>
      </w:pPr>
      <w:r>
        <w:rPr>
          <w:color w:val="000000"/>
          <w:sz w:val="20"/>
          <w:szCs w:val="20"/>
        </w:rPr>
        <w:t xml:space="preserve">TBD by CPRC </w:t>
      </w:r>
    </w:p>
    <w:p w14:paraId="12747B69" w14:textId="77777777" w:rsidR="00893D54" w:rsidRDefault="00893D54">
      <w:pPr>
        <w:widowControl w:val="0"/>
        <w:spacing w:line="240" w:lineRule="auto"/>
        <w:ind w:left="29"/>
        <w:rPr>
          <w:b/>
          <w:bCs/>
          <w:color w:val="1F4E79"/>
          <w:sz w:val="28"/>
          <w:szCs w:val="28"/>
        </w:rPr>
      </w:pPr>
    </w:p>
    <w:p w14:paraId="19AF22D2" w14:textId="77777777" w:rsidR="00893D54" w:rsidRDefault="00000000">
      <w:pPr>
        <w:widowControl w:val="0"/>
        <w:spacing w:line="240" w:lineRule="auto"/>
        <w:ind w:left="29"/>
        <w:rPr>
          <w:b/>
          <w:bCs/>
          <w:color w:val="1F4E79"/>
          <w:sz w:val="28"/>
          <w:szCs w:val="28"/>
        </w:rPr>
      </w:pPr>
      <w:r>
        <w:rPr>
          <w:b/>
          <w:bCs/>
          <w:color w:val="1F4E79"/>
          <w:sz w:val="28"/>
          <w:szCs w:val="28"/>
        </w:rPr>
        <w:t xml:space="preserve">Expanded Improvement Tactics </w:t>
      </w:r>
    </w:p>
    <w:p w14:paraId="6ED78430" w14:textId="77777777" w:rsidR="00893D54" w:rsidRDefault="00893D54">
      <w:pPr>
        <w:widowControl w:val="0"/>
        <w:spacing w:line="240" w:lineRule="auto"/>
        <w:ind w:left="29"/>
        <w:rPr>
          <w:b/>
          <w:bCs/>
          <w:color w:val="1F4E79"/>
          <w:sz w:val="28"/>
          <w:szCs w:val="28"/>
        </w:rPr>
      </w:pPr>
    </w:p>
    <w:p w14:paraId="5CF72497" w14:textId="77777777" w:rsidR="00893D54" w:rsidRDefault="00000000">
      <w:pPr>
        <w:widowControl w:val="0"/>
        <w:spacing w:line="240" w:lineRule="auto"/>
        <w:ind w:left="29"/>
        <w:rPr>
          <w:b/>
          <w:bCs/>
          <w:color w:val="2E74B5"/>
          <w:sz w:val="24"/>
          <w:szCs w:val="24"/>
        </w:rPr>
      </w:pPr>
      <w:r>
        <w:rPr>
          <w:b/>
          <w:bCs/>
          <w:color w:val="2E74B5"/>
          <w:sz w:val="24"/>
          <w:szCs w:val="24"/>
        </w:rPr>
        <w:t>Tactic 1 - HIV Screening Initiative [Proposed]</w:t>
      </w:r>
    </w:p>
    <w:p w14:paraId="10439824" w14:textId="2CA1F040" w:rsidR="00893D54" w:rsidRDefault="00000000">
      <w:pPr>
        <w:widowControl w:val="0"/>
        <w:spacing w:before="237" w:line="240" w:lineRule="auto"/>
        <w:ind w:left="15"/>
        <w:rPr>
          <w:sz w:val="20"/>
          <w:szCs w:val="20"/>
        </w:rPr>
      </w:pPr>
      <w:r>
        <w:rPr>
          <w:sz w:val="20"/>
          <w:szCs w:val="20"/>
        </w:rPr>
        <w:t xml:space="preserve">Create specified office/street medicine coordination days which focus on promoting and facilitating HIV </w:t>
      </w:r>
      <w:r>
        <w:rPr>
          <w:sz w:val="20"/>
          <w:szCs w:val="20"/>
        </w:rPr>
        <w:lastRenderedPageBreak/>
        <w:t>screenings. This can be done annually</w:t>
      </w:r>
      <w:r w:rsidR="009C4BBF">
        <w:rPr>
          <w:sz w:val="20"/>
          <w:szCs w:val="20"/>
        </w:rPr>
        <w:t>,</w:t>
      </w:r>
      <w:r>
        <w:rPr>
          <w:sz w:val="20"/>
          <w:szCs w:val="20"/>
        </w:rPr>
        <w:t xml:space="preserve"> such as on HIV awareness day or other dates</w:t>
      </w:r>
      <w:r w:rsidR="009C4BBF">
        <w:rPr>
          <w:sz w:val="20"/>
          <w:szCs w:val="20"/>
        </w:rPr>
        <w:t>,</w:t>
      </w:r>
      <w:r>
        <w:rPr>
          <w:sz w:val="20"/>
          <w:szCs w:val="20"/>
        </w:rPr>
        <w:t xml:space="preserve"> as a conjoined effort across all WEA offices to increase the uptake of HIV screenings. Patient incentives, which have been already proposed as an improvement tactic, can also be paired with this initiative.</w:t>
      </w:r>
    </w:p>
    <w:p w14:paraId="0C30440B" w14:textId="77777777" w:rsidR="00893D54" w:rsidRDefault="00000000">
      <w:pPr>
        <w:widowControl w:val="0"/>
        <w:spacing w:before="237" w:line="240" w:lineRule="auto"/>
        <w:ind w:left="15"/>
        <w:rPr>
          <w:b/>
          <w:bCs/>
          <w:color w:val="2E74B5"/>
          <w:sz w:val="24"/>
          <w:szCs w:val="24"/>
        </w:rPr>
      </w:pPr>
      <w:r>
        <w:rPr>
          <w:b/>
          <w:bCs/>
          <w:color w:val="2E74B5"/>
          <w:sz w:val="24"/>
          <w:szCs w:val="24"/>
        </w:rPr>
        <w:t>Tactic 2 - Patient Education (Tie-in with opt-out testing language) [Proposed]</w:t>
      </w:r>
    </w:p>
    <w:p w14:paraId="32AF1EDB" w14:textId="77777777" w:rsidR="00893D54" w:rsidRDefault="00893D54">
      <w:pPr>
        <w:rPr>
          <w:sz w:val="20"/>
          <w:szCs w:val="20"/>
        </w:rPr>
      </w:pPr>
    </w:p>
    <w:p w14:paraId="033F8EA1" w14:textId="77777777" w:rsidR="00893D54" w:rsidRDefault="00000000">
      <w:pPr>
        <w:rPr>
          <w:sz w:val="20"/>
          <w:szCs w:val="20"/>
        </w:rPr>
      </w:pPr>
      <w:r>
        <w:rPr>
          <w:sz w:val="20"/>
          <w:szCs w:val="20"/>
        </w:rPr>
        <w:t xml:space="preserve">WEA largely provides care to individuals who are at risk for HIV and other infectious diseases. These individuals include those who are unhoused and facing substance abuse. With this high-risk population, it is essential that WEA staff address any gaps that lie between the need for HIV screenings and patient perception of such screenings. To address patient education regarding HIV screenings, Opt-out testing script and staff training materials should include plain-language, culturally responsive communication strategies that reflect the health literacy needs of the populations served by WEA offices. Providers and staff should be prepared to address common misconceptions and concerns as well as internal bias regarding HIV screening. This initiative should be provided during all patient encounters, regardless of the initial reason for seeking treatment. </w:t>
      </w:r>
    </w:p>
    <w:p w14:paraId="384F6C83" w14:textId="77777777" w:rsidR="00893D54" w:rsidRDefault="00893D54">
      <w:pPr>
        <w:rPr>
          <w:sz w:val="20"/>
          <w:szCs w:val="20"/>
        </w:rPr>
      </w:pPr>
    </w:p>
    <w:p w14:paraId="5A02B602" w14:textId="77777777" w:rsidR="00893D54" w:rsidRDefault="00000000">
      <w:pPr>
        <w:rPr>
          <w:b/>
          <w:bCs/>
          <w:color w:val="2E74B5"/>
          <w:sz w:val="24"/>
          <w:szCs w:val="24"/>
        </w:rPr>
      </w:pPr>
      <w:r>
        <w:rPr>
          <w:b/>
          <w:bCs/>
          <w:color w:val="2E74B5"/>
          <w:sz w:val="24"/>
          <w:szCs w:val="24"/>
        </w:rPr>
        <w:t>Tactic 3 - Embedded Clinical Decision Support [Proposed]</w:t>
      </w:r>
    </w:p>
    <w:p w14:paraId="350D4218" w14:textId="7FB83637" w:rsidR="00893D54" w:rsidRDefault="00000000">
      <w:pPr>
        <w:spacing w:before="240" w:after="240"/>
        <w:rPr>
          <w:b/>
          <w:bCs/>
          <w:sz w:val="20"/>
          <w:szCs w:val="20"/>
        </w:rPr>
      </w:pPr>
      <w:r>
        <w:rPr>
          <w:sz w:val="20"/>
          <w:szCs w:val="20"/>
        </w:rPr>
        <w:t>Configure electronic medical record systems at each WEA location to identify patients who are due for HIV screening based on current CDC recommendations and display reminders during eligible encounters. Incorporate HIV screening status into pre-visit planning</w:t>
      </w:r>
      <w:r w:rsidR="009C4BBF">
        <w:rPr>
          <w:sz w:val="20"/>
          <w:szCs w:val="20"/>
        </w:rPr>
        <w:t>,</w:t>
      </w:r>
      <w:r>
        <w:rPr>
          <w:sz w:val="20"/>
          <w:szCs w:val="20"/>
        </w:rPr>
        <w:t xml:space="preserve"> so care teams can proactively address overdue screenings before the provider enters the exam room. Documentation fields should also allow providers to indicate whether testing was completed, declined, or deferred, improving follow-up for HIV screenings and quality reporting.</w:t>
      </w:r>
    </w:p>
    <w:p w14:paraId="58AD649D" w14:textId="77777777" w:rsidR="00893D54" w:rsidRDefault="00000000">
      <w:pPr>
        <w:rPr>
          <w:b/>
          <w:bCs/>
          <w:color w:val="2E74B5"/>
          <w:sz w:val="24"/>
          <w:szCs w:val="24"/>
        </w:rPr>
      </w:pPr>
      <w:r>
        <w:rPr>
          <w:b/>
          <w:bCs/>
          <w:color w:val="2E74B5"/>
          <w:sz w:val="24"/>
          <w:szCs w:val="24"/>
        </w:rPr>
        <w:t>Tactic 4 - HIV Screening Implementation Monitoring &amp; Performance Evaluation [Proposed]</w:t>
      </w:r>
    </w:p>
    <w:p w14:paraId="0EF9C955" w14:textId="77777777" w:rsidR="00893D54" w:rsidRDefault="00893D54">
      <w:pPr>
        <w:rPr>
          <w:b/>
          <w:bCs/>
          <w:color w:val="2E74B5"/>
          <w:sz w:val="24"/>
          <w:szCs w:val="24"/>
        </w:rPr>
      </w:pPr>
    </w:p>
    <w:p w14:paraId="1FAD83BE" w14:textId="7CFC8CF3" w:rsidR="00893D54" w:rsidRDefault="00000000">
      <w:pPr>
        <w:rPr>
          <w:sz w:val="20"/>
          <w:szCs w:val="20"/>
        </w:rPr>
      </w:pPr>
      <w:r>
        <w:rPr>
          <w:sz w:val="20"/>
          <w:szCs w:val="20"/>
        </w:rPr>
        <w:t>Following the implementation of in</w:t>
      </w:r>
      <w:r w:rsidR="009C4BBF">
        <w:rPr>
          <w:sz w:val="20"/>
          <w:szCs w:val="20"/>
        </w:rPr>
        <w:t>-</w:t>
      </w:r>
      <w:r>
        <w:rPr>
          <w:sz w:val="20"/>
          <w:szCs w:val="20"/>
        </w:rPr>
        <w:t>progress tactics, regularly monitor HIV screening rates by clinic location and patient population to identify variation in performance. Review missed screening opportunities, patient deferrals or declinations, and workflow barriers. Sharing performance data with WEA leadership and care teams can support continuous improvement and help identify needed modifications. Quarterly and Yearly Clinical Quality Measure Reports should also be developed to understand periods of gaps or success in HIV Screening performance. Yearly HIV screening rate monitoring will also depict a more precise comparison of WEA’s screening rate to HRSA UDS benchmark standards.</w:t>
      </w:r>
    </w:p>
    <w:p w14:paraId="5EA3DCE6" w14:textId="77777777" w:rsidR="00893D54" w:rsidRDefault="00000000">
      <w:pPr>
        <w:widowControl w:val="0"/>
        <w:pBdr>
          <w:top w:val="nil"/>
          <w:left w:val="nil"/>
          <w:bottom w:val="nil"/>
          <w:right w:val="nil"/>
          <w:between w:val="nil"/>
        </w:pBdr>
        <w:spacing w:before="311" w:line="240" w:lineRule="auto"/>
        <w:ind w:left="29"/>
        <w:rPr>
          <w:b/>
          <w:bCs/>
          <w:color w:val="1F4E79"/>
          <w:sz w:val="28"/>
          <w:szCs w:val="28"/>
        </w:rPr>
      </w:pPr>
      <w:r>
        <w:rPr>
          <w:b/>
          <w:bCs/>
          <w:color w:val="1F4E79"/>
          <w:sz w:val="28"/>
          <w:szCs w:val="28"/>
        </w:rPr>
        <w:t xml:space="preserve">Methodology &amp; Data Notes </w:t>
      </w:r>
    </w:p>
    <w:p w14:paraId="4F5E4B54" w14:textId="77777777" w:rsidR="00893D54" w:rsidRDefault="00000000">
      <w:pPr>
        <w:widowControl w:val="0"/>
        <w:pBdr>
          <w:top w:val="nil"/>
          <w:left w:val="nil"/>
          <w:bottom w:val="nil"/>
          <w:right w:val="nil"/>
          <w:between w:val="nil"/>
        </w:pBdr>
        <w:spacing w:before="160" w:line="229" w:lineRule="auto"/>
        <w:ind w:left="15" w:right="251" w:firstLine="8"/>
        <w:rPr>
          <w:color w:val="000000"/>
          <w:sz w:val="20"/>
          <w:szCs w:val="20"/>
        </w:rPr>
      </w:pPr>
      <w:r>
        <w:rPr>
          <w:b/>
          <w:bCs/>
          <w:color w:val="000000"/>
          <w:sz w:val="20"/>
          <w:szCs w:val="20"/>
        </w:rPr>
        <w:t>Reporting period</w:t>
      </w:r>
      <w:r>
        <w:rPr>
          <w:color w:val="000000"/>
          <w:sz w:val="20"/>
          <w:szCs w:val="20"/>
        </w:rPr>
        <w:t xml:space="preserve">: The measurement month is </w:t>
      </w:r>
      <w:r>
        <w:rPr>
          <w:sz w:val="20"/>
          <w:szCs w:val="20"/>
        </w:rPr>
        <w:t xml:space="preserve">June </w:t>
      </w:r>
      <w:r>
        <w:rPr>
          <w:color w:val="000000"/>
          <w:sz w:val="20"/>
          <w:szCs w:val="20"/>
        </w:rPr>
        <w:t xml:space="preserve">2026. The HIV screening lookback window covers </w:t>
      </w:r>
      <w:r>
        <w:rPr>
          <w:sz w:val="20"/>
          <w:szCs w:val="20"/>
        </w:rPr>
        <w:t>June</w:t>
      </w:r>
      <w:r>
        <w:rPr>
          <w:color w:val="000000"/>
          <w:sz w:val="20"/>
          <w:szCs w:val="20"/>
        </w:rPr>
        <w:t xml:space="preserve"> 1, </w:t>
      </w:r>
      <w:proofErr w:type="gramStart"/>
      <w:r>
        <w:rPr>
          <w:color w:val="000000"/>
          <w:sz w:val="20"/>
          <w:szCs w:val="20"/>
        </w:rPr>
        <w:t>2025</w:t>
      </w:r>
      <w:proofErr w:type="gramEnd"/>
      <w:r>
        <w:rPr>
          <w:color w:val="000000"/>
          <w:sz w:val="20"/>
          <w:szCs w:val="20"/>
        </w:rPr>
        <w:t xml:space="preserve"> to </w:t>
      </w:r>
      <w:r>
        <w:rPr>
          <w:sz w:val="20"/>
          <w:szCs w:val="20"/>
        </w:rPr>
        <w:t>June</w:t>
      </w:r>
      <w:r>
        <w:rPr>
          <w:color w:val="000000"/>
          <w:sz w:val="20"/>
          <w:szCs w:val="20"/>
        </w:rPr>
        <w:t xml:space="preserve"> 30, 2026, 12 months preceding the reporting month. All LabCorp lab results used in the numerator assessment are drawn exclusively from this date range. </w:t>
      </w:r>
    </w:p>
    <w:p w14:paraId="6F7CC54E" w14:textId="77777777" w:rsidR="00893D54" w:rsidRDefault="00000000">
      <w:pPr>
        <w:widowControl w:val="0"/>
        <w:pBdr>
          <w:top w:val="nil"/>
          <w:left w:val="nil"/>
          <w:bottom w:val="nil"/>
          <w:right w:val="nil"/>
          <w:between w:val="nil"/>
        </w:pBdr>
        <w:spacing w:before="234" w:line="229" w:lineRule="auto"/>
        <w:ind w:left="23" w:right="159" w:firstLine="1"/>
        <w:rPr>
          <w:color w:val="000000"/>
          <w:sz w:val="20"/>
          <w:szCs w:val="20"/>
        </w:rPr>
      </w:pPr>
      <w:r>
        <w:rPr>
          <w:b/>
          <w:bCs/>
          <w:color w:val="000000"/>
          <w:sz w:val="20"/>
          <w:szCs w:val="20"/>
        </w:rPr>
        <w:t>Denominato</w:t>
      </w:r>
      <w:r>
        <w:rPr>
          <w:color w:val="000000"/>
          <w:sz w:val="20"/>
          <w:szCs w:val="20"/>
        </w:rPr>
        <w:t xml:space="preserve">r: WEA patients with at least one non-cancelled appointment in </w:t>
      </w:r>
      <w:r>
        <w:rPr>
          <w:sz w:val="20"/>
          <w:szCs w:val="20"/>
        </w:rPr>
        <w:t xml:space="preserve">June </w:t>
      </w:r>
      <w:r>
        <w:rPr>
          <w:color w:val="000000"/>
          <w:sz w:val="20"/>
          <w:szCs w:val="20"/>
        </w:rPr>
        <w:t>2026, restricted to ages 15–65 per UDS CMS349v5. Final denominator = 12</w:t>
      </w:r>
      <w:r>
        <w:rPr>
          <w:sz w:val="20"/>
          <w:szCs w:val="20"/>
        </w:rPr>
        <w:t>3</w:t>
      </w:r>
      <w:r>
        <w:rPr>
          <w:color w:val="000000"/>
          <w:sz w:val="20"/>
          <w:szCs w:val="20"/>
        </w:rPr>
        <w:t xml:space="preserve">. Deduplicated on patient ID. </w:t>
      </w:r>
    </w:p>
    <w:p w14:paraId="20AA41D7" w14:textId="77777777" w:rsidR="00893D54" w:rsidRDefault="00000000">
      <w:pPr>
        <w:widowControl w:val="0"/>
        <w:pBdr>
          <w:top w:val="nil"/>
          <w:left w:val="nil"/>
          <w:bottom w:val="nil"/>
          <w:right w:val="nil"/>
          <w:between w:val="nil"/>
        </w:pBdr>
        <w:spacing w:before="234" w:line="229" w:lineRule="auto"/>
        <w:ind w:right="21" w:firstLine="23"/>
        <w:rPr>
          <w:color w:val="000000"/>
          <w:sz w:val="20"/>
          <w:szCs w:val="20"/>
        </w:rPr>
      </w:pPr>
      <w:r>
        <w:rPr>
          <w:b/>
          <w:bCs/>
          <w:color w:val="000000"/>
          <w:sz w:val="20"/>
          <w:szCs w:val="20"/>
        </w:rPr>
        <w:t>Numerator</w:t>
      </w:r>
      <w:r>
        <w:rPr>
          <w:color w:val="000000"/>
          <w:sz w:val="20"/>
          <w:szCs w:val="20"/>
        </w:rPr>
        <w:t>: LabCorp lab data (</w:t>
      </w:r>
      <w:r>
        <w:rPr>
          <w:sz w:val="20"/>
          <w:szCs w:val="20"/>
        </w:rPr>
        <w:t>June</w:t>
      </w:r>
      <w:r>
        <w:rPr>
          <w:color w:val="000000"/>
          <w:sz w:val="20"/>
          <w:szCs w:val="20"/>
        </w:rPr>
        <w:t xml:space="preserve"> 1, 2025 – </w:t>
      </w:r>
      <w:r>
        <w:rPr>
          <w:sz w:val="20"/>
          <w:szCs w:val="20"/>
        </w:rPr>
        <w:t xml:space="preserve">June </w:t>
      </w:r>
      <w:r>
        <w:rPr>
          <w:color w:val="000000"/>
          <w:sz w:val="20"/>
          <w:szCs w:val="20"/>
        </w:rPr>
        <w:t xml:space="preserve">30, 2026) merged with appointment data by patient ID (full join). HIV screening tests identified from the </w:t>
      </w:r>
      <w:proofErr w:type="spellStart"/>
      <w:r>
        <w:rPr>
          <w:color w:val="000000"/>
          <w:sz w:val="20"/>
          <w:szCs w:val="20"/>
        </w:rPr>
        <w:t>analyte_name</w:t>
      </w:r>
      <w:proofErr w:type="spellEnd"/>
      <w:r>
        <w:rPr>
          <w:color w:val="000000"/>
          <w:sz w:val="20"/>
          <w:szCs w:val="20"/>
        </w:rPr>
        <w:t xml:space="preserve"> field. The qualifying test name is HIV Ab/p24 Ag with Reflex (analyte: HIV Ab/p24 Ag Screen) — an antigen/antibody combination test. Final numerator = </w:t>
      </w:r>
      <w:r>
        <w:rPr>
          <w:sz w:val="20"/>
          <w:szCs w:val="20"/>
        </w:rPr>
        <w:t>2</w:t>
      </w:r>
      <w:r>
        <w:rPr>
          <w:color w:val="000000"/>
          <w:sz w:val="20"/>
          <w:szCs w:val="20"/>
        </w:rPr>
        <w:t xml:space="preserve"> patients with a completed HIV screening result. </w:t>
      </w:r>
    </w:p>
    <w:p w14:paraId="3EAC9C5D" w14:textId="77777777" w:rsidR="00893D54" w:rsidRDefault="00000000">
      <w:pPr>
        <w:widowControl w:val="0"/>
        <w:pBdr>
          <w:top w:val="nil"/>
          <w:left w:val="nil"/>
          <w:bottom w:val="nil"/>
          <w:right w:val="nil"/>
          <w:between w:val="nil"/>
        </w:pBdr>
        <w:spacing w:before="514" w:line="240" w:lineRule="auto"/>
        <w:ind w:left="24"/>
        <w:rPr>
          <w:color w:val="000000"/>
          <w:sz w:val="20"/>
          <w:szCs w:val="20"/>
        </w:rPr>
      </w:pPr>
      <w:r>
        <w:rPr>
          <w:b/>
          <w:bCs/>
          <w:color w:val="000000"/>
          <w:sz w:val="20"/>
          <w:szCs w:val="20"/>
        </w:rPr>
        <w:lastRenderedPageBreak/>
        <w:t xml:space="preserve">Rate calculation: </w:t>
      </w:r>
      <w:r>
        <w:rPr>
          <w:sz w:val="20"/>
          <w:szCs w:val="20"/>
        </w:rPr>
        <w:t>2</w:t>
      </w:r>
      <w:r>
        <w:rPr>
          <w:color w:val="000000"/>
          <w:sz w:val="20"/>
          <w:szCs w:val="20"/>
        </w:rPr>
        <w:t>/12</w:t>
      </w:r>
      <w:r>
        <w:rPr>
          <w:sz w:val="20"/>
          <w:szCs w:val="20"/>
        </w:rPr>
        <w:t>3</w:t>
      </w:r>
      <w:r>
        <w:rPr>
          <w:color w:val="000000"/>
          <w:sz w:val="20"/>
          <w:szCs w:val="20"/>
        </w:rPr>
        <w:t xml:space="preserve"> = </w:t>
      </w:r>
      <w:r>
        <w:rPr>
          <w:sz w:val="20"/>
          <w:szCs w:val="20"/>
        </w:rPr>
        <w:t>1</w:t>
      </w:r>
      <w:r>
        <w:rPr>
          <w:color w:val="000000"/>
          <w:sz w:val="20"/>
          <w:szCs w:val="20"/>
        </w:rPr>
        <w:t>.</w:t>
      </w:r>
      <w:r>
        <w:rPr>
          <w:sz w:val="20"/>
          <w:szCs w:val="20"/>
        </w:rPr>
        <w:t>6</w:t>
      </w:r>
      <w:r>
        <w:rPr>
          <w:color w:val="000000"/>
          <w:sz w:val="20"/>
          <w:szCs w:val="20"/>
        </w:rPr>
        <w:t xml:space="preserve">% </w:t>
      </w:r>
    </w:p>
    <w:p w14:paraId="7EF76BA8" w14:textId="77777777" w:rsidR="00893D54" w:rsidRDefault="00000000">
      <w:pPr>
        <w:widowControl w:val="0"/>
        <w:pBdr>
          <w:top w:val="nil"/>
          <w:left w:val="nil"/>
          <w:bottom w:val="nil"/>
          <w:right w:val="nil"/>
          <w:between w:val="nil"/>
        </w:pBdr>
        <w:spacing w:before="626" w:line="229" w:lineRule="auto"/>
        <w:ind w:left="25" w:right="21" w:hanging="15"/>
        <w:rPr>
          <w:color w:val="000000"/>
          <w:sz w:val="20"/>
          <w:szCs w:val="20"/>
        </w:rPr>
      </w:pPr>
      <w:r>
        <w:rPr>
          <w:b/>
          <w:bCs/>
          <w:color w:val="000000"/>
          <w:sz w:val="20"/>
          <w:szCs w:val="20"/>
        </w:rPr>
        <w:t xml:space="preserve">Age restriction: </w:t>
      </w:r>
      <w:r>
        <w:rPr>
          <w:color w:val="000000"/>
          <w:sz w:val="20"/>
          <w:szCs w:val="20"/>
        </w:rPr>
        <w:t xml:space="preserve">Per UDS CMS349v5 specifications, the denominator is restricted to patients ages 15–65. Patients aged 14 and under, or 66 and older, are excluded from both numerator and denominator. </w:t>
      </w:r>
    </w:p>
    <w:p w14:paraId="74E9FDFF" w14:textId="77777777" w:rsidR="00893D54" w:rsidRDefault="00000000">
      <w:pPr>
        <w:widowControl w:val="0"/>
        <w:pBdr>
          <w:top w:val="nil"/>
          <w:left w:val="nil"/>
          <w:bottom w:val="nil"/>
          <w:right w:val="nil"/>
          <w:between w:val="nil"/>
        </w:pBdr>
        <w:spacing w:before="634" w:line="229" w:lineRule="auto"/>
        <w:ind w:left="17" w:right="5" w:firstLine="6"/>
        <w:jc w:val="both"/>
        <w:rPr>
          <w:color w:val="000000"/>
          <w:sz w:val="20"/>
          <w:szCs w:val="20"/>
        </w:rPr>
      </w:pPr>
      <w:r>
        <w:rPr>
          <w:b/>
          <w:bCs/>
          <w:color w:val="000000"/>
          <w:sz w:val="20"/>
          <w:szCs w:val="20"/>
        </w:rPr>
        <w:t xml:space="preserve">Excluded tests: </w:t>
      </w:r>
      <w:r>
        <w:rPr>
          <w:color w:val="000000"/>
          <w:sz w:val="20"/>
          <w:szCs w:val="20"/>
        </w:rPr>
        <w:t xml:space="preserve">Viral load tests (HIV-1 RNA, HIV-2 RNA, log10 HIV-1 RNA) and disease monitoring tests (CD4 count, HIV </w:t>
      </w:r>
      <w:proofErr w:type="spellStart"/>
      <w:r>
        <w:rPr>
          <w:color w:val="000000"/>
          <w:sz w:val="20"/>
          <w:szCs w:val="20"/>
        </w:rPr>
        <w:t>GenoSure</w:t>
      </w:r>
      <w:proofErr w:type="spellEnd"/>
      <w:r>
        <w:rPr>
          <w:color w:val="000000"/>
          <w:sz w:val="20"/>
          <w:szCs w:val="20"/>
        </w:rPr>
        <w:t>) were excluded as they do not constitute HIV status screening and are not applicable to this measure.</w:t>
      </w:r>
    </w:p>
    <w:p w14:paraId="4FC2041D" w14:textId="77777777" w:rsidR="00893D54" w:rsidRDefault="00893D54">
      <w:pPr>
        <w:widowControl w:val="0"/>
        <w:spacing w:line="240" w:lineRule="auto"/>
        <w:rPr>
          <w:sz w:val="20"/>
          <w:szCs w:val="20"/>
        </w:rPr>
      </w:pPr>
    </w:p>
    <w:sectPr w:rsidR="00893D54">
      <w:headerReference w:type="default" r:id="rId6"/>
      <w:pgSz w:w="12240" w:h="15840"/>
      <w:pgMar w:top="1055" w:right="1040" w:bottom="2270" w:left="107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D24A1D" w14:textId="77777777" w:rsidR="00D00B1B" w:rsidRDefault="00D00B1B">
      <w:pPr>
        <w:spacing w:line="240" w:lineRule="auto"/>
      </w:pPr>
      <w:r>
        <w:separator/>
      </w:r>
    </w:p>
  </w:endnote>
  <w:endnote w:type="continuationSeparator" w:id="0">
    <w:p w14:paraId="15739059" w14:textId="77777777" w:rsidR="00D00B1B" w:rsidRDefault="00D00B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BEED84C-DB52-6145-88E8-93712A47AF74}"/>
    <w:embedBold r:id="rId2" w:fontKey="{F2B9A529-8C15-684C-AC5A-E34A6579316B}"/>
    <w:embedBoldItalic r:id="rId3" w:fontKey="{086AD22E-A2A2-954A-B8C0-0273603A90CD}"/>
  </w:font>
  <w:font w:name="Times New Roman">
    <w:panose1 w:val="02020603050405020304"/>
    <w:charset w:val="00"/>
    <w:family w:val="roman"/>
    <w:pitch w:val="variable"/>
    <w:sig w:usb0="E0002EFF" w:usb1="C000785B" w:usb2="00000009" w:usb3="00000000" w:csb0="000001FF" w:csb1="00000000"/>
    <w:embedRegular r:id="rId4" w:fontKey="{C0EF324B-3085-1A4C-B378-7665193EA9D0}"/>
  </w:font>
  <w:font w:name="Georgia">
    <w:panose1 w:val="02040502050405020303"/>
    <w:charset w:val="00"/>
    <w:family w:val="roman"/>
    <w:pitch w:val="variable"/>
    <w:sig w:usb0="00000287" w:usb1="00000000" w:usb2="00000000" w:usb3="00000000" w:csb0="0000009F" w:csb1="00000000"/>
    <w:embedItalic r:id="rId5" w:fontKey="{7591463A-F090-0A4C-9927-5D6C8318CE74}"/>
  </w:font>
  <w:font w:name="Arial Unicode MS">
    <w:panose1 w:val="020B0604020202020204"/>
    <w:charset w:val="80"/>
    <w:family w:val="swiss"/>
    <w:pitch w:val="variable"/>
    <w:sig w:usb0="F7FFAFFF" w:usb1="E9DFFFFF" w:usb2="0000003F" w:usb3="00000000" w:csb0="003F01FF" w:csb1="00000000"/>
    <w:embedBold r:id="rId6" w:subsetted="1" w:fontKey="{E935B212-A9D5-DA47-9461-343D042318D4}"/>
  </w:font>
  <w:font w:name="Calibri">
    <w:panose1 w:val="020F0502020204030204"/>
    <w:charset w:val="00"/>
    <w:family w:val="swiss"/>
    <w:pitch w:val="variable"/>
    <w:sig w:usb0="E4002EFF" w:usb1="C200247B" w:usb2="00000009" w:usb3="00000000" w:csb0="000001FF" w:csb1="00000000"/>
    <w:embedRegular r:id="rId7" w:fontKey="{20CF8360-00C2-1244-AFCF-89B3AC4C16DD}"/>
  </w:font>
  <w:font w:name="Cambria">
    <w:panose1 w:val="02040503050406030204"/>
    <w:charset w:val="00"/>
    <w:family w:val="roman"/>
    <w:pitch w:val="variable"/>
    <w:sig w:usb0="E00006FF" w:usb1="420024FF" w:usb2="02000000" w:usb3="00000000" w:csb0="0000019F" w:csb1="00000000"/>
    <w:embedRegular r:id="rId8" w:fontKey="{C8526352-E90D-9F4E-AC76-52E2A45B64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682AF2" w14:textId="77777777" w:rsidR="00D00B1B" w:rsidRDefault="00D00B1B">
      <w:pPr>
        <w:spacing w:line="240" w:lineRule="auto"/>
      </w:pPr>
      <w:r>
        <w:separator/>
      </w:r>
    </w:p>
  </w:footnote>
  <w:footnote w:type="continuationSeparator" w:id="0">
    <w:p w14:paraId="3A4DA770" w14:textId="77777777" w:rsidR="00D00B1B" w:rsidRDefault="00D00B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F011D" w14:textId="77777777" w:rsidR="00893D54" w:rsidRDefault="00893D54"/>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D54"/>
    <w:rsid w:val="00095241"/>
    <w:rsid w:val="00893D54"/>
    <w:rsid w:val="009466E9"/>
    <w:rsid w:val="009C4BBF"/>
    <w:rsid w:val="00B26268"/>
    <w:rsid w:val="00D00B1B"/>
    <w:rsid w:val="00F61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0565A7"/>
  <w15:docId w15:val="{321103B4-FA52-2C44-9224-9CE1F235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Johnson, Skye</cp:lastModifiedBy>
  <cp:revision>2</cp:revision>
  <dcterms:created xsi:type="dcterms:W3CDTF">2026-09-19T16:04:00Z</dcterms:created>
  <dcterms:modified xsi:type="dcterms:W3CDTF">2026-09-19T16:04:00Z</dcterms:modified>
</cp:coreProperties>
</file>