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Virginia Grid LP Model — Reference Document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Living document — updated each time a change is made to the LP model. Reflects the model as of 2026-08-16, following the DoD-direction fix, curtailment-cost correction, CVOW_MW correction, and the still-open simultaneous charge/discharge investigation (flagged in yellow below).</w:t>
      </w:r>
    </w:p>
    <w:p>
      <w:pPr>
        <w:pStyle w:val="Heading1"/>
        <w:spacing w:after="150" w:before="300"/>
      </w:pPr>
      <w:r>
        <w:t xml:space="preserve">Objective</w:t>
      </w:r>
    </w:p>
    <w:p>
      <w:pPr>
        <w:spacing w:after="120"/>
      </w:pPr>
      <w:r>
        <w:t xml:space="preserve">Meet the requirements of the Virginia Clean Economy Act and Renewable Portfolio Standard in the Dominion Virginia Load Serving Entity with the lowest-cost SLCOE (system levelized cost of energy) configuration that satisfies every constraint simultaneously — the single joint optimum, not a sequence of separately-tuned pieces.</w:t>
      </w:r>
    </w:p>
    <w:p>
      <w:pPr>
        <w:pStyle w:val="Heading1"/>
        <w:spacing w:after="150" w:before="300"/>
      </w:pPr>
      <w:r>
        <w:t xml:space="preserve">Objective Function</w:t>
      </w:r>
    </w:p>
    <w:p>
      <w:pPr>
        <w:spacing w:after="120"/>
      </w:pPr>
      <w:r>
        <w:t xml:space="preserve">Minimize total annualized cost: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CRF x (SolarCAPEX + SolarOM) x S_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+ CRF x NaPowerCAPEX x PNA_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+ (CRF x NaEnergyCAPEX + StorFOM% x NaEnergyCAPEX) x ENA_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+ (CRF x FeEnergyCAPEX + StorFOM% x FeEnergyCAPEX) x (1 - ResilienceTilt%) x EFE_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+ SUM over t of [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GasPrice(year) x g[t]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+ NaCyclingCost x nd[t]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+ FeCyclingCost x fd[t]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+ UnservedPenalty x unserved[t]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+ CurtailmentCost x curt[t]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+ (- ExportPrice x export[t])          &lt;- diagnostic only, see Section 7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]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Per-unit cost terms: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CRF (capital recovery factor) ≈ 0.06744 — standard annualization of CAPEX over asset life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NaCyclingCost = NaEnergyCAPEX / (NaCycleLife x 0.80) — Sandia BESS Cycling Price Model methodology; NaCycleLife is time-varying: 10,000 cycles for deployments before 2035, 15,000 from 2035 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FeCyclingCost = FeEnergyCAPEX / (1,000 x 1.0) — Form Energy-specific cycle-life figure, 100% DoD (no restriction — iron-air chemistry is tolerant of deep discharge)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CurtailmentCost = $100/MWh — corrected from an original $0.01, then $1.0; validated directly (Section 6) as the minimum level that drives full utilization of built storage capacity before curtailing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ResilienceTilt% = 3% — deliberate, disclosed policy preference for iron-air (long-duration) within the confirmed near-cost-flat region between Na-ion and iron-air build sizes; a policy choice, not a market-cost claim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UnservedPenalty = $100,000/MWh — large enough that the solver only allows unserved demand as an absolute last resort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 term: NOT part of the standing model (Section 7) — shown to illustrate the mechanism only; gated by include_export, defaulting to False. Confirmed via direct testing to cause real build-size distortion (solar/storage overbuild to run a near-continuous export business) even under the corrected $37.80/MWh price — the project's standing decision to exclude export from the LP's own cost-minimization remains correct.</w:t>
      </w:r>
    </w:p>
    <w:p>
      <w:pPr>
        <w:pStyle w:val="Heading1"/>
        <w:spacing w:after="150" w:before="300"/>
      </w:pPr>
      <w:r>
        <w:t xml:space="preserve">System of Equations</w:t>
      </w:r>
    </w:p>
    <w:p>
      <w:pPr>
        <w:spacing w:after="120"/>
      </w:pPr>
      <w:r>
        <w:t xml:space="preserve">Five families of equality constraints link every hourly variable together and tie the year to the four build decisions. All hold exactly (not just approximately) at the solved optimum.</w:t>
      </w:r>
    </w:p>
    <w:p>
      <w:pPr>
        <w:pStyle w:val="Heading2"/>
        <w:spacing w:after="120" w:before="250"/>
      </w:pPr>
      <w:r>
        <w:t xml:space="preserve">A. Energy balance (one row per hour, 8,760 rows)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S_ x solar_cf[t] + g[t] + bd[t] - bc[t] + nd[t] - nc[t] + fd[t] - fc[t]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+ unserved[t] - curt[t] - export[t]  =  demand[t] - nuclear[t] - exist_solar[t] - CVOW_MW x wind_cf[t]</w:t>
      </w:r>
    </w:p>
    <w:p>
      <w:pPr>
        <w:spacing w:after="120"/>
      </w:pPr>
      <w:r>
        <w:t xml:space="preserve">The right-hand side ("residual") is fixed input data for a given checkpoint; everything on the left is a decision the LP makes. This is the core physics constraint — every other rule in the model is layered on top of it.</w:t>
      </w:r>
    </w:p>
    <w:p>
      <w:pPr>
        <w:pStyle w:val="Heading2"/>
        <w:spacing w:after="120" w:before="250"/>
      </w:pPr>
      <w:r>
        <w:t xml:space="preserve">B. Bath County SoC dynamics (8,761 rows: 8,760 hourly + 1 closing)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bsoc[0] = 0.5 x BATH_MWH + 0.80 x bc[0] - bd[0]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bsoc[t] = bsoc[t-1] + 0.80 x bc[t] - bd[t]                    for t = 1..T-1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bsoc[T-1] = 0.5 x BATH_MWH                                    (closing/cyclic constraint)</w:t>
      </w:r>
    </w:p>
    <w:p>
      <w:pPr>
        <w:pStyle w:val="Heading2"/>
        <w:spacing w:after="120" w:before="250"/>
      </w:pPr>
      <w:r>
        <w:t xml:space="preserve">C. Na-ion SoC dynamics (8,761 rows)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nsoc[0] = 0.5 x ENA_ + 0.90 x nc[0] - nd[0]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nsoc[t] = nsoc[t-1] + 0.90 x nc[t] - nd[t]                    for t = 1..T-1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nsoc[T-1] = 0.5 x ENA_                                        (closing/cyclic constraint)</w:t>
      </w:r>
    </w:p>
    <w:p>
      <w:pPr>
        <w:pStyle w:val="Heading2"/>
        <w:spacing w:after="120" w:before="250"/>
      </w:pPr>
      <w:r>
        <w:t xml:space="preserve">D. Iron-air SoC dynamics (8,761 rows)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fsoc[0] = 0.5 x EFE_ + FE_RTE_CHARGE(year) x fc[0] - fd[0]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fsoc[t] = fsoc[t-1] + FE_RTE_CHARGE(year) x fc[t] - fd[t]     for t = 1..T-1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fsoc[T-1] = 0.5 x EFE_                                        (closing/cyclic constraint)</w:t>
      </w:r>
    </w:p>
    <w:p>
      <w:pPr>
        <w:spacing w:after="120"/>
      </w:pPr>
      <w:r>
        <w:t xml:space="preserve">FE_RTE_CHARGE varies by checkpoint year (iron_air_rte(year)) — not a fixed constant like Bath's 0.80 or Na's 0.90.</w:t>
      </w:r>
    </w:p>
    <w:p>
      <w:pPr>
        <w:pStyle w:val="Heading2"/>
        <w:spacing w:after="120" w:before="250"/>
      </w:pPr>
      <w:r>
        <w:t xml:space="preserve">E. Cumulative gas tracking (8,760 rows)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gascum[0] = 0.001 x g[0]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gascum[t] = gascum[t-1] + 0.001 x g[t]                        for t = 1..T-1</w:t>
      </w:r>
    </w:p>
    <w:p>
      <w:pPr>
        <w:spacing w:after="120"/>
      </w:pPr>
      <w:r>
        <w:t xml:space="preserve">Tracked in GWh (the 0.001 factor), not MWh — keeps this row's magnitude comparable to the rest of the problem for numerical conditioning; exists solely so the RPS constraint (see Inequality table below) can check one running total against the year's clean-energy requirement.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Decision Variables</w:t>
      </w:r>
    </w:p>
    <w:p>
      <w:pPr>
        <w:pStyle w:val="Heading2"/>
        <w:spacing w:after="120" w:before="250"/>
      </w:pPr>
      <w:r>
        <w:t xml:space="preserve">Build variables (4 total — one decision each, for the whole checkpoint year)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rPr>
          <w:tblHeader/>
        </w:trPr>
        <w:tc>
          <w:tcPr>
            <w:tcW w:type="dxa" w:w="1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7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Represents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S_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Solar nameplate build size (new-build utility solar, MW)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PNA_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Sodium-ion battery power rating (MW)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ENA_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Sodium-ion battery energy capacity (MWh) — paired with PNA_; duration = ENA_/PNA_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EFE_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Iron-air battery energy capacity (MWh) — no separate power variable; power rating derived from EFE_/100 (fixed 100-hour design duration), not independently chosen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Note the asymmetry: Na-ion gets two independent decisions (power and energy — the LP can pick any duration); iron-air gets one (energy only, duration fixed at 100 hours by construction). Bath County is existing, fixed infrastructure (3,000 MW / 24,000 MWh) — never a build decision.</w:t>
      </w:r>
    </w:p>
    <w:p>
      <w:pPr>
        <w:pStyle w:val="Heading2"/>
        <w:spacing w:after="120" w:before="250"/>
      </w:pPr>
      <w:r>
        <w:t xml:space="preserve">Hourly variables (14 per hour x 8,760 hours = 122,640 total)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rPr>
          <w:tblHeader/>
        </w:trPr>
        <w:tc>
          <w:tcPr>
            <w:tcW w:type="dxa" w:w="1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7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Represents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Gas dispatch this hour (MW)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bc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Bath charging power this hour (MW)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bd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Bath discharging power this hour (MW)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bsoc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Bath state of charge this hour (MWh)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nc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Na-ion charging power this hour (MW)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nd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Na-ion discharging power this hour (MW)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nsoc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Na-ion state of charge this hour (MWh)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fc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Iron-air charging power this hour (MW)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fd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Iron-air discharging power this hour (MW)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fsoc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Iron-air state of charge this hour (MWh)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gascum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Cumulative gas dispatched, running total through this hour (GWh) — exists solely for the RPS constraint, not because gas needs hour-by-hour tracking beyond g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unserved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Demand not met this hour (MW) — should always be 0 in a feasible, well-built checkpoint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curt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Curtailed (wasted) generation this hour (MWh)</w:t>
            </w:r>
          </w:p>
        </w:tc>
      </w:tr>
      <w:tr>
        <w:tc>
          <w:tcPr>
            <w:tcW w:type="dxa" w:w="1500"/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export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Energy sold to external market this hour (MWh) — NOT part of the standing model; bounded to exactly 0 unless include_export=True is explicitly set for a diagnostic test (see Section 7)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Equality Constraints (things that must hold exactly)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900"/>
        <w:gridCol w:w="3900"/>
        <w:gridCol w:w="2800"/>
      </w:tblGrid>
      <w:tr>
        <w:trPr>
          <w:tblHeader/>
        </w:trPr>
        <w:tc>
          <w:tcPr>
            <w:tcW w:type="dxa" w:w="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9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9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Rows</w:t>
            </w:r>
          </w:p>
        </w:tc>
        <w:tc>
          <w:tcPr>
            <w:tcW w:type="dxa" w:w="39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enforces</w:t>
            </w:r>
          </w:p>
        </w:tc>
        <w:tc>
          <w:tcPr>
            <w:tcW w:type="dxa" w:w="28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Equation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Energy balance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8,760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Supply (solar+gas+net discharge, all 3 storage) + unserved − curtailment − export = residual demand every hour. The core physics constraint.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S_·cf[t]+g[t]+bd[t]-bc[t]+nd[t]-nc[t]+fd[t]-fc[t]+unserved[t]-curt[t]-export[t]=residual[t]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Bath SoC dynamics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8,761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Bath's charge level this hour = last hour's + (charge x 0.80 RTE) − discharge. Year must end at the same 50% starting level.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bsoc[t]=bsoc[t-1]+0.80·bc[t]-bd[t]; bsoc[0],bsoc[T-1]=0.5·BATH_MWH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Na-ion SoC dynamics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8,761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Same idea, 90% charge efficiency, tied to the ENA_ build size.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nsoc[t]=nsoc[t-1]+0.90·nc[t]-nd[t]; nsoc[0],nsoc[T-1]=0.5·ENA_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Iron-air SoC dynamics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8,761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Same idea, year-specific RTE, tied to EFE_.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fsoc[t]=fsoc[t-1]+RTE(yr)·fc[t]-fd[t]; fsoc[0],fsoc[T-1]=0.5·EFE_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Cumulative gas tracking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8,760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Running total of gas dispatched (GWh), purely so the RPS constraint can check one number against the year's clean-energy requirement.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gascum[t]=gascum[t-1]+0.001·g[t]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t xml:space="preserve">Inequality Constraints (things bounded, not fixed)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900"/>
        <w:gridCol w:w="3900"/>
        <w:gridCol w:w="2800"/>
      </w:tblGrid>
      <w:tr>
        <w:trPr>
          <w:tblHeader/>
        </w:trPr>
        <w:tc>
          <w:tcPr>
            <w:tcW w:type="dxa" w:w="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9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9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Rows</w:t>
            </w:r>
          </w:p>
        </w:tc>
        <w:tc>
          <w:tcPr>
            <w:tcW w:type="dxa" w:w="39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enforces</w:t>
            </w:r>
          </w:p>
        </w:tc>
        <w:tc>
          <w:tcPr>
            <w:tcW w:type="dxa" w:w="28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Equation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 power/SoC bounds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4/hr (35,040)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Charge ≤ rated power, discharge ≤ rated power, SoC within [20%,100%] of built capacity (standard DoD convention, corrected 2026-08-16 from a backwards [0%,80%] implementation).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nc,nd≤PNA_; 0.20·ENA_≤nsoc≤ENA_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Iron-air power/SoC bounds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3/hr (26,280)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Same idea, 100% DoD (no restriction — chemistry tolerant of deep discharge).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fc,fd≤EFE_/100; fsoc≤EFE_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Joint charge+discharge caps ⚠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3/hr (26,280)</w:t>
            </w:r>
          </w:p>
        </w:tc>
        <w:tc>
          <w:tcPr>
            <w:tcW w:type="dxa" w:w="3900"/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CORRECTED (2026-08-16): only bounds the SUM of charge+discharge to rated power — does NOT prevent both being simultaneously large as long as their sum stays within the rating. Confirmed directly: at large PNA_, both sides can run substantially at once (e.g. nc=120,000 + nd=119,000, summing to exactly the rating) — a real, open gap, not a complete fix. Currently restored (was briefly removed as "redundant," which held only while a since-removed charging incentive was also present).</w:t>
            </w:r>
          </w:p>
        </w:tc>
        <w:tc>
          <w:tcPr>
            <w:tcW w:type="dxa" w:w="2800"/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bc+bd≤BATH_MW; nc+nd≤PNA_; fc+fd≤EFE_/100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Bath's daily cycle limit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365 (1/day)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Total Bath discharge in any calendar day ≤ 24,000 MWh (one full cycle) — Bath's physical design basis, confirmed via DOE/PNNL source.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SUM(bd[t], t in day) ≤ BATH_MWH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RPS / gas allowance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Total gas over the year ≤ the allowed share of clean generation. This is the exact constraint where the BUILD_SCALE bug lived (fixed 2026-08-16).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gascum[T-1] ≤ k·(clean_const + BUILD_SCALE·S_·Σsolar_cf)/1000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sz w:val="19"/>
          <w:szCs w:val="19"/>
        </w:rPr>
        <w:t xml:space="preserve">Total: ~43,803 equality rows + ~87,690 inequality rows (with the joint constraint restored) ≈ 131,493 constraint rows against ~122,644 decision variables.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Additional Factors (floors, starting values, and other disclosed assumptions)</w:t>
      </w:r>
    </w:p>
    <w:p>
      <w:pPr>
        <w:pStyle w:val="Heading2"/>
        <w:spacing w:after="120" w:before="250"/>
      </w:pPr>
      <w:r>
        <w:t xml:space="preserve">Storage SoC initial/closing condition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init_soc_frac = 0.5 (50%), applied uniformly to Bath, Na-ion, and iron-air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Sets BOTH the starting condition (hour 0) AND requires the SAME level be reached again at the year's last hour (a closing/cyclic constraint) — prevents the LP from artificially draining storage in the final hours or starting artificially full, either of which would understate real operating cost relative to a genuinely repeating annual cycle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disclosed modeling convention, not an independently researched or sourced figure — chosen because it is neutral, not because 50% specifically reflects documented real-world practice</w:t>
      </w:r>
    </w:p>
    <w:p>
      <w:pPr>
        <w:pStyle w:val="Heading2"/>
        <w:spacing w:after="120" w:before="250"/>
      </w:pPr>
      <w:r>
        <w:t xml:space="preserve">Na-ion Depth of Discharge (DoD)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Usable range: [20%, 100%] of built ENA_ — standard industry convention ("80% DoD" = discharging FROM full DOWN TO 20% remaining, reserve at the bottom)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CORRECTED 2026-08-16: was previously implemented backwards as [0%, 80%] (reserve at the top) — caught via a direct question, not independent review. Matters for a real reason: sourced cycle-life figures (10,000/15,000 cycles) were almost certainly measured under the standard [20%,100%] protocol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Directly tested and confirmed: this restriction was NOT the cause of the under-utilization issue investigated separately (Section 6) — removing it entirely did not improve curtailment capture</w:t>
      </w:r>
    </w:p>
    <w:p>
      <w:pPr>
        <w:pStyle w:val="Heading2"/>
        <w:spacing w:after="120" w:before="250"/>
      </w:pPr>
      <w:r>
        <w:t xml:space="preserve">VCEA storage floors (Va. Code §56-585.5(E)), interpolated between explicit statutory milestones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rPr>
          <w:tblHeader/>
        </w:trPr>
        <w:tc>
          <w:tcPr>
            <w:tcW w:type="dxa" w:w="18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Year</w:t>
            </w:r>
          </w:p>
        </w:tc>
        <w:tc>
          <w:tcPr>
            <w:tcW w:type="dxa" w:w="3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Short-duration floor (MW)</w:t>
            </w:r>
          </w:p>
        </w:tc>
        <w:tc>
          <w:tcPr>
            <w:tcW w:type="dxa" w:w="3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Long-duration floor (MW)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2030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4,000 (exact milestone)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(no requirement yet)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2035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8,000 (interpolated)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2,000 (exact milestone)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2040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12,000 (interpolated)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3,000 (interpolated)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2044.5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15,600 (interpolated)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3,900 (interpolated)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2045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16,000 (exact milestone)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4,000 (exact milestone)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Short-duration: interpolated between (2030, 4,000 MW) and (2045, 16,000 MW) — no interim statutory milestone exists; interpolation is this project's own reasonable choice for years between, not a statutory figure itself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Long-duration: 0 MW before 2035 (first milestone IS 2035, unlike short-duration's 2030 start), interpolated between (2035, 2,000 MW) and (2045, 4,000 MW) thereafter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Both floors enforced as hard lower bounds on the relevant build variable (PNA_ for short-duration; EFE_/100, converted to an MWh floor via the 100-hour duration, for long-duration) — previously, the long-duration floor was NOT enforced anywhere in the model at all</w:t>
      </w:r>
    </w:p>
    <w:p>
      <w:pPr>
        <w:pStyle w:val="Heading2"/>
        <w:spacing w:after="120" w:before="250"/>
      </w:pPr>
      <w:r>
        <w:t xml:space="preserve">PJM reserve margin (IRM = 17.7%)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Hard constraint (not priced/soft), checked at the single peak-net-demand hour identified from an unconstrained solve, using each resource's actual hourly availability rather than a blended ELCC-style credit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Applied only to the 2030 checkpoint in practice — at every later checkpoint, storage built for other economic reasons already exceeds the requirement, making the constraint non-binding</w:t>
      </w:r>
    </w:p>
    <w:p>
      <w:pPr>
        <w:pStyle w:val="Heading2"/>
        <w:spacing w:after="120" w:before="250"/>
      </w:pPr>
      <w:r>
        <w:t xml:space="preserve">Gas capacity cap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Schedule B baseline (year-dependent: 9,362 MW through 2044, dropping to 1,860 MW at 2045 per VCEA's terminal capacity reduction) plus a fixed 2,862 MW pool of extended-life existing units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Applied as a simple upper bound on g[t] each hour, not a separate constraint row</w:t>
      </w:r>
    </w:p>
    <w:p>
      <w:pPr>
        <w:pStyle w:val="Heading2"/>
        <w:spacing w:after="120" w:before="250"/>
      </w:pPr>
      <w:r>
        <w:t xml:space="preserve">Resilience tilt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RESILIENCE_TILT_PCT = 3% — reduces iron-air's effective CAPEX in the objective only; the real, unadjusted FE_ENERGY_CAPEX is still used everywhere else (Assumptions tab, land-use calculations)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Rationale: iron-air's 100-hour duration provides genuine multi-day resilience Na-ion cannot structurally match — a criterion the LP does not otherwise price, since it optimizes cost alone. Explicitly does NOT capture Na-ion's real grid-services/fast-response value, which argues in the opposite direction — a disclosed, one-directional policy choice</w:t>
      </w:r>
    </w:p>
    <w:p>
      <w:pPr>
        <w:pStyle w:val="Heading2"/>
        <w:spacing w:after="120" w:before="250"/>
      </w:pPr>
      <w:r>
        <w:t xml:space="preserve">Key corrected constants (this session)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1900"/>
        <w:gridCol w:w="2400"/>
      </w:tblGrid>
      <w:tr>
        <w:trPr>
          <w:tblHeader/>
        </w:trPr>
        <w:tc>
          <w:tcPr>
            <w:tcW w:type="dxa" w:w="18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Constant</w:t>
            </w:r>
          </w:p>
        </w:tc>
        <w:tc>
          <w:tcPr>
            <w:tcW w:type="dxa" w:w="19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Old (wrong) value</w:t>
            </w:r>
          </w:p>
        </w:tc>
        <w:tc>
          <w:tcPr>
            <w:tcW w:type="dxa" w:w="19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Corrected value</w:t>
            </w:r>
          </w:p>
        </w:tc>
        <w:tc>
          <w:tcPr>
            <w:tcW w:type="dxa" w:w="2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CVOW_MW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2,535.0 MW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2,587.2 MW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lp_model.py — real nameplate (176 x 14.7MW Siemens Gamesa turbines), not the SAM proxy-turbine-count figure. Correction had been applied to a duplicate constant in driver.py but never to the source used by the actual energy balance.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EXPORT_AVG_PRICE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$63.00/MWh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$37.80/MWh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lp_model.py — code had the intermediate, since-rejected value; Assumptions tab's own documented correction history was the source of truth.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Curtailment cost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$0.01, then $1.0/MWh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$100.0/MWh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lp_model.py objective — validated directly as the level needed to drive full utilization of built storage before curtailing.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Na-ion DoD range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[0%, 80%] (backwards)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[20%, 100%] (standard convention)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lp_model.py inequality constraints.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Open Items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Simultaneous charge/discharge: the joint power constraint (restored) only bounds the SUM of charge+discharge, not true mutual exclusivity — confirmed directly that both can run substantially simultaneously as long as their sum stays within the rated power. A genuine fix needs either (a) a true complementarity constraint (nc[t]·nd[t]=0, requires binary variables / MILP), or (b) a cycling cost on BOTH charge and discharge, not just discharge. Neither has been implemented or tested yet.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Solver instability: a charging incentive (-$2/MWh on nc/fc) was found to cause genuine non-reproducibility — three identical solves gave three different answers with it present, zero spread once removed. Removed permanently, but its removal is what reintroduced the simultaneous-dispatch gap above, so the two open items are linked.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 price shape: the "seasonally-varying" export price multiplier is a completely unpopulated placeholder (flat 1.0 for every season/hour) despite code comments describing a real derivation methodology. Not yet fixed.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2030/2035/2040 checkpoints have not been rerun with the current, complete set of fixes (DoD direction, curtailment cost, CVOW_MW, joint constraint restoration) — only 2045 reflects the current model.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2026-08-19T11:54:05.554Z</dcterms:created>
  <dcterms:modified xsi:type="dcterms:W3CDTF">2026-08-19T11:54:05.554Z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