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071"/>
            <w:shd w:val="clear" w:color="auto" w:fill="1E3A8A"/>
            <w:tcBorders>
              <w:top w:val="single" w:sz="4" w:space="0" w:color="1E3A8A"/>
              <w:left w:val="single" w:sz="4" w:space="0" w:color="1E3A8A"/>
              <w:bottom w:val="single" w:sz="4" w:space="0" w:color="1E3A8A"/>
              <w:right w:val="single" w:sz="4" w:space="0" w:color="1E3A8A"/>
            </w:tcBorders>
          </w:tcPr>
          <w:p>
            <w:pPr>
              <w:spacing w:before="360" w:after="120"/>
              <w:jc w:val="center"/>
            </w:pPr>
            <w:r>
              <w:rPr>
                <w:rFonts w:ascii="Calibri" w:hAnsi="Calibri" w:cs="Calibri"/>
                <w:rFonts w:ascii="Calibri" w:hAnsi="Calibri"/>
                <w:b/>
                <w:color w:val="FFFFFF"/>
                <w:sz w:val="64"/>
              </w:rPr>
              <w:t>TRUCKFLOW</w:t>
            </w:r>
          </w:p>
          <w:p>
            <w:pPr>
              <w:spacing w:before="0" w:after="120"/>
              <w:jc w:val="center"/>
            </w:pPr>
            <w:r>
              <w:rPr>
                <w:rFonts w:ascii="Calibri" w:hAnsi="Calibri" w:cs="Calibri"/>
                <w:rFonts w:ascii="Calibri" w:hAnsi="Calibri"/>
                <w:color w:val="BFDBFE"/>
                <w:sz w:val="26"/>
              </w:rPr>
              <w:t>Application de gestion logistique — Hub de transport</w:t>
            </w:r>
          </w:p>
          <w:p>
            <w:pPr>
              <w:spacing w:before="80" w:after="280"/>
              <w:jc w:val="center"/>
            </w:pPr>
            <w:r>
              <w:rPr>
                <w:rFonts w:ascii="Calibri" w:hAnsi="Calibri" w:cs="Calibri"/>
                <w:rFonts w:ascii="Calibri" w:hAnsi="Calibri"/>
                <w:i/>
                <w:color w:val="93C5FD"/>
                <w:sz w:val="20"/>
              </w:rPr>
              <w:t>Document de présentation interne  ·  2026</w:t>
            </w:r>
          </w:p>
        </w:tc>
      </w:tr>
    </w:tbl>
    <w:p>
      <w:pPr>
        <w:spacing w:before="0" w:after="0"/>
      </w:pPr>
      <w:r>
        <w:rPr>
          <w:sz w:val="8"/>
        </w:rPr>
      </w:r>
    </w:p>
    <w:p>
      <w:pPr>
        <w:spacing w:before="0" w:after="0"/>
      </w:pPr>
      <w:r>
        <w:rPr>
          <w:sz w:val="8"/>
        </w:rPr>
      </w:r>
    </w:p>
    <w:tbl>
      <w:tblPr>
        <w:tblStyle w:val="TableGrid"/>
        <w:tblW w:type="auto" w:w="0"/>
        <w:tblLook w:firstColumn="1" w:firstRow="1" w:lastColumn="0" w:lastRow="0" w:noHBand="0" w:noVBand="1" w:val="04A0"/>
      </w:tblPr>
      <w:tblGrid>
        <w:gridCol w:w="9406"/>
      </w:tblGrid>
      <w:tr>
        <w:tc>
          <w:tcPr>
            <w:tcW w:type="dxa" w:w="9406"/>
            <w:shd w:val="clear" w:color="auto" w:fill="EFF6FF"/>
            <w:tcBorders>
              <w:top w:val="single" w:sz="4" w:space="0" w:color="2563EB"/>
              <w:left w:val="single" w:sz="4" w:space="0" w:color="2563EB"/>
              <w:bottom w:val="single" w:sz="4" w:space="0" w:color="2563EB"/>
              <w:right w:val="single" w:sz="4" w:space="0" w:color="2563EB"/>
            </w:tcBorders>
          </w:tcPr>
          <w:p>
            <w:pPr>
              <w:spacing w:before="80" w:after="80"/>
            </w:pPr>
            <w:r>
              <w:rPr>
                <w:rFonts w:ascii="Calibri" w:hAnsi="Calibri" w:cs="Calibri"/>
                <w:rFonts w:ascii="Calibri" w:hAnsi="Calibri"/>
                <w:i/>
                <w:color w:val="1E3A8A"/>
                <w:sz w:val="21"/>
              </w:rPr>
              <w:t>« Centraliser, suivre et piloter en temps réel tous les flux de transport du hub — pour gagner en réactivité, réduire les erreurs et produire des données exploitables chaque jour. »</w:t>
            </w:r>
          </w:p>
        </w:tc>
      </w:tr>
    </w:tbl>
    <w:p>
      <w:pPr>
        <w:spacing w:before="0" w:after="0"/>
      </w:pPr>
      <w:r>
        <w:rPr>
          <w:sz w:val="8"/>
        </w:rPr>
      </w:r>
    </w:p>
    <w:p>
      <w:pPr>
        <w:spacing w:before="0" w:after="0"/>
      </w:pPr>
      <w:r>
        <w:rPr>
          <w:sz w:val="8"/>
        </w:rPr>
      </w:r>
    </w:p>
    <w:p>
      <w:pPr>
        <w:keepNext/>
        <w:spacing w:before="360" w:after="120"/>
        <w:pBdr>
          <w:bottom w:val="single" w:sz="6" w:space="4" w:color="1E3A8A"/>
        </w:pBdr>
      </w:pPr>
      <w:r>
        <w:rPr>
          <w:rFonts w:ascii="Calibri" w:hAnsi="Calibri" w:cs="Calibri"/>
          <w:rFonts w:ascii="Calibri" w:hAnsi="Calibri"/>
          <w:b/>
          <w:color w:val="1E3A8A"/>
          <w:sz w:val="32"/>
        </w:rPr>
        <w:t>1. Introduction</w:t>
      </w:r>
    </w:p>
    <w:p>
      <w:pPr>
        <w:spacing w:before="40" w:after="80"/>
      </w:pPr>
      <w:r>
        <w:rPr>
          <w:rFonts w:ascii="Calibri" w:hAnsi="Calibri" w:cs="Calibri"/>
          <w:rFonts w:ascii="Calibri" w:hAnsi="Calibri"/>
          <w:color w:val="111827"/>
          <w:sz w:val="21"/>
        </w:rPr>
        <w:t>TruckFlow est une application web de gestion logistique conçue spécifiquement pour le suivi opérationnel d'un hub de transport. Elle centralise en temps réel l'ensemble des informations relatives aux camions, livraisons, quais et expéditions de la journée.</w:t>
      </w:r>
    </w:p>
    <w:p>
      <w:pPr>
        <w:spacing w:before="40" w:after="80"/>
      </w:pPr>
      <w:r>
        <w:rPr>
          <w:rFonts w:ascii="Calibri" w:hAnsi="Calibri" w:cs="Calibri"/>
          <w:rFonts w:ascii="Calibri" w:hAnsi="Calibri"/>
          <w:color w:val="111827"/>
          <w:sz w:val="21"/>
        </w:rPr>
        <w:t>Ce document présente les enjeux qui ont motivé sa création, les fonctionnalités concrètes qu'elle apporte, ainsi que les bénéfices mesurables pour l'activité.</w:t>
      </w:r>
    </w:p>
    <w:p>
      <w:pPr>
        <w:keepNext/>
        <w:spacing w:before="360" w:after="120"/>
        <w:pBdr>
          <w:bottom w:val="single" w:sz="6" w:space="4" w:color="1E3A8A"/>
        </w:pBdr>
      </w:pPr>
      <w:r>
        <w:rPr>
          <w:rFonts w:ascii="Calibri" w:hAnsi="Calibri" w:cs="Calibri"/>
          <w:rFonts w:ascii="Calibri" w:hAnsi="Calibri"/>
          <w:b/>
          <w:color w:val="1E3A8A"/>
          <w:sz w:val="32"/>
        </w:rPr>
        <w:t>2. Contexte métier — Pourquoi cette application</w:t>
      </w:r>
    </w:p>
    <w:p>
      <w:pPr>
        <w:keepNext/>
        <w:spacing w:before="240" w:after="80"/>
      </w:pPr>
      <w:r>
        <w:rPr>
          <w:rFonts w:ascii="Calibri" w:hAnsi="Calibri" w:cs="Calibri"/>
          <w:rFonts w:ascii="Calibri" w:hAnsi="Calibri"/>
          <w:b/>
          <w:color w:val="2563EB"/>
          <w:sz w:val="26"/>
        </w:rPr>
        <w:t>2.1  Problèmes identifiés sur le terrain</w:t>
      </w:r>
    </w:p>
    <w:p>
      <w:pPr>
        <w:spacing w:before="40" w:after="80"/>
      </w:pPr>
      <w:r>
        <w:rPr>
          <w:rFonts w:ascii="Calibri" w:hAnsi="Calibri" w:cs="Calibri"/>
          <w:rFonts w:ascii="Calibri" w:hAnsi="Calibri"/>
          <w:color w:val="111827"/>
          <w:sz w:val="21"/>
        </w:rPr>
        <w:t>La gestion quotidienne d'un hub de transport repose sur des flux d'information denses et rapides. Sans outil adapté, plusieurs problèmes récurrents dégradent la performance opérationnelle :</w:t>
      </w:r>
    </w:p>
    <w:p>
      <w:pPr>
        <w:pStyle w:val="ListBullet"/>
        <w:spacing w:before="20" w:after="20"/>
        <w:ind w:left="340"/>
      </w:pPr>
      <w:r>
        <w:rPr>
          <w:rFonts w:ascii="Calibri" w:hAnsi="Calibri" w:cs="Calibri"/>
          <w:rFonts w:ascii="Calibri" w:hAnsi="Calibri"/>
          <w:b/>
          <w:color w:val="111827"/>
          <w:sz w:val="21"/>
        </w:rPr>
        <w:t>Visibilité fragmentée</w:t>
      </w:r>
      <w:r>
        <w:rPr>
          <w:rFonts w:ascii="Calibri" w:hAnsi="Calibri" w:cs="Calibri"/>
          <w:rFonts w:ascii="Calibri" w:hAnsi="Calibri"/>
          <w:color w:val="111827"/>
          <w:sz w:val="21"/>
        </w:rPr>
      </w:r>
    </w:p>
    <w:p>
      <w:pPr>
        <w:spacing w:before="40" w:after="80"/>
      </w:pPr>
      <w:r>
        <w:rPr>
          <w:rFonts w:ascii="Calibri" w:hAnsi="Calibri" w:cs="Calibri"/>
          <w:rFonts w:ascii="Calibri" w:hAnsi="Calibri"/>
          <w:color w:val="4B5563"/>
          <w:sz w:val="21"/>
        </w:rPr>
        <w:t>Les informations sur les camions (heure d'arrivée, statut de chargement, état des livraisons) sont dispersées entre SAP, des fichiers Excel et des échanges verbaux.</w:t>
      </w:r>
    </w:p>
    <w:p>
      <w:pPr>
        <w:pStyle w:val="ListBullet"/>
        <w:spacing w:before="20" w:after="20"/>
        <w:ind w:left="340"/>
      </w:pPr>
      <w:r>
        <w:rPr>
          <w:rFonts w:ascii="Calibri" w:hAnsi="Calibri" w:cs="Calibri"/>
          <w:rFonts w:ascii="Calibri" w:hAnsi="Calibri"/>
          <w:b/>
          <w:color w:val="111827"/>
          <w:sz w:val="21"/>
        </w:rPr>
        <w:t>Absence de suivi en temps réel</w:t>
      </w:r>
      <w:r>
        <w:rPr>
          <w:rFonts w:ascii="Calibri" w:hAnsi="Calibri" w:cs="Calibri"/>
          <w:rFonts w:ascii="Calibri" w:hAnsi="Calibri"/>
          <w:color w:val="111827"/>
          <w:sz w:val="21"/>
        </w:rPr>
      </w:r>
    </w:p>
    <w:p>
      <w:pPr>
        <w:spacing w:before="40" w:after="80"/>
      </w:pPr>
      <w:r>
        <w:rPr>
          <w:rFonts w:ascii="Calibri" w:hAnsi="Calibri" w:cs="Calibri"/>
          <w:rFonts w:ascii="Calibri" w:hAnsi="Calibri"/>
          <w:color w:val="4B5563"/>
          <w:sz w:val="21"/>
        </w:rPr>
        <w:t>Il est difficile de savoir, à un instant T, combien de camions sont à quai, lesquels sont en retard, lesquels attendent encore.</w:t>
      </w:r>
    </w:p>
    <w:p>
      <w:pPr>
        <w:pStyle w:val="ListBullet"/>
        <w:spacing w:before="20" w:after="20"/>
        <w:ind w:left="340"/>
      </w:pPr>
      <w:r>
        <w:rPr>
          <w:rFonts w:ascii="Calibri" w:hAnsi="Calibri" w:cs="Calibri"/>
          <w:rFonts w:ascii="Calibri" w:hAnsi="Calibri"/>
          <w:b/>
          <w:color w:val="111827"/>
          <w:sz w:val="21"/>
        </w:rPr>
        <w:t>Saisie manuelle répétitive</w:t>
      </w:r>
      <w:r>
        <w:rPr>
          <w:rFonts w:ascii="Calibri" w:hAnsi="Calibri" w:cs="Calibri"/>
          <w:rFonts w:ascii="Calibri" w:hAnsi="Calibri"/>
          <w:color w:val="111827"/>
          <w:sz w:val="21"/>
        </w:rPr>
      </w:r>
    </w:p>
    <w:p>
      <w:pPr>
        <w:spacing w:before="40" w:after="80"/>
      </w:pPr>
      <w:r>
        <w:rPr>
          <w:rFonts w:ascii="Calibri" w:hAnsi="Calibri" w:cs="Calibri"/>
          <w:rFonts w:ascii="Calibri" w:hAnsi="Calibri"/>
          <w:color w:val="4B5563"/>
          <w:sz w:val="21"/>
        </w:rPr>
        <w:t>Les timestamps d'arrivée, mise à quai, début et fin de chargement sont souvent notés sur papier ou dans des tableaux non partagés.</w:t>
      </w:r>
    </w:p>
    <w:p>
      <w:pPr>
        <w:pStyle w:val="ListBullet"/>
        <w:spacing w:before="20" w:after="20"/>
        <w:ind w:left="340"/>
      </w:pPr>
      <w:r>
        <w:rPr>
          <w:rFonts w:ascii="Calibri" w:hAnsi="Calibri" w:cs="Calibri"/>
          <w:rFonts w:ascii="Calibri" w:hAnsi="Calibri"/>
          <w:b/>
          <w:color w:val="111827"/>
          <w:sz w:val="21"/>
        </w:rPr>
        <w:t>Réactivité limitée</w:t>
      </w:r>
      <w:r>
        <w:rPr>
          <w:rFonts w:ascii="Calibri" w:hAnsi="Calibri" w:cs="Calibri"/>
          <w:rFonts w:ascii="Calibri" w:hAnsi="Calibri"/>
          <w:color w:val="111827"/>
          <w:sz w:val="21"/>
        </w:rPr>
      </w:r>
    </w:p>
    <w:p>
      <w:pPr>
        <w:spacing w:before="40" w:after="80"/>
      </w:pPr>
      <w:r>
        <w:rPr>
          <w:rFonts w:ascii="Calibri" w:hAnsi="Calibri" w:cs="Calibri"/>
          <w:rFonts w:ascii="Calibri" w:hAnsi="Calibri"/>
          <w:color w:val="4B5563"/>
          <w:sz w:val="21"/>
        </w:rPr>
        <w:t>Sans vue consolidée, les décisions (réaffectation de quai, priorité de chargement, alerte retard) se prennent trop tard.</w:t>
      </w:r>
    </w:p>
    <w:p>
      <w:pPr>
        <w:pStyle w:val="ListBullet"/>
        <w:spacing w:before="20" w:after="20"/>
        <w:ind w:left="340"/>
      </w:pPr>
      <w:r>
        <w:rPr>
          <w:rFonts w:ascii="Calibri" w:hAnsi="Calibri" w:cs="Calibri"/>
          <w:rFonts w:ascii="Calibri" w:hAnsi="Calibri"/>
          <w:b/>
          <w:color w:val="111827"/>
          <w:sz w:val="21"/>
        </w:rPr>
        <w:t>Pertes d'information</w:t>
      </w:r>
      <w:r>
        <w:rPr>
          <w:rFonts w:ascii="Calibri" w:hAnsi="Calibri" w:cs="Calibri"/>
          <w:rFonts w:ascii="Calibri" w:hAnsi="Calibri"/>
          <w:color w:val="111827"/>
          <w:sz w:val="21"/>
        </w:rPr>
      </w:r>
    </w:p>
    <w:p>
      <w:pPr>
        <w:spacing w:before="40" w:after="80"/>
      </w:pPr>
      <w:r>
        <w:rPr>
          <w:rFonts w:ascii="Calibri" w:hAnsi="Calibri" w:cs="Calibri"/>
          <w:rFonts w:ascii="Calibri" w:hAnsi="Calibri"/>
          <w:color w:val="4B5563"/>
          <w:sz w:val="21"/>
        </w:rPr>
        <w:t>À la fin de journée, les données opérationnelles ne sont pas archivées de façon structurée, rendant tout retour d'expérience difficile.</w:t>
      </w:r>
    </w:p>
    <w:p>
      <w:pPr>
        <w:spacing w:before="0" w:after="0"/>
      </w:pPr>
      <w:r>
        <w:rPr>
          <w:sz w:val="8"/>
        </w:rPr>
      </w:r>
    </w:p>
    <w:p>
      <w:pPr>
        <w:keepNext/>
        <w:spacing w:before="240" w:after="80"/>
      </w:pPr>
      <w:r>
        <w:rPr>
          <w:rFonts w:ascii="Calibri" w:hAnsi="Calibri" w:cs="Calibri"/>
          <w:rFonts w:ascii="Calibri" w:hAnsi="Calibri"/>
          <w:b/>
          <w:color w:val="2563EB"/>
          <w:sz w:val="26"/>
        </w:rPr>
        <w:t>2.2  Limites des outils existants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E3A8A"/>
          </w:tcPr>
          <w:p>
            <w:pPr>
              <w:spacing w:before="60" w:after="60"/>
              <w:jc w:val="left"/>
            </w:pPr>
            <w:r>
              <w:rPr>
                <w:rFonts w:ascii="Calibri" w:hAnsi="Calibri" w:cs="Calibri"/>
                <w:rFonts w:ascii="Calibri" w:hAnsi="Calibri"/>
                <w:b/>
                <w:color w:val="FFFFFF"/>
                <w:sz w:val="20"/>
              </w:rPr>
              <w:t>Outil</w:t>
            </w:r>
          </w:p>
        </w:tc>
        <w:tc>
          <w:tcPr>
            <w:tcW w:type="dxa" w:w="6236"/>
            <w:shd w:val="clear" w:color="auto" w:fill="1E3A8A"/>
          </w:tcPr>
          <w:p>
            <w:pPr>
              <w:spacing w:before="60" w:after="60"/>
              <w:jc w:val="left"/>
            </w:pPr>
            <w:r>
              <w:rPr>
                <w:rFonts w:ascii="Calibri" w:hAnsi="Calibri" w:cs="Calibri"/>
                <w:rFonts w:ascii="Calibri" w:hAnsi="Calibri"/>
                <w:b/>
                <w:color w:val="FFFFFF"/>
                <w:sz w:val="20"/>
              </w:rPr>
              <w:t>Limite principale</w:t>
            </w:r>
          </w:p>
        </w:tc>
      </w:tr>
      <w:tr>
        <w:tc>
          <w:tcPr>
            <w:tcW w:type="dxa" w:w="283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SAP / VL06O</w:t>
            </w:r>
          </w:p>
        </w:tc>
        <w:tc>
          <w:tcPr>
            <w:tcW w:type="dxa" w:w="6236"/>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Données statiques · exports manuels · pas de vue temps réel</w:t>
            </w:r>
          </w:p>
        </w:tc>
      </w:tr>
      <w:tr>
        <w:tc>
          <w:tcPr>
            <w:tcW w:type="dxa" w:w="28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Excel</w:t>
            </w:r>
          </w:p>
        </w:tc>
        <w:tc>
          <w:tcPr>
            <w:tcW w:type="dxa" w:w="6236"/>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Non partageable en temps réel · erreurs de saisie · pas d'alertes</w:t>
            </w:r>
          </w:p>
        </w:tc>
      </w:tr>
      <w:tr>
        <w:tc>
          <w:tcPr>
            <w:tcW w:type="dxa" w:w="283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Suivi verbal / papier</w:t>
            </w:r>
          </w:p>
        </w:tc>
        <w:tc>
          <w:tcPr>
            <w:tcW w:type="dxa" w:w="6236"/>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Non traçable · perte d'information · aucune historisation</w:t>
            </w:r>
          </w:p>
        </w:tc>
      </w:tr>
      <w:tr>
        <w:tc>
          <w:tcPr>
            <w:tcW w:type="dxa" w:w="28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Outils génériques</w:t>
            </w:r>
          </w:p>
        </w:tc>
        <w:tc>
          <w:tcPr>
            <w:tcW w:type="dxa" w:w="6236"/>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Non adaptés au métier · coûteux · paramétrage long</w:t>
            </w:r>
          </w:p>
        </w:tc>
      </w:tr>
    </w:tbl>
    <w:p>
      <w:pPr>
        <w:spacing w:before="0" w:after="0"/>
      </w:pPr>
      <w:r>
        <w:rPr>
          <w:sz w:val="8"/>
        </w:rPr>
      </w:r>
    </w:p>
    <w:p>
      <w:pPr>
        <w:keepNext/>
        <w:spacing w:before="360" w:after="120"/>
        <w:pBdr>
          <w:bottom w:val="single" w:sz="6" w:space="4" w:color="1E3A8A"/>
        </w:pBdr>
      </w:pPr>
      <w:r>
        <w:rPr>
          <w:rFonts w:ascii="Calibri" w:hAnsi="Calibri" w:cs="Calibri"/>
          <w:rFonts w:ascii="Calibri" w:hAnsi="Calibri"/>
          <w:b/>
          <w:color w:val="1E3A8A"/>
          <w:sz w:val="32"/>
        </w:rPr>
        <w:t>3. Ce que TruckFlow apporte concrètement</w:t>
      </w:r>
    </w:p>
    <w:p>
      <w:pPr>
        <w:keepNext/>
        <w:spacing w:before="240" w:after="80"/>
      </w:pPr>
      <w:r>
        <w:rPr>
          <w:rFonts w:ascii="Calibri" w:hAnsi="Calibri" w:cs="Calibri"/>
          <w:rFonts w:ascii="Calibri" w:hAnsi="Calibri"/>
          <w:b/>
          <w:color w:val="2563EB"/>
          <w:sz w:val="26"/>
        </w:rPr>
        <w:t>3.1  Suivi en temps réel</w:t>
      </w:r>
    </w:p>
    <w:p>
      <w:pPr>
        <w:spacing w:before="40" w:after="80"/>
      </w:pPr>
      <w:r>
        <w:rPr>
          <w:rFonts w:ascii="Calibri" w:hAnsi="Calibri" w:cs="Calibri"/>
          <w:rFonts w:ascii="Calibri" w:hAnsi="Calibri"/>
          <w:color w:val="111827"/>
          <w:sz w:val="21"/>
        </w:rPr>
        <w:t>Chaque camion dispose d'une fiche de vie complète avec horodatage automatique de chaque étape du flux :</w:t>
      </w:r>
    </w:p>
    <w:tbl>
      <w:tblPr>
        <w:tblStyle w:val="TableGrid"/>
        <w:tblW w:type="auto" w:w="0"/>
        <w:tblLook w:firstColumn="1" w:firstRow="1" w:lastColumn="0" w:lastRow="0" w:noHBand="0" w:noVBand="1" w:val="04A0"/>
      </w:tblPr>
      <w:tblGrid>
        <w:gridCol w:w="9406"/>
      </w:tblGrid>
      <w:tr>
        <w:tc>
          <w:tcPr>
            <w:tcW w:type="dxa" w:w="9406"/>
            <w:shd w:val="clear" w:color="auto" w:fill="F0FDF4"/>
            <w:tcBorders>
              <w:top w:val="single" w:sz="4" w:space="0" w:color="16A34A"/>
              <w:left w:val="single" w:sz="4" w:space="0" w:color="16A34A"/>
              <w:bottom w:val="single" w:sz="4" w:space="0" w:color="16A34A"/>
              <w:right w:val="single" w:sz="4" w:space="0" w:color="16A34A"/>
            </w:tcBorders>
          </w:tcPr>
          <w:p>
            <w:pPr>
              <w:spacing w:before="80" w:after="80"/>
            </w:pPr>
            <w:r>
              <w:rPr>
                <w:rFonts w:ascii="Calibri" w:hAnsi="Calibri" w:cs="Calibri"/>
                <w:rFonts w:ascii="Calibri" w:hAnsi="Calibri"/>
                <w:i/>
                <w:color w:val="1E3A8A"/>
                <w:sz w:val="21"/>
              </w:rPr>
              <w:t>Arrivée  →  Mise à quai  →  Début chargement  →  Fin chargement  →  Départ</w:t>
            </w:r>
          </w:p>
        </w:tc>
      </w:tr>
    </w:tbl>
    <w:p>
      <w:pPr>
        <w:spacing w:before="0" w:after="0"/>
      </w:pPr>
      <w:r>
        <w:rPr>
          <w:sz w:val="8"/>
        </w:rPr>
      </w:r>
    </w:p>
    <w:p>
      <w:pPr>
        <w:spacing w:before="40" w:after="80"/>
      </w:pPr>
      <w:r>
        <w:rPr>
          <w:rFonts w:ascii="Calibri" w:hAnsi="Calibri" w:cs="Calibri"/>
          <w:rFonts w:ascii="Calibri" w:hAnsi="Calibri"/>
          <w:color w:val="111827"/>
          <w:sz w:val="21"/>
        </w:rPr>
        <w:t>Les durées entre étapes sont calculées automatiquement. Des alertes visuelles et sonores se déclenchent en cas d'anomalie (retard d'arrivée, chargement dépassant le seuil configuré, créneau surchargé).</w:t>
      </w:r>
    </w:p>
    <w:p>
      <w:pPr>
        <w:keepNext/>
        <w:spacing w:before="240" w:after="80"/>
      </w:pPr>
      <w:r>
        <w:rPr>
          <w:rFonts w:ascii="Calibri" w:hAnsi="Calibri" w:cs="Calibri"/>
          <w:rFonts w:ascii="Calibri" w:hAnsi="Calibri"/>
          <w:b/>
          <w:color w:val="2563EB"/>
          <w:sz w:val="26"/>
        </w:rPr>
        <w:t>3.2  Centralisation des informations</w:t>
      </w:r>
    </w:p>
    <w:p>
      <w:pPr>
        <w:pStyle w:val="ListBullet"/>
        <w:spacing w:before="20" w:after="20"/>
        <w:ind w:left="340"/>
      </w:pPr>
      <w:r>
        <w:rPr>
          <w:rFonts w:ascii="Calibri" w:hAnsi="Calibri" w:cs="Calibri"/>
          <w:rFonts w:ascii="Calibri" w:hAnsi="Calibri"/>
          <w:color w:val="111827"/>
          <w:sz w:val="21"/>
        </w:rPr>
        <w:t>Toutes les données du jour sur un seul écran : camions, livraisons, articles, statuts, quais.</w:t>
      </w:r>
    </w:p>
    <w:p>
      <w:pPr>
        <w:pStyle w:val="ListBullet"/>
        <w:spacing w:before="20" w:after="20"/>
        <w:ind w:left="340"/>
      </w:pPr>
      <w:r>
        <w:rPr>
          <w:rFonts w:ascii="Calibri" w:hAnsi="Calibri" w:cs="Calibri"/>
          <w:rFonts w:ascii="Calibri" w:hAnsi="Calibri"/>
          <w:color w:val="111827"/>
          <w:sz w:val="21"/>
        </w:rPr>
        <w:t>Import direct depuis SAP (fichier VL06O) en quelques secondes.</w:t>
      </w:r>
    </w:p>
    <w:p>
      <w:pPr>
        <w:pStyle w:val="ListBullet"/>
        <w:spacing w:before="20" w:after="20"/>
        <w:ind w:left="340"/>
      </w:pPr>
      <w:r>
        <w:rPr>
          <w:rFonts w:ascii="Calibri" w:hAnsi="Calibri" w:cs="Calibri"/>
          <w:rFonts w:ascii="Calibri" w:hAnsi="Calibri"/>
          <w:color w:val="111827"/>
          <w:sz w:val="21"/>
        </w:rPr>
        <w:t>Mise à jour automatique à chaque réimport, avec conservation des données saisies manuellement.</w:t>
      </w:r>
    </w:p>
    <w:p>
      <w:pPr>
        <w:pStyle w:val="ListBullet"/>
        <w:spacing w:before="20" w:after="20"/>
        <w:ind w:left="340"/>
      </w:pPr>
      <w:r>
        <w:rPr>
          <w:rFonts w:ascii="Calibri" w:hAnsi="Calibri" w:cs="Calibri"/>
          <w:rFonts w:ascii="Calibri" w:hAnsi="Calibri"/>
          <w:color w:val="111827"/>
          <w:sz w:val="21"/>
        </w:rPr>
        <w:t>Détection automatique de l'état marchandise (prête / retard silo / retard prépa) basée sur les statuts SAP.</w:t>
      </w:r>
    </w:p>
    <w:p>
      <w:pPr>
        <w:keepNext/>
        <w:spacing w:before="240" w:after="80"/>
      </w:pPr>
      <w:r>
        <w:rPr>
          <w:rFonts w:ascii="Calibri" w:hAnsi="Calibri" w:cs="Calibri"/>
          <w:rFonts w:ascii="Calibri" w:hAnsi="Calibri"/>
          <w:b/>
          <w:color w:val="2563EB"/>
          <w:sz w:val="26"/>
        </w:rPr>
        <w:t>3.3  Amélioration de la communication</w:t>
      </w:r>
    </w:p>
    <w:p>
      <w:pPr>
        <w:pStyle w:val="ListBullet"/>
        <w:spacing w:before="20" w:after="20"/>
        <w:ind w:left="340"/>
      </w:pPr>
      <w:r>
        <w:rPr>
          <w:rFonts w:ascii="Calibri" w:hAnsi="Calibri" w:cs="Calibri"/>
          <w:rFonts w:ascii="Calibri" w:hAnsi="Calibri"/>
          <w:color w:val="111827"/>
          <w:sz w:val="21"/>
        </w:rPr>
        <w:t>Fenêtre Monitor : affichage dédié pour écran mural (TV de quai), mis à jour en temps réel.</w:t>
      </w:r>
    </w:p>
    <w:p>
      <w:pPr>
        <w:pStyle w:val="ListBullet"/>
        <w:spacing w:before="20" w:after="20"/>
        <w:ind w:left="340"/>
      </w:pPr>
      <w:r>
        <w:rPr>
          <w:rFonts w:ascii="Calibri" w:hAnsi="Calibri" w:cs="Calibri"/>
          <w:rFonts w:ascii="Calibri" w:hAnsi="Calibri"/>
          <w:color w:val="111827"/>
          <w:sz w:val="21"/>
        </w:rPr>
        <w:t>Synchronisation multi-postes : plusieurs collaborateurs consultent les mêmes données simultanément.</w:t>
      </w:r>
    </w:p>
    <w:p>
      <w:pPr>
        <w:pStyle w:val="ListBullet"/>
        <w:spacing w:before="20" w:after="20"/>
        <w:ind w:left="340"/>
      </w:pPr>
      <w:r>
        <w:rPr>
          <w:rFonts w:ascii="Calibri" w:hAnsi="Calibri" w:cs="Calibri"/>
          <w:rFonts w:ascii="Calibri" w:hAnsi="Calibri"/>
          <w:color w:val="111827"/>
          <w:sz w:val="21"/>
        </w:rPr>
        <w:t>Export Excel et rapport PDF générables en un clic pour les réunions ou archives.</w:t>
      </w:r>
    </w:p>
    <w:p>
      <w:pPr>
        <w:keepNext/>
        <w:spacing w:before="240" w:after="80"/>
      </w:pPr>
      <w:r>
        <w:rPr>
          <w:rFonts w:ascii="Calibri" w:hAnsi="Calibri" w:cs="Calibri"/>
          <w:rFonts w:ascii="Calibri" w:hAnsi="Calibri"/>
          <w:b/>
          <w:color w:val="2563EB"/>
          <w:sz w:val="26"/>
        </w:rPr>
        <w:t>3.4  Gain de productivité</w:t>
      </w:r>
    </w:p>
    <w:p>
      <w:pPr>
        <w:pStyle w:val="ListBullet"/>
        <w:spacing w:before="20" w:after="20"/>
        <w:ind w:left="340"/>
      </w:pPr>
      <w:r>
        <w:rPr>
          <w:rFonts w:ascii="Calibri" w:hAnsi="Calibri" w:cs="Calibri"/>
          <w:rFonts w:ascii="Calibri" w:hAnsi="Calibri"/>
          <w:color w:val="111827"/>
          <w:sz w:val="21"/>
        </w:rPr>
        <w:t>Suppression des ressaisies : import VL06O → génération automatique des camions et livraisons.</w:t>
      </w:r>
    </w:p>
    <w:p>
      <w:pPr>
        <w:pStyle w:val="ListBullet"/>
        <w:spacing w:before="20" w:after="20"/>
        <w:ind w:left="340"/>
      </w:pPr>
      <w:r>
        <w:rPr>
          <w:rFonts w:ascii="Calibri" w:hAnsi="Calibri" w:cs="Calibri"/>
          <w:rFonts w:ascii="Calibri" w:hAnsi="Calibri"/>
          <w:color w:val="111827"/>
          <w:sz w:val="21"/>
        </w:rPr>
        <w:t>Pointage en 1 clic : timestamp enregistré avec heure exacte, sans formulaire.</w:t>
      </w:r>
    </w:p>
    <w:p>
      <w:pPr>
        <w:pStyle w:val="ListBullet"/>
        <w:spacing w:before="20" w:after="20"/>
        <w:ind w:left="340"/>
      </w:pPr>
      <w:r>
        <w:rPr>
          <w:rFonts w:ascii="Calibri" w:hAnsi="Calibri" w:cs="Calibri"/>
          <w:rFonts w:ascii="Calibri" w:hAnsi="Calibri"/>
          <w:color w:val="111827"/>
          <w:sz w:val="21"/>
        </w:rPr>
        <w:t>Tableau de bord avec KPIs temps réel : taux de ponctualité, temps moyen de chargement, états.</w:t>
      </w:r>
    </w:p>
    <w:p>
      <w:pPr>
        <w:pStyle w:val="ListBullet"/>
        <w:spacing w:before="20" w:after="20"/>
        <w:ind w:left="340"/>
      </w:pPr>
      <w:r>
        <w:rPr>
          <w:rFonts w:ascii="Calibri" w:hAnsi="Calibri" w:cs="Calibri"/>
          <w:rFonts w:ascii="Calibri" w:hAnsi="Calibri"/>
          <w:color w:val="111827"/>
          <w:sz w:val="21"/>
        </w:rPr>
        <w:t>Raccourcis clavier, mode compact, recherche globale — navigation optimisée terrain.</w:t>
      </w:r>
    </w:p>
    <w:p>
      <w:pPr>
        <w:keepNext/>
        <w:spacing w:before="240" w:after="80"/>
      </w:pPr>
      <w:r>
        <w:rPr>
          <w:rFonts w:ascii="Calibri" w:hAnsi="Calibri" w:cs="Calibri"/>
          <w:rFonts w:ascii="Calibri" w:hAnsi="Calibri"/>
          <w:b/>
          <w:color w:val="2563EB"/>
          <w:sz w:val="26"/>
        </w:rPr>
        <w:t>3.5  Réduction des anomalies logistiques</w:t>
      </w:r>
    </w:p>
    <w:p>
      <w:pPr>
        <w:pStyle w:val="ListBullet"/>
        <w:spacing w:before="20" w:after="20"/>
        <w:ind w:left="340"/>
      </w:pPr>
      <w:r>
        <w:rPr>
          <w:rFonts w:ascii="Calibri" w:hAnsi="Calibri" w:cs="Calibri"/>
          <w:rFonts w:ascii="Calibri" w:hAnsi="Calibri"/>
          <w:color w:val="111827"/>
          <w:sz w:val="21"/>
        </w:rPr>
        <w:t>Alerte surcharge créneau : détection automatique des créneaux à plus de 70 % de capacité.</w:t>
      </w:r>
    </w:p>
    <w:p>
      <w:pPr>
        <w:pStyle w:val="ListBullet"/>
        <w:spacing w:before="20" w:after="20"/>
        <w:ind w:left="340"/>
      </w:pPr>
      <w:r>
        <w:rPr>
          <w:rFonts w:ascii="Calibri" w:hAnsi="Calibri" w:cs="Calibri"/>
          <w:rFonts w:ascii="Calibri" w:hAnsi="Calibri"/>
          <w:color w:val="111827"/>
          <w:sz w:val="21"/>
        </w:rPr>
        <w:t>Prédiction de retard : badge de risque par camion basé sur l'historique transporteur.</w:t>
      </w:r>
    </w:p>
    <w:p>
      <w:pPr>
        <w:pStyle w:val="ListBullet"/>
        <w:spacing w:before="20" w:after="20"/>
        <w:ind w:left="340"/>
      </w:pPr>
      <w:r>
        <w:rPr>
          <w:rFonts w:ascii="Calibri" w:hAnsi="Calibri" w:cs="Calibri"/>
          <w:rFonts w:ascii="Calibri" w:hAnsi="Calibri"/>
          <w:color w:val="111827"/>
          <w:sz w:val="21"/>
        </w:rPr>
        <w:t>Scoring transporteurs : classement automatique ponctualité et temps de chargement réels.</w:t>
      </w:r>
    </w:p>
    <w:p>
      <w:pPr>
        <w:pStyle w:val="ListBullet"/>
        <w:spacing w:before="20" w:after="20"/>
        <w:ind w:left="340"/>
      </w:pPr>
      <w:r>
        <w:rPr>
          <w:rFonts w:ascii="Calibri" w:hAnsi="Calibri" w:cs="Calibri"/>
          <w:rFonts w:ascii="Calibri" w:hAnsi="Calibri"/>
          <w:color w:val="111827"/>
          <w:sz w:val="21"/>
        </w:rPr>
        <w:t>Heatmap d'occupation : visualisation de la charge par heure et par jour de la semaine.</w:t>
      </w:r>
    </w:p>
    <w:p>
      <w:pPr>
        <w:spacing w:before="0" w:after="0"/>
      </w:pPr>
      <w:r>
        <w:rPr>
          <w:sz w:val="8"/>
        </w:rPr>
      </w:r>
    </w:p>
    <w:p>
      <w:pPr>
        <w:keepNext/>
        <w:spacing w:before="360" w:after="120"/>
        <w:pBdr>
          <w:bottom w:val="single" w:sz="6" w:space="4" w:color="1E3A8A"/>
        </w:pBdr>
      </w:pPr>
      <w:r>
        <w:rPr>
          <w:rFonts w:ascii="Calibri" w:hAnsi="Calibri" w:cs="Calibri"/>
          <w:rFonts w:ascii="Calibri" w:hAnsi="Calibri"/>
          <w:b/>
          <w:color w:val="1E3A8A"/>
          <w:sz w:val="32"/>
        </w:rPr>
        <w:t>4. Cas d'usage — Journée type comparée</w:t>
      </w:r>
    </w:p>
    <w:p>
      <w:pPr>
        <w:keepNext/>
        <w:spacing w:before="240" w:after="80"/>
      </w:pPr>
      <w:r>
        <w:rPr>
          <w:rFonts w:ascii="Calibri" w:hAnsi="Calibri" w:cs="Calibri"/>
          <w:rFonts w:ascii="Calibri" w:hAnsi="Calibri"/>
          <w:b/>
          <w:color w:val="2563EB"/>
          <w:sz w:val="26"/>
        </w:rPr>
        <w:t>4.1  Sans TruckFlow</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1E3A8A"/>
          </w:tcPr>
          <w:p>
            <w:pPr>
              <w:spacing w:before="60" w:after="60"/>
              <w:jc w:val="left"/>
            </w:pPr>
            <w:r>
              <w:rPr>
                <w:rFonts w:ascii="Calibri" w:hAnsi="Calibri" w:cs="Calibri"/>
                <w:rFonts w:ascii="Calibri" w:hAnsi="Calibri"/>
                <w:b/>
                <w:color w:val="FFFFFF"/>
                <w:sz w:val="20"/>
              </w:rPr>
              <w:t>Heure</w:t>
            </w:r>
          </w:p>
        </w:tc>
        <w:tc>
          <w:tcPr>
            <w:tcW w:type="dxa" w:w="3969"/>
            <w:shd w:val="clear" w:color="auto" w:fill="1E3A8A"/>
          </w:tcPr>
          <w:p>
            <w:pPr>
              <w:spacing w:before="60" w:after="60"/>
              <w:jc w:val="left"/>
            </w:pPr>
            <w:r>
              <w:rPr>
                <w:rFonts w:ascii="Calibri" w:hAnsi="Calibri" w:cs="Calibri"/>
                <w:rFonts w:ascii="Calibri" w:hAnsi="Calibri"/>
                <w:b/>
                <w:color w:val="FFFFFF"/>
                <w:sz w:val="20"/>
              </w:rPr>
              <w:t>Action</w:t>
            </w:r>
          </w:p>
        </w:tc>
        <w:tc>
          <w:tcPr>
            <w:tcW w:type="dxa" w:w="3685"/>
            <w:shd w:val="clear" w:color="auto" w:fill="1E3A8A"/>
          </w:tcPr>
          <w:p>
            <w:pPr>
              <w:spacing w:before="60" w:after="60"/>
              <w:jc w:val="left"/>
            </w:pPr>
            <w:r>
              <w:rPr>
                <w:rFonts w:ascii="Calibri" w:hAnsi="Calibri" w:cs="Calibri"/>
                <w:rFonts w:ascii="Calibri" w:hAnsi="Calibri"/>
                <w:b/>
                <w:color w:val="FFFFFF"/>
                <w:sz w:val="20"/>
              </w:rPr>
              <w:t>Problème</w:t>
            </w:r>
          </w:p>
        </w:tc>
      </w:tr>
      <w:tr>
        <w:tc>
          <w:tcPr>
            <w:tcW w:type="dxa" w:w="1417"/>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07h00</w:t>
            </w:r>
          </w:p>
        </w:tc>
        <w:tc>
          <w:tcPr>
            <w:tcW w:type="dxa" w:w="3969"/>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Import SAP → copie manuelle dans Excel</w:t>
            </w:r>
          </w:p>
        </w:tc>
        <w:tc>
          <w:tcPr>
            <w:tcW w:type="dxa" w:w="368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Chronophage · erreurs possibles</w:t>
            </w:r>
          </w:p>
        </w:tc>
      </w:tr>
      <w:tr>
        <w:tc>
          <w:tcPr>
            <w:tcW w:type="dxa" w:w="1417"/>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07h30</w:t>
            </w:r>
          </w:p>
        </w:tc>
        <w:tc>
          <w:tcPr>
            <w:tcW w:type="dxa" w:w="3969"/>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Premier camion arrivé → note sur papier</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Non partagé · non traçable</w:t>
            </w:r>
          </w:p>
        </w:tc>
      </w:tr>
      <w:tr>
        <w:tc>
          <w:tcPr>
            <w:tcW w:type="dxa" w:w="1417"/>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08h15</w:t>
            </w:r>
          </w:p>
        </w:tc>
        <w:tc>
          <w:tcPr>
            <w:tcW w:type="dxa" w:w="3969"/>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Appel : "Le camion de STEF est là ?"</w:t>
            </w:r>
          </w:p>
        </w:tc>
        <w:tc>
          <w:tcPr>
            <w:tcW w:type="dxa" w:w="368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Excel pas à jour · perte de temps</w:t>
            </w:r>
          </w:p>
        </w:tc>
      </w:tr>
      <w:tr>
        <w:tc>
          <w:tcPr>
            <w:tcW w:type="dxa" w:w="1417"/>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09h00</w:t>
            </w:r>
          </w:p>
        </w:tc>
        <w:tc>
          <w:tcPr>
            <w:tcW w:type="dxa" w:w="3969"/>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Retard non détecté → quai bloqué</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Réactivité insuffisante</w:t>
            </w:r>
          </w:p>
        </w:tc>
      </w:tr>
      <w:tr>
        <w:tc>
          <w:tcPr>
            <w:tcW w:type="dxa" w:w="1417"/>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17h00</w:t>
            </w:r>
          </w:p>
        </w:tc>
        <w:tc>
          <w:tcPr>
            <w:tcW w:type="dxa" w:w="3969"/>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Reconstruction des données pour le rapport</w:t>
            </w:r>
          </w:p>
        </w:tc>
        <w:tc>
          <w:tcPr>
            <w:tcW w:type="dxa" w:w="368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45 min de saisie rétrospective</w:t>
            </w:r>
          </w:p>
        </w:tc>
      </w:tr>
    </w:tbl>
    <w:p>
      <w:pPr>
        <w:spacing w:before="0" w:after="0"/>
      </w:pPr>
      <w:r>
        <w:rPr>
          <w:sz w:val="8"/>
        </w:rPr>
      </w:r>
    </w:p>
    <w:p>
      <w:pPr>
        <w:keepNext/>
        <w:spacing w:before="240" w:after="80"/>
      </w:pPr>
      <w:r>
        <w:rPr>
          <w:rFonts w:ascii="Calibri" w:hAnsi="Calibri" w:cs="Calibri"/>
          <w:rFonts w:ascii="Calibri" w:hAnsi="Calibri"/>
          <w:b/>
          <w:color w:val="2563EB"/>
          <w:sz w:val="26"/>
        </w:rPr>
        <w:t>4.2  Avec TruckFlow</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1E3A8A"/>
          </w:tcPr>
          <w:p>
            <w:pPr>
              <w:spacing w:before="60" w:after="60"/>
              <w:jc w:val="left"/>
            </w:pPr>
            <w:r>
              <w:rPr>
                <w:rFonts w:ascii="Calibri" w:hAnsi="Calibri" w:cs="Calibri"/>
                <w:rFonts w:ascii="Calibri" w:hAnsi="Calibri"/>
                <w:b/>
                <w:color w:val="FFFFFF"/>
                <w:sz w:val="20"/>
              </w:rPr>
              <w:t>Heure</w:t>
            </w:r>
          </w:p>
        </w:tc>
        <w:tc>
          <w:tcPr>
            <w:tcW w:type="dxa" w:w="3969"/>
            <w:shd w:val="clear" w:color="auto" w:fill="1E3A8A"/>
          </w:tcPr>
          <w:p>
            <w:pPr>
              <w:spacing w:before="60" w:after="60"/>
              <w:jc w:val="left"/>
            </w:pPr>
            <w:r>
              <w:rPr>
                <w:rFonts w:ascii="Calibri" w:hAnsi="Calibri" w:cs="Calibri"/>
                <w:rFonts w:ascii="Calibri" w:hAnsi="Calibri"/>
                <w:b/>
                <w:color w:val="FFFFFF"/>
                <w:sz w:val="20"/>
              </w:rPr>
              <w:t>Action</w:t>
            </w:r>
          </w:p>
        </w:tc>
        <w:tc>
          <w:tcPr>
            <w:tcW w:type="dxa" w:w="3685"/>
            <w:shd w:val="clear" w:color="auto" w:fill="1E3A8A"/>
          </w:tcPr>
          <w:p>
            <w:pPr>
              <w:spacing w:before="60" w:after="60"/>
              <w:jc w:val="left"/>
            </w:pPr>
            <w:r>
              <w:rPr>
                <w:rFonts w:ascii="Calibri" w:hAnsi="Calibri" w:cs="Calibri"/>
                <w:rFonts w:ascii="Calibri" w:hAnsi="Calibri"/>
                <w:b/>
                <w:color w:val="FFFFFF"/>
                <w:sz w:val="20"/>
              </w:rPr>
              <w:t>Résultat</w:t>
            </w:r>
          </w:p>
        </w:tc>
      </w:tr>
      <w:tr>
        <w:tc>
          <w:tcPr>
            <w:tcW w:type="dxa" w:w="1417"/>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07h00</w:t>
            </w:r>
          </w:p>
        </w:tc>
        <w:tc>
          <w:tcPr>
            <w:tcW w:type="dxa" w:w="3969"/>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Import VL06O en 10 secondes</w:t>
            </w:r>
          </w:p>
        </w:tc>
        <w:tc>
          <w:tcPr>
            <w:tcW w:type="dxa" w:w="368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12 camions générés · livraisons · statuts</w:t>
            </w:r>
          </w:p>
        </w:tc>
      </w:tr>
      <w:tr>
        <w:tc>
          <w:tcPr>
            <w:tcW w:type="dxa" w:w="1417"/>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07h05</w:t>
            </w:r>
          </w:p>
        </w:tc>
        <w:tc>
          <w:tcPr>
            <w:tcW w:type="dxa" w:w="3969"/>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Tableau de bord ouvert</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3 camions ✅ Prête · 1 ⏳ Retard silo identifié</w:t>
            </w:r>
          </w:p>
        </w:tc>
      </w:tr>
      <w:tr>
        <w:tc>
          <w:tcPr>
            <w:tcW w:type="dxa" w:w="1417"/>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07h30</w:t>
            </w:r>
          </w:p>
        </w:tc>
        <w:tc>
          <w:tcPr>
            <w:tcW w:type="dxa" w:w="3969"/>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Arrivée STEF → 1 clic "Pointer arrivée"</w:t>
            </w:r>
          </w:p>
        </w:tc>
        <w:tc>
          <w:tcPr>
            <w:tcW w:type="dxa" w:w="368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Timestamp · badge · Monitor mis à jour</w:t>
            </w:r>
          </w:p>
        </w:tc>
      </w:tr>
      <w:tr>
        <w:tc>
          <w:tcPr>
            <w:tcW w:type="dxa" w:w="1417"/>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08h15</w:t>
            </w:r>
          </w:p>
        </w:tc>
        <w:tc>
          <w:tcPr>
            <w:tcW w:type="dxa" w:w="3969"/>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Alerte automatique retard +18 min</w:t>
            </w:r>
          </w:p>
        </w:tc>
        <w:tc>
          <w:tcPr>
            <w:tcW w:type="dxa" w:w="3685"/>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Réaffectation quai en 30 secondes</w:t>
            </w:r>
          </w:p>
        </w:tc>
      </w:tr>
      <w:tr>
        <w:tc>
          <w:tcPr>
            <w:tcW w:type="dxa" w:w="1417"/>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17h00</w:t>
            </w:r>
          </w:p>
        </w:tc>
        <w:tc>
          <w:tcPr>
            <w:tcW w:type="dxa" w:w="3969"/>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Export Excel + PDF automatiques</w:t>
            </w:r>
          </w:p>
        </w:tc>
        <w:tc>
          <w:tcPr>
            <w:tcW w:type="dxa" w:w="368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Rapport complet · ponctualité · temps moyen</w:t>
            </w:r>
          </w:p>
        </w:tc>
      </w:tr>
    </w:tbl>
    <w:p>
      <w:pPr>
        <w:spacing w:before="0" w:after="0"/>
      </w:pPr>
      <w:r>
        <w:rPr>
          <w:sz w:val="8"/>
        </w:rPr>
      </w:r>
    </w:p>
    <w:p>
      <w:pPr>
        <w:keepNext/>
        <w:spacing w:before="360" w:after="120"/>
        <w:pBdr>
          <w:bottom w:val="single" w:sz="6" w:space="4" w:color="1E3A8A"/>
        </w:pBdr>
      </w:pPr>
      <w:r>
        <w:rPr>
          <w:rFonts w:ascii="Calibri" w:hAnsi="Calibri" w:cs="Calibri"/>
          <w:rFonts w:ascii="Calibri" w:hAnsi="Calibri"/>
          <w:b/>
          <w:color w:val="1E3A8A"/>
          <w:sz w:val="32"/>
        </w:rPr>
        <w:t>5. Sécurité de l'application</w:t>
      </w:r>
    </w:p>
    <w:p>
      <w:pPr>
        <w:keepNext/>
        <w:spacing w:before="240" w:after="80"/>
      </w:pPr>
      <w:r>
        <w:rPr>
          <w:rFonts w:ascii="Calibri" w:hAnsi="Calibri" w:cs="Calibri"/>
          <w:rFonts w:ascii="Calibri" w:hAnsi="Calibri"/>
          <w:b/>
          <w:color w:val="2563EB"/>
          <w:sz w:val="26"/>
        </w:rPr>
        <w:t>5.1  Architecture 100 % front-end</w:t>
      </w:r>
    </w:p>
    <w:p>
      <w:pPr>
        <w:spacing w:before="40" w:after="80"/>
      </w:pPr>
      <w:r>
        <w:rPr>
          <w:rFonts w:ascii="Calibri" w:hAnsi="Calibri" w:cs="Calibri"/>
          <w:rFonts w:ascii="Calibri" w:hAnsi="Calibri"/>
          <w:color w:val="111827"/>
          <w:sz w:val="21"/>
        </w:rPr>
        <w:t>TruckFlow est une application web monofichier (HTML + CSS + JavaScript). Cette architecture présente des avantages de sécurité significatifs :</w:t>
      </w:r>
    </w:p>
    <w:p>
      <w:pPr>
        <w:pStyle w:val="ListBullet"/>
        <w:spacing w:before="20" w:after="20"/>
        <w:ind w:left="340"/>
      </w:pPr>
      <w:r>
        <w:rPr>
          <w:rFonts w:ascii="Calibri" w:hAnsi="Calibri" w:cs="Calibri"/>
          <w:rFonts w:ascii="Calibri" w:hAnsi="Calibri"/>
          <w:color w:val="111827"/>
          <w:sz w:val="21"/>
        </w:rPr>
        <w:t>Aucune base de données exposée sur un serveur externe.</w:t>
      </w:r>
    </w:p>
    <w:p>
      <w:pPr>
        <w:pStyle w:val="ListBullet"/>
        <w:spacing w:before="20" w:after="20"/>
        <w:ind w:left="340"/>
      </w:pPr>
      <w:r>
        <w:rPr>
          <w:rFonts w:ascii="Calibri" w:hAnsi="Calibri" w:cs="Calibri"/>
          <w:rFonts w:ascii="Calibri" w:hAnsi="Calibri"/>
          <w:color w:val="111827"/>
          <w:sz w:val="21"/>
        </w:rPr>
        <w:t>Aucune donnée transmise à un tiers : tout reste dans le navigateur.</w:t>
      </w:r>
    </w:p>
    <w:p>
      <w:pPr>
        <w:pStyle w:val="ListBullet"/>
        <w:spacing w:before="20" w:after="20"/>
        <w:ind w:left="340"/>
      </w:pPr>
      <w:r>
        <w:rPr>
          <w:rFonts w:ascii="Calibri" w:hAnsi="Calibri" w:cs="Calibri"/>
          <w:rFonts w:ascii="Calibri" w:hAnsi="Calibri"/>
          <w:color w:val="111827"/>
          <w:sz w:val="21"/>
        </w:rPr>
        <w:t>Aucun backend : pas de surface d'attaque serveur, pas d'API exposée.</w:t>
      </w:r>
    </w:p>
    <w:p>
      <w:pPr>
        <w:keepNext/>
        <w:spacing w:before="240" w:after="80"/>
      </w:pPr>
      <w:r>
        <w:rPr>
          <w:rFonts w:ascii="Calibri" w:hAnsi="Calibri" w:cs="Calibri"/>
          <w:rFonts w:ascii="Calibri" w:hAnsi="Calibri"/>
          <w:b/>
          <w:color w:val="2563EB"/>
          <w:sz w:val="26"/>
        </w:rPr>
        <w:t>5.2  Stockage local contrôlé</w:t>
      </w:r>
    </w:p>
    <w:p>
      <w:pPr>
        <w:pStyle w:val="ListBullet"/>
        <w:spacing w:before="20" w:after="20"/>
        <w:ind w:left="340"/>
      </w:pPr>
      <w:r>
        <w:rPr>
          <w:rFonts w:ascii="Calibri" w:hAnsi="Calibri" w:cs="Calibri"/>
          <w:rFonts w:ascii="Calibri" w:hAnsi="Calibri"/>
          <w:color w:val="111827"/>
          <w:sz w:val="21"/>
        </w:rPr>
        <w:t>Les données sont stockées dans le localStorage du navigateur, sur le poste de travail uniquement.</w:t>
      </w:r>
    </w:p>
    <w:p>
      <w:pPr>
        <w:pStyle w:val="ListBullet"/>
        <w:spacing w:before="20" w:after="20"/>
        <w:ind w:left="340"/>
      </w:pPr>
      <w:r>
        <w:rPr>
          <w:rFonts w:ascii="Calibri" w:hAnsi="Calibri" w:cs="Calibri"/>
          <w:rFonts w:ascii="Calibri" w:hAnsi="Calibri"/>
          <w:color w:val="111827"/>
          <w:sz w:val="21"/>
        </w:rPr>
        <w:t>À chaque fermeture de session, le navigateur purge automatiquement les données.</w:t>
      </w:r>
    </w:p>
    <w:p>
      <w:pPr>
        <w:pStyle w:val="ListBullet"/>
        <w:spacing w:before="20" w:after="20"/>
        <w:ind w:left="340"/>
      </w:pPr>
      <w:r>
        <w:rPr>
          <w:rFonts w:ascii="Calibri" w:hAnsi="Calibri" w:cs="Calibri"/>
          <w:rFonts w:ascii="Calibri" w:hAnsi="Calibri"/>
          <w:color w:val="111827"/>
          <w:sz w:val="21"/>
        </w:rPr>
        <w:t>Les exports se font uniquement via des fichiers JSON ou Excel téléchargés localement.</w:t>
      </w:r>
    </w:p>
    <w:p>
      <w:pPr>
        <w:pStyle w:val="ListBullet"/>
        <w:spacing w:before="20" w:after="20"/>
        <w:ind w:left="340"/>
      </w:pPr>
      <w:r>
        <w:rPr>
          <w:rFonts w:ascii="Calibri" w:hAnsi="Calibri" w:cs="Calibri"/>
          <w:rFonts w:ascii="Calibri" w:hAnsi="Calibri"/>
          <w:color w:val="111827"/>
          <w:sz w:val="21"/>
        </w:rPr>
        <w:t>Aucune synchronisation cloud involontaire.</w:t>
      </w:r>
    </w:p>
    <w:p>
      <w:pPr>
        <w:keepNext/>
        <w:spacing w:before="240" w:after="80"/>
      </w:pPr>
      <w:r>
        <w:rPr>
          <w:rFonts w:ascii="Calibri" w:hAnsi="Calibri" w:cs="Calibri"/>
          <w:rFonts w:ascii="Calibri" w:hAnsi="Calibri"/>
          <w:b/>
          <w:color w:val="2563EB"/>
          <w:sz w:val="26"/>
        </w:rPr>
        <w:t>5.3  Contrôle d'accès</w:t>
      </w:r>
    </w:p>
    <w:p>
      <w:pPr>
        <w:pStyle w:val="ListBullet"/>
        <w:spacing w:before="20" w:after="20"/>
        <w:ind w:left="340"/>
      </w:pPr>
      <w:r>
        <w:rPr>
          <w:rFonts w:ascii="Calibri" w:hAnsi="Calibri" w:cs="Calibri"/>
          <w:rFonts w:ascii="Calibri" w:hAnsi="Calibri"/>
          <w:color w:val="111827"/>
          <w:sz w:val="21"/>
        </w:rPr>
        <w:t>Écran de connexion sécurisé : identifiant et mot de passe avec hachage SHA-256.</w:t>
      </w:r>
    </w:p>
    <w:p>
      <w:pPr>
        <w:pStyle w:val="ListBullet"/>
        <w:spacing w:before="20" w:after="20"/>
        <w:ind w:left="340"/>
      </w:pPr>
      <w:r>
        <w:rPr>
          <w:rFonts w:ascii="Calibri" w:hAnsi="Calibri" w:cs="Calibri"/>
          <w:rFonts w:ascii="Calibri" w:hAnsi="Calibri"/>
          <w:color w:val="111827"/>
          <w:sz w:val="21"/>
        </w:rPr>
        <w:t>Aucune donnée accessible sans authentification préalable.</w:t>
      </w:r>
    </w:p>
    <w:p>
      <w:pPr>
        <w:pStyle w:val="ListBullet"/>
        <w:spacing w:before="20" w:after="20"/>
        <w:ind w:left="340"/>
      </w:pPr>
      <w:r>
        <w:rPr>
          <w:rFonts w:ascii="Calibri" w:hAnsi="Calibri" w:cs="Calibri"/>
          <w:rFonts w:ascii="Calibri" w:hAnsi="Calibri"/>
          <w:color w:val="111827"/>
          <w:sz w:val="21"/>
        </w:rPr>
        <w:t>Session expirée à la fermeture du navigateur — pas de session persistante non contrôlée.</w:t>
      </w:r>
    </w:p>
    <w:p>
      <w:pPr>
        <w:keepNext/>
        <w:spacing w:before="240" w:after="80"/>
      </w:pPr>
      <w:r>
        <w:rPr>
          <w:rFonts w:ascii="Calibri" w:hAnsi="Calibri" w:cs="Calibri"/>
          <w:rFonts w:ascii="Calibri" w:hAnsi="Calibri"/>
          <w:b/>
          <w:color w:val="2563EB"/>
          <w:sz w:val="26"/>
        </w:rPr>
        <w:t>5.4  Bonnes pratiques appliquées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E3A8A"/>
          </w:tcPr>
          <w:p>
            <w:pPr>
              <w:spacing w:before="60" w:after="60"/>
              <w:jc w:val="left"/>
            </w:pPr>
            <w:r>
              <w:rPr>
                <w:rFonts w:ascii="Calibri" w:hAnsi="Calibri" w:cs="Calibri"/>
                <w:rFonts w:ascii="Calibri" w:hAnsi="Calibri"/>
                <w:b/>
                <w:color w:val="FFFFFF"/>
                <w:sz w:val="20"/>
              </w:rPr>
              <w:t>Pratique</w:t>
            </w:r>
          </w:p>
        </w:tc>
        <w:tc>
          <w:tcPr>
            <w:tcW w:type="dxa" w:w="6236"/>
            <w:shd w:val="clear" w:color="auto" w:fill="1E3A8A"/>
          </w:tcPr>
          <w:p>
            <w:pPr>
              <w:spacing w:before="60" w:after="60"/>
              <w:jc w:val="left"/>
            </w:pPr>
            <w:r>
              <w:rPr>
                <w:rFonts w:ascii="Calibri" w:hAnsi="Calibri" w:cs="Calibri"/>
                <w:rFonts w:ascii="Calibri" w:hAnsi="Calibri"/>
                <w:b/>
                <w:color w:val="FFFFFF"/>
                <w:sz w:val="20"/>
              </w:rPr>
              <w:t>Détail</w:t>
            </w:r>
          </w:p>
        </w:tc>
      </w:tr>
      <w:tr>
        <w:tc>
          <w:tcPr>
            <w:tcW w:type="dxa" w:w="283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Mots de passe</w:t>
            </w:r>
          </w:p>
        </w:tc>
        <w:tc>
          <w:tcPr>
            <w:tcW w:type="dxa" w:w="6236"/>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Hachage SHA-256 · aucun stockage en clair</w:t>
            </w:r>
          </w:p>
        </w:tc>
      </w:tr>
      <w:tr>
        <w:tc>
          <w:tcPr>
            <w:tcW w:type="dxa" w:w="28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Dépendances</w:t>
            </w:r>
          </w:p>
        </w:tc>
        <w:tc>
          <w:tcPr>
            <w:tcW w:type="dxa" w:w="6236"/>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Une seule bibliothèque externe (SheetJS — open source, reconnue)</w:t>
            </w:r>
          </w:p>
        </w:tc>
      </w:tr>
      <w:tr>
        <w:tc>
          <w:tcPr>
            <w:tcW w:type="dxa" w:w="283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Compatibilité CSP</w:t>
            </w:r>
          </w:p>
        </w:tc>
        <w:tc>
          <w:tcPr>
            <w:tcW w:type="dxa" w:w="6236"/>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Respecte les politiques de sécurité navigateur modernes</w:t>
            </w:r>
          </w:p>
        </w:tc>
      </w:tr>
      <w:tr>
        <w:tc>
          <w:tcPr>
            <w:tcW w:type="dxa" w:w="28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Données sensibles</w:t>
            </w:r>
          </w:p>
        </w:tc>
        <w:tc>
          <w:tcPr>
            <w:tcW w:type="dxa" w:w="6236"/>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Aucun tracking · aucun analytics · aucun cookie tiers</w:t>
            </w:r>
          </w:p>
        </w:tc>
      </w:tr>
      <w:tr>
        <w:tc>
          <w:tcPr>
            <w:tcW w:type="dxa" w:w="2835"/>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Purge session</w:t>
            </w:r>
          </w:p>
        </w:tc>
        <w:tc>
          <w:tcPr>
            <w:tcW w:type="dxa" w:w="6236"/>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Nettoyage localStorage automatique à la déconnexion</w:t>
            </w:r>
          </w:p>
        </w:tc>
      </w:tr>
    </w:tbl>
    <w:p>
      <w:pPr>
        <w:spacing w:before="0" w:after="0"/>
      </w:pPr>
      <w:r>
        <w:rPr>
          <w:sz w:val="8"/>
        </w:rPr>
      </w:r>
    </w:p>
    <w:p>
      <w:pPr>
        <w:keepNext/>
        <w:spacing w:before="360" w:after="120"/>
        <w:pBdr>
          <w:bottom w:val="single" w:sz="6" w:space="4" w:color="1E3A8A"/>
        </w:pBdr>
      </w:pPr>
      <w:r>
        <w:rPr>
          <w:rFonts w:ascii="Calibri" w:hAnsi="Calibri" w:cs="Calibri"/>
          <w:rFonts w:ascii="Calibri" w:hAnsi="Calibri"/>
          <w:b/>
          <w:color w:val="1E3A8A"/>
          <w:sz w:val="32"/>
        </w:rPr>
        <w:t>6. Vision et évolutions</w:t>
      </w:r>
    </w:p>
    <w:p>
      <w:pPr>
        <w:keepNext/>
        <w:spacing w:before="240" w:after="80"/>
      </w:pPr>
      <w:r>
        <w:rPr>
          <w:rFonts w:ascii="Calibri" w:hAnsi="Calibri" w:cs="Calibri"/>
          <w:rFonts w:ascii="Calibri" w:hAnsi="Calibri"/>
          <w:b/>
          <w:color w:val="2563EB"/>
          <w:sz w:val="26"/>
        </w:rPr>
        <w:t>6.1  Fonctionnalités en développement</w:t>
      </w:r>
    </w:p>
    <w:p>
      <w:pPr>
        <w:pStyle w:val="ListBullet"/>
        <w:spacing w:before="20" w:after="20"/>
        <w:ind w:left="340"/>
      </w:pPr>
      <w:r>
        <w:rPr>
          <w:rFonts w:ascii="Calibri" w:hAnsi="Calibri" w:cs="Calibri"/>
          <w:rFonts w:ascii="Calibri" w:hAnsi="Calibri"/>
          <w:color w:val="111827"/>
          <w:sz w:val="21"/>
        </w:rPr>
        <w:t>Module d'analyse prédictive : estimation automatique de la durée de chargement par camion selon le transporteur et le volume.</w:t>
      </w:r>
    </w:p>
    <w:p>
      <w:pPr>
        <w:pStyle w:val="ListBullet"/>
        <w:spacing w:before="20" w:after="20"/>
        <w:ind w:left="340"/>
      </w:pPr>
      <w:r>
        <w:rPr>
          <w:rFonts w:ascii="Calibri" w:hAnsi="Calibri" w:cs="Calibri"/>
          <w:rFonts w:ascii="Calibri" w:hAnsi="Calibri"/>
          <w:color w:val="111827"/>
          <w:sz w:val="21"/>
        </w:rPr>
        <w:t>Prédiction de la capacité journalière (silo, picking, charge quais) à partir de l'historique.</w:t>
      </w:r>
    </w:p>
    <w:p>
      <w:pPr>
        <w:pStyle w:val="ListBullet"/>
        <w:spacing w:before="20" w:after="20"/>
        <w:ind w:left="340"/>
      </w:pPr>
      <w:r>
        <w:rPr>
          <w:rFonts w:ascii="Calibri" w:hAnsi="Calibri" w:cs="Calibri"/>
          <w:rFonts w:ascii="Calibri" w:hAnsi="Calibri"/>
          <w:color w:val="111827"/>
          <w:sz w:val="21"/>
        </w:rPr>
        <w:t>Rapport de performance mensuel automatisé par transporteur.</w:t>
      </w:r>
    </w:p>
    <w:p>
      <w:pPr>
        <w:keepNext/>
        <w:spacing w:before="240" w:after="80"/>
      </w:pPr>
      <w:r>
        <w:rPr>
          <w:rFonts w:ascii="Calibri" w:hAnsi="Calibri" w:cs="Calibri"/>
          <w:rFonts w:ascii="Calibri" w:hAnsi="Calibri"/>
          <w:b/>
          <w:color w:val="2563EB"/>
          <w:sz w:val="26"/>
        </w:rPr>
        <w:t>6.2  Intégrations possibles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E3A8A"/>
          </w:tcPr>
          <w:p>
            <w:pPr>
              <w:spacing w:before="60" w:after="60"/>
              <w:jc w:val="left"/>
            </w:pPr>
            <w:r>
              <w:rPr>
                <w:rFonts w:ascii="Calibri" w:hAnsi="Calibri" w:cs="Calibri"/>
                <w:rFonts w:ascii="Calibri" w:hAnsi="Calibri"/>
                <w:b/>
                <w:color w:val="FFFFFF"/>
                <w:sz w:val="20"/>
              </w:rPr>
              <w:t>Système</w:t>
            </w:r>
          </w:p>
        </w:tc>
        <w:tc>
          <w:tcPr>
            <w:tcW w:type="dxa" w:w="6803"/>
            <w:shd w:val="clear" w:color="auto" w:fill="1E3A8A"/>
          </w:tcPr>
          <w:p>
            <w:pPr>
              <w:spacing w:before="60" w:after="60"/>
              <w:jc w:val="left"/>
            </w:pPr>
            <w:r>
              <w:rPr>
                <w:rFonts w:ascii="Calibri" w:hAnsi="Calibri" w:cs="Calibri"/>
                <w:rFonts w:ascii="Calibri" w:hAnsi="Calibri"/>
                <w:b/>
                <w:color w:val="FFFFFF"/>
                <w:sz w:val="20"/>
              </w:rPr>
              <w:t>Intégration envisageable</w:t>
            </w:r>
          </w:p>
        </w:tc>
      </w:tr>
      <w:tr>
        <w:tc>
          <w:tcPr>
            <w:tcW w:type="dxa" w:w="2268"/>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SAP</w:t>
            </w:r>
          </w:p>
        </w:tc>
        <w:tc>
          <w:tcPr>
            <w:tcW w:type="dxa" w:w="6803"/>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Import VL06O déjà opérationnel · export vers SAP (développement futur)</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WMS</w:t>
            </w:r>
          </w:p>
        </w:tc>
        <w:tc>
          <w:tcPr>
            <w:tcW w:type="dxa" w:w="6803"/>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Synchronisation des statuts de préparation (sp / wm)</w:t>
            </w:r>
          </w:p>
        </w:tc>
      </w:tr>
      <w:tr>
        <w:tc>
          <w:tcPr>
            <w:tcW w:type="dxa" w:w="2268"/>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Écrans de quai</w:t>
            </w:r>
          </w:p>
        </w:tc>
        <w:tc>
          <w:tcPr>
            <w:tcW w:type="dxa" w:w="6803"/>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Affichage Monitor sur TV existantes via navigateur standard</w:t>
            </w:r>
          </w:p>
        </w:tc>
      </w:tr>
      <w:tr>
        <w:tc>
          <w:tcPr>
            <w:tcW w:type="dxa" w:w="2268"/>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Messagerie</w:t>
            </w:r>
          </w:p>
        </w:tc>
        <w:tc>
          <w:tcPr>
            <w:tcW w:type="dxa" w:w="6803"/>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Export rapport par e-mail (fonctionnalité incluse)</w:t>
            </w:r>
          </w:p>
        </w:tc>
      </w:tr>
    </w:tbl>
    <w:p>
      <w:pPr>
        <w:spacing w:before="0" w:after="0"/>
      </w:pPr>
      <w:r>
        <w:rPr>
          <w:sz w:val="8"/>
        </w:rPr>
      </w:r>
    </w:p>
    <w:p>
      <w:pPr>
        <w:keepNext/>
        <w:spacing w:before="240" w:after="80"/>
      </w:pPr>
      <w:r>
        <w:rPr>
          <w:rFonts w:ascii="Calibri" w:hAnsi="Calibri" w:cs="Calibri"/>
          <w:rFonts w:ascii="Calibri" w:hAnsi="Calibri"/>
          <w:b/>
          <w:color w:val="2563EB"/>
          <w:sz w:val="26"/>
        </w:rPr>
        <w:t>6.3  Scalabilité</w:t>
      </w:r>
    </w:p>
    <w:p>
      <w:pPr>
        <w:spacing w:before="40" w:after="80"/>
      </w:pPr>
      <w:r>
        <w:rPr>
          <w:rFonts w:ascii="Calibri" w:hAnsi="Calibri" w:cs="Calibri"/>
          <w:rFonts w:ascii="Calibri" w:hAnsi="Calibri"/>
          <w:color w:val="111827"/>
          <w:sz w:val="21"/>
        </w:rPr>
        <w:t>L'architecture actuelle est conçue pour un hub unique. Une version multi-sites est techniquement réalisable avec un backend léger permettant la synchronisation inter-hubs via API ou fichiers partagés.</w:t>
      </w:r>
    </w:p>
    <w:p>
      <w:pPr>
        <w:keepNext/>
        <w:spacing w:before="360" w:after="120"/>
        <w:pBdr>
          <w:bottom w:val="single" w:sz="6" w:space="4" w:color="1E3A8A"/>
        </w:pBdr>
      </w:pPr>
      <w:r>
        <w:rPr>
          <w:rFonts w:ascii="Calibri" w:hAnsi="Calibri" w:cs="Calibri"/>
          <w:rFonts w:ascii="Calibri" w:hAnsi="Calibri"/>
          <w:b/>
          <w:color w:val="1E3A8A"/>
          <w:sz w:val="32"/>
        </w:rPr>
        <w:t>7. Conclusion</w:t>
      </w:r>
    </w:p>
    <w:p>
      <w:pPr>
        <w:spacing w:before="40" w:after="80"/>
      </w:pPr>
      <w:r>
        <w:rPr>
          <w:rFonts w:ascii="Calibri" w:hAnsi="Calibri" w:cs="Calibri"/>
          <w:rFonts w:ascii="Calibri" w:hAnsi="Calibri"/>
          <w:color w:val="111827"/>
          <w:sz w:val="21"/>
        </w:rPr>
        <w:t>TruckFlow répond à un besoin opérationnel concret, identifié sur le terrain, avec une solution immédiatement utilisable, sans infrastructure coûteuse et sans risque de sécurité majeur.</w:t>
      </w:r>
    </w:p>
    <w:p>
      <w:pPr>
        <w:keepNext/>
        <w:spacing w:before="240" w:after="80"/>
      </w:pPr>
      <w:r>
        <w:rPr>
          <w:rFonts w:ascii="Calibri" w:hAnsi="Calibri" w:cs="Calibri"/>
          <w:rFonts w:ascii="Calibri" w:hAnsi="Calibri"/>
          <w:b/>
          <w:color w:val="2563EB"/>
          <w:sz w:val="26"/>
        </w:rPr>
        <w:t>Résumé des bénéfices</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E3A8A"/>
          </w:tcPr>
          <w:p>
            <w:pPr>
              <w:spacing w:before="60" w:after="60"/>
              <w:jc w:val="left"/>
            </w:pPr>
            <w:r>
              <w:rPr>
                <w:rFonts w:ascii="Calibri" w:hAnsi="Calibri" w:cs="Calibri"/>
                <w:rFonts w:ascii="Calibri" w:hAnsi="Calibri"/>
                <w:b/>
                <w:color w:val="FFFFFF"/>
                <w:sz w:val="20"/>
              </w:rPr>
              <w:t>Bénéfice</w:t>
            </w:r>
          </w:p>
        </w:tc>
        <w:tc>
          <w:tcPr>
            <w:tcW w:type="dxa" w:w="5669"/>
            <w:shd w:val="clear" w:color="auto" w:fill="1E3A8A"/>
          </w:tcPr>
          <w:p>
            <w:pPr>
              <w:spacing w:before="60" w:after="60"/>
              <w:jc w:val="left"/>
            </w:pPr>
            <w:r>
              <w:rPr>
                <w:rFonts w:ascii="Calibri" w:hAnsi="Calibri" w:cs="Calibri"/>
                <w:rFonts w:ascii="Calibri" w:hAnsi="Calibri"/>
                <w:b/>
                <w:color w:val="FFFFFF"/>
                <w:sz w:val="20"/>
              </w:rPr>
              <w:t>Impact opérationnel</w:t>
            </w:r>
          </w:p>
        </w:tc>
      </w:tr>
      <w:tr>
        <w:tc>
          <w:tcPr>
            <w:tcW w:type="dxa" w:w="3402"/>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Visibilité temps réel</w:t>
            </w:r>
          </w:p>
        </w:tc>
        <w:tc>
          <w:tcPr>
            <w:tcW w:type="dxa" w:w="5669"/>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Décisions plus rapides · moins d'erreurs de pilotage</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Import SAP automatisé</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Économie de 30 à 45 min de saisie par jour</w:t>
            </w:r>
          </w:p>
        </w:tc>
      </w:tr>
      <w:tr>
        <w:tc>
          <w:tcPr>
            <w:tcW w:type="dxa" w:w="3402"/>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Alertes automatiques</w:t>
            </w:r>
          </w:p>
        </w:tc>
        <w:tc>
          <w:tcPr>
            <w:tcW w:type="dxa" w:w="5669"/>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Réduction des retards non détectés · réactivité accrue</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Historisation structurée</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Retours d'expérience et pilotage par la donnée</w:t>
            </w:r>
          </w:p>
        </w:tc>
      </w:tr>
      <w:tr>
        <w:tc>
          <w:tcPr>
            <w:tcW w:type="dxa" w:w="3402"/>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Sécurité by design</w:t>
            </w:r>
          </w:p>
        </w:tc>
        <w:tc>
          <w:tcPr>
            <w:tcW w:type="dxa" w:w="5669"/>
            <w:shd w:val="clear" w:color="auto" w:fill="F3F4F6"/>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Conformité sans infrastructure supplémentaire</w:t>
            </w:r>
          </w:p>
        </w:tc>
      </w:tr>
      <w:tr>
        <w:tc>
          <w:tcPr>
            <w:tcW w:type="dxa" w:w="3402"/>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Zéro coût de licence</w:t>
            </w:r>
          </w:p>
        </w:tc>
        <w:tc>
          <w:tcPr>
            <w:tcW w:type="dxa" w:w="5669"/>
            <w:shd w:val="clear" w:color="auto" w:fill="FFFFFF"/>
            <w:tcBorders>
              <w:top w:val="single" w:sz="4" w:space="0" w:color="D1D5DB"/>
              <w:left w:val="single" w:sz="4" w:space="0" w:color="D1D5DB"/>
              <w:bottom w:val="single" w:sz="4" w:space="0" w:color="D1D5DB"/>
              <w:right w:val="single" w:sz="4" w:space="0" w:color="D1D5DB"/>
            </w:tcBorders>
          </w:tcPr>
          <w:p>
            <w:pPr>
              <w:spacing w:before="60" w:after="60"/>
              <w:jc w:val="left"/>
            </w:pPr>
            <w:r>
              <w:rPr>
                <w:rFonts w:ascii="Calibri" w:hAnsi="Calibri" w:cs="Calibri"/>
                <w:rFonts w:ascii="Calibri" w:hAnsi="Calibri"/>
                <w:color w:val="111827"/>
                <w:sz w:val="20"/>
              </w:rPr>
              <w:t>Outil interne · déployable immédiatement</w:t>
            </w:r>
          </w:p>
        </w:tc>
      </w:tr>
    </w:tbl>
    <w:p>
      <w:pPr>
        <w:spacing w:before="0" w:after="0"/>
      </w:pPr>
      <w:r>
        <w:rPr>
          <w:sz w:val="8"/>
        </w:rPr>
      </w:r>
    </w:p>
    <w:p>
      <w:pPr>
        <w:spacing w:before="0" w:after="0"/>
      </w:pPr>
      <w:r>
        <w:rPr>
          <w:sz w:val="8"/>
        </w:rPr>
      </w:r>
    </w:p>
    <w:tbl>
      <w:tblPr>
        <w:tblStyle w:val="TableGrid"/>
        <w:tblW w:type="auto" w:w="0"/>
        <w:tblLook w:firstColumn="1" w:firstRow="1" w:lastColumn="0" w:lastRow="0" w:noHBand="0" w:noVBand="1" w:val="04A0"/>
      </w:tblPr>
      <w:tblGrid>
        <w:gridCol w:w="9406"/>
      </w:tblGrid>
      <w:tr>
        <w:tc>
          <w:tcPr>
            <w:tcW w:type="dxa" w:w="9406"/>
            <w:shd w:val="clear" w:color="auto" w:fill="EFF6FF"/>
            <w:tcBorders>
              <w:top w:val="single" w:sz="4" w:space="0" w:color="1E3A8A"/>
              <w:left w:val="single" w:sz="4" w:space="0" w:color="1E3A8A"/>
              <w:bottom w:val="single" w:sz="4" w:space="0" w:color="1E3A8A"/>
              <w:right w:val="single" w:sz="4" w:space="0" w:color="1E3A8A"/>
            </w:tcBorders>
          </w:tcPr>
          <w:p>
            <w:pPr>
              <w:spacing w:before="80" w:after="80"/>
            </w:pPr>
            <w:r>
              <w:rPr>
                <w:rFonts w:ascii="Calibri" w:hAnsi="Calibri" w:cs="Calibri"/>
                <w:rFonts w:ascii="Calibri" w:hAnsi="Calibri"/>
                <w:i/>
                <w:color w:val="1E3A8A"/>
                <w:sz w:val="21"/>
              </w:rPr>
              <w:t>TruckFlow transforme un processus de suivi aujourd'hui fragmenté et chronophage en un flux d'information centralisé, fiable et exploitable. Il donne aux équipes terrain et aux managers une vision commune et en temps réel de l'activité du hub, tout en produisant automatiquement les données nécessaires au pilotage de la performance logistique.</w:t>
            </w:r>
          </w:p>
        </w:tc>
      </w:tr>
    </w:tbl>
    <w:p>
      <w:pPr>
        <w:spacing w:before="0" w:after="0"/>
      </w:pPr>
      <w:r>
        <w:rPr>
          <w:sz w:val="8"/>
        </w:rPr>
      </w:r>
    </w:p>
    <w:p>
      <w:pPr>
        <w:spacing w:before="0" w:after="0"/>
      </w:pPr>
      <w:r>
        <w:rPr>
          <w:sz w:val="8"/>
        </w:rPr>
      </w:r>
    </w:p>
    <w:p>
      <w:pPr>
        <w:spacing w:before="240"/>
        <w:jc w:val="center"/>
      </w:pPr>
      <w:r>
        <w:rPr>
          <w:rFonts w:ascii="Calibri" w:hAnsi="Calibri" w:cs="Calibri"/>
          <w:rFonts w:ascii="Calibri" w:hAnsi="Calibri"/>
          <w:i/>
          <w:color w:val="9CA3AF"/>
          <w:sz w:val="16"/>
        </w:rPr>
        <w:t>TruckFlow  ·  Document confidentiel  ·  Usage interne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