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pStyle w:val="Title"/>
      </w:pPr>
      <w:r>
        <w:rPr>
          <w:rFonts w:ascii="PingFang SC" w:hAnsi="PingFang SC" w:eastAsia="PingFang SC"/>
          <w:b/>
          <w:color w:val="000000"/>
          <w:sz w:val="46"/>
        </w:rPr>
        <w:t>EpiLocate Frontend Handoff Document</w:t>
      </w:r>
    </w:p>
    <w:p>
      <w:r>
        <w:rPr>
          <w:rFonts w:ascii="PingFang SC" w:hAnsi="PingFang SC" w:eastAsia="PingFang SC"/>
          <w:b w:val="0"/>
          <w:color w:val="19646F"/>
          <w:sz w:val="26"/>
        </w:rPr>
        <w:t>前端负责人交接文档  v1.1 · 2026-09-29 事故复验补充</w:t>
      </w:r>
    </w:p>
    <w:p>
      <w:r>
        <w:br/>
      </w:r>
    </w:p>
    <w:p>
      <w:r>
        <w:rPr>
          <w:rFonts w:ascii="PingFang SC" w:hAnsi="PingFang SC" w:eastAsia="PingFang SC"/>
        </w:rPr>
        <w:t>交接对象：陈奕冰。本文件说明已实现的 Vue 前端、与 Phase 5 服务端的接口边界、已验收范围和接手时优先处理的风险。</w:t>
      </w:r>
    </w:p>
    <w:p>
      <w:r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376"/>
        <w:gridCol w:w="3816"/>
        <w:gridCol w:w="1800"/>
      </w:tblGrid>
      <w:tr>
        <w:trPr>
          <w:tblHeader w:val="true"/>
          <w:cantSplit/>
        </w:trPr>
        <w:tc>
          <w:tcPr>
            <w:tcW w:type="dxa" w:w="1584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文档版本</w:t>
            </w:r>
          </w:p>
        </w:tc>
        <w:tc>
          <w:tcPr>
            <w:tcW w:type="dxa" w:w="2376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接收人</w:t>
            </w:r>
          </w:p>
        </w:tc>
        <w:tc>
          <w:tcPr>
            <w:tcW w:type="dxa" w:w="3816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作者</w:t>
            </w:r>
          </w:p>
        </w:tc>
        <w:tc>
          <w:tcPr>
            <w:tcW w:type="dxa" w:w="1800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日期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v1.1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陈奕冰 · 前端负责人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EpiLocate Project Team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2026 年 9 月 29 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PingFang SC" w:hAnsi="PingFang SC" w:eastAsia="PingFang SC"/>
        </w:rPr>
        <w:t>按章节顺序阅读；第 4、7、8 章可作为页面、接口和 Viewer 的工作索引。</w:t>
      </w:r>
    </w:p>
    <w:p>
      <w:pPr>
        <w:spacing w:after="100"/>
      </w:pPr>
      <w:r>
        <w:rPr>
          <w:rFonts w:ascii="PingFang SC" w:hAnsi="PingFang SC" w:eastAsia="PingFang SC"/>
          <w:b w:val="0"/>
          <w:color w:val="162932"/>
          <w:sz w:val="20"/>
        </w:rPr>
        <w:t>第 1 章  项目介绍</w:t>
      </w:r>
    </w:p>
    <w:p>
      <w:pPr>
        <w:spacing w:after="100"/>
      </w:pPr>
      <w:r>
        <w:rPr>
          <w:rFonts w:ascii="PingFang SC" w:hAnsi="PingFang SC" w:eastAsia="PingFang SC"/>
          <w:b w:val="0"/>
          <w:color w:val="162932"/>
          <w:sz w:val="20"/>
        </w:rPr>
        <w:t>第 2 章  系统整体架构</w:t>
      </w:r>
    </w:p>
    <w:p>
      <w:pPr>
        <w:spacing w:after="100"/>
      </w:pPr>
      <w:r>
        <w:rPr>
          <w:rFonts w:ascii="PingFang SC" w:hAnsi="PingFang SC" w:eastAsia="PingFang SC"/>
          <w:b w:val="0"/>
          <w:color w:val="162932"/>
          <w:sz w:val="20"/>
        </w:rPr>
        <w:t>第 3 章  当前 Frontend 技术架构</w:t>
      </w:r>
    </w:p>
    <w:p>
      <w:pPr>
        <w:spacing w:after="100"/>
      </w:pPr>
      <w:r>
        <w:rPr>
          <w:rFonts w:ascii="PingFang SC" w:hAnsi="PingFang SC" w:eastAsia="PingFang SC"/>
          <w:b w:val="0"/>
          <w:color w:val="162932"/>
          <w:sz w:val="20"/>
        </w:rPr>
        <w:t>第 4 章  页面与功能清单</w:t>
      </w:r>
    </w:p>
    <w:p>
      <w:pPr>
        <w:spacing w:after="100"/>
      </w:pPr>
      <w:r>
        <w:rPr>
          <w:rFonts w:ascii="PingFang SC" w:hAnsi="PingFang SC" w:eastAsia="PingFang SC"/>
          <w:b w:val="0"/>
          <w:color w:val="162932"/>
          <w:sz w:val="20"/>
        </w:rPr>
        <w:t>第 5 章  Router 设计</w:t>
      </w:r>
    </w:p>
    <w:p>
      <w:pPr>
        <w:spacing w:after="100"/>
      </w:pPr>
      <w:r>
        <w:rPr>
          <w:rFonts w:ascii="PingFang SC" w:hAnsi="PingFang SC" w:eastAsia="PingFang SC"/>
          <w:b w:val="0"/>
          <w:color w:val="162932"/>
          <w:sz w:val="20"/>
        </w:rPr>
        <w:t>第 6 章  状态管理</w:t>
      </w:r>
    </w:p>
    <w:p>
      <w:pPr>
        <w:spacing w:after="100"/>
      </w:pPr>
      <w:r>
        <w:rPr>
          <w:rFonts w:ascii="PingFang SC" w:hAnsi="PingFang SC" w:eastAsia="PingFang SC"/>
          <w:b w:val="0"/>
          <w:color w:val="162932"/>
          <w:sz w:val="20"/>
        </w:rPr>
        <w:t>第 7 章  API 对接</w:t>
      </w:r>
    </w:p>
    <w:p>
      <w:pPr>
        <w:spacing w:after="100"/>
      </w:pPr>
      <w:r>
        <w:rPr>
          <w:rFonts w:ascii="PingFang SC" w:hAnsi="PingFang SC" w:eastAsia="PingFang SC"/>
          <w:b w:val="0"/>
          <w:color w:val="162932"/>
          <w:sz w:val="20"/>
        </w:rPr>
        <w:t>第 8 章  Viewer 模块</w:t>
      </w:r>
    </w:p>
    <w:p>
      <w:pPr>
        <w:spacing w:after="100"/>
      </w:pPr>
      <w:r>
        <w:rPr>
          <w:rFonts w:ascii="PingFang SC" w:hAnsi="PingFang SC" w:eastAsia="PingFang SC"/>
          <w:b w:val="0"/>
          <w:color w:val="162932"/>
          <w:sz w:val="20"/>
        </w:rPr>
        <w:t>第 9 章  陈奕冰负责范围</w:t>
      </w:r>
    </w:p>
    <w:p>
      <w:pPr>
        <w:spacing w:after="100"/>
      </w:pPr>
      <w:r>
        <w:rPr>
          <w:rFonts w:ascii="PingFang SC" w:hAnsi="PingFang SC" w:eastAsia="PingFang SC"/>
          <w:b w:val="0"/>
          <w:color w:val="162932"/>
          <w:sz w:val="20"/>
        </w:rPr>
        <w:t>第 10 章  开发规范</w:t>
      </w:r>
    </w:p>
    <w:p>
      <w:r>
        <w:br w:type="page"/>
      </w:r>
    </w:p>
    <w:p>
      <w:pPr>
        <w:pStyle w:val="Heading1"/>
      </w:pPr>
      <w:r>
        <w:t>版本与证据边界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04"/>
      </w:tblGrid>
      <w:tr>
        <w:trPr>
          <w:tblHeader w:val="true"/>
          <w:cantSplit/>
        </w:trPr>
        <w:tc>
          <w:tcPr>
            <w:tcW w:type="dxa" w:w="1944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项目</w:t>
            </w:r>
          </w:p>
        </w:tc>
        <w:tc>
          <w:tcPr>
            <w:tcW w:type="dxa" w:w="7704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审计快照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codex/p1-phase5-dual-mode-server-demo @ 352152ce95fc26eb2dc0a4c309521d50486472ba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代码冻结点</w:t>
            </w:r>
          </w:p>
        </w:tc>
        <w:tc>
          <w:tcPr>
            <w:tcW w:type="dxa" w:w="770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4d717a3753ef307ab370adeafaf5a00da4dc7af9；该点至审计快照的 frontend/ 无变更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接口依据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Backend API Contract Phase 5 implementation；文档分支 docs/backend-api-phase5-gpu-mvp @ ab36dea60e518ae86d8b9749d876d94d2102511d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验收依据</w:t>
            </w:r>
          </w:p>
        </w:tc>
        <w:tc>
          <w:tcPr>
            <w:tcW w:type="dxa" w:w="770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docs/phase5/gpu_final_handoff_report.md；2026-09-29 事故与修复：docs/phase5/gpu_failed_job_incident_20260929.md。后者是运行证据，不是 frontend/ 代码变更。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本交接以指定提交的 frontend/ 和 Phase 5 实施契约为代码审计基线，并补充 2026-09-29 线上 GPU 事故与修复后复验。运行结论只适用于当次环境和被测单切片 DICOM，不代表前端源码已修复。文档不包含账号、凭据、患者信息或环境私有路径。</w:t>
      </w:r>
    </w:p>
    <w:p>
      <w:pPr>
        <w:pStyle w:val="Heading1"/>
      </w:pPr>
      <w:r>
        <w:t>第 1 章  项目介绍</w:t>
      </w:r>
    </w:p>
    <w:p>
      <w:r>
        <w:rPr>
          <w:rFonts w:ascii="PingFang SC" w:hAnsi="PingFang SC" w:eastAsia="PingFang SC"/>
        </w:rPr>
        <w:t>EpiLocate 是面向传染病影像研究的单切片 CT 分析工程原型，围绕匿名 Case、分类 Job、遮挡 Job 和模型响应图组织可追溯的浏览器流程。挑战杯场景下，它用于展示研究思路、工程链路及解释边界；长期愿景与当前可用功能必须分别陈述。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776"/>
      </w:tblGrid>
      <w:tr>
        <w:trPr>
          <w:tblHeader w:val="true"/>
          <w:cantSplit/>
        </w:trPr>
        <w:tc>
          <w:tcPr>
            <w:tcW w:type="dxa" w:w="1872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范围</w:t>
            </w:r>
          </w:p>
        </w:tc>
        <w:tc>
          <w:tcPr>
            <w:tcW w:type="dxa" w:w="7776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当前可陈述状态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工程 MVP</w:t>
            </w:r>
          </w:p>
        </w:tc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Phase 5 GPU-only 工程闭环已复验：固定 synthetic DICOM 和原已去标识 JPEG Lossless DICOM 分别由 RTX 3090 CUDA Worker 完成新建 Prediction/Occlusion Job；三尺度 729/169/36 个位置、9 个热图资产、结果持久化、浏览器查看与刷新恢复通过。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证据限制</w:t>
            </w:r>
          </w:p>
        </w:tc>
        <w:tc>
          <w:tcPr>
            <w:tcW w:type="dxa" w:w="7776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仅限被测单切片与当次部署。原两个事故 Job 保持 FAILED、无 Result；修复后成功来自新 Job。CPU/GPU 固定派生数值一致性仍 FAIL / OPEN（最大偏差 0.0010498762130737305，容差 0.0001）；不构成生产或临床验收。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用途边界</w:t>
            </w:r>
          </w:p>
        </w:tc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研究与答辩演示；不是临床系统、医疗产品或生产环境。图层表示模型决策响应，不是病灶标注。</w:t>
            </w:r>
          </w:p>
        </w:tc>
      </w:tr>
    </w:tbl>
    <w:p>
      <w:pPr>
        <w:spacing w:after="0"/>
      </w:pPr>
    </w:p>
    <w:p>
      <w:pPr>
        <w:pStyle w:val="Heading1"/>
      </w:pPr>
      <w:r>
        <w:t>第 2 章  系统整体架构</w:t>
      </w:r>
    </w:p>
    <w:p>
      <w:r>
        <w:rPr>
          <w:rFonts w:ascii="PingFang SC" w:hAnsi="PingFang SC" w:eastAsia="PingFang SC"/>
        </w:rPr>
        <w:t>浏览器只与同源 Session Gateway 通信。Gateway 验证 Session，并在服务端向 Backend v2 注入用户凭据；Backend 负责资源归属、状态与结果发布。PostgreSQL 保存业务记录，MinIO 私有保存原始输入和资产。GPU Worker 通过受控接口领取任务并运行 FrozenBaseline CUDA 分类与遮挡，结果沿 Backend、Gateway 返回浏览器。</w:t>
      </w:r>
    </w:p>
    <w:p>
      <w:r>
        <w:drawing>
          <wp:inline xmlns:a="http://schemas.openxmlformats.org/drawingml/2006/main" xmlns:pic="http://schemas.openxmlformats.org/drawingml/2006/picture">
            <wp:extent cx="6080760" cy="36484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PingFang SC" w:hAnsi="PingFang SC" w:eastAsia="PingFang SC"/>
          <w:b w:val="0"/>
          <w:color w:val="4E6069"/>
          <w:sz w:val="16"/>
        </w:rPr>
        <w:t>图 1  Phase 5 逻辑架构；Worker 与 Backend 协作，不直接受浏览器控制</w:t>
      </w:r>
    </w:p>
    <w:p>
      <w:r>
        <w:rPr>
          <w:rFonts w:ascii="PingFang SC" w:hAnsi="PingFang SC" w:eastAsia="PingFang SC"/>
        </w:rPr>
        <w:t>Frontend 的职责是身份入口、病例与任务导航、API 错误呈现、DICOM 单切片显示、受保护资产读取、解释信息呈现和结果边界说明。任务调度、鉴权判定、推理、持久化与服务端进度均不由前端决定。</w:t>
      </w:r>
    </w:p>
    <w:p>
      <w:pPr>
        <w:pStyle w:val="Heading1"/>
      </w:pPr>
      <w:r>
        <w:t>第 3 章  当前 Frontend 技术架构</w:t>
      </w:r>
    </w:p>
    <w:p>
      <w:r>
        <w:rPr>
          <w:rFonts w:ascii="PingFang SC" w:hAnsi="PingFang SC" w:eastAsia="PingFang SC"/>
        </w:rPr>
        <w:t>技术栈为 Vue 3、TypeScript、Vite、Pinia、Vue Router、Ant Design Vue 与 Cornerstone3D。实际目录与用户初拟结构有差异：当前没有 src/components/ 或 src/types/；共享类型位于 src/api/types.ts，Viewer 组件位于 src/viewer/。</w:t>
      </w:r>
    </w:p>
    <w:p>
      <w:pPr>
        <w:ind w:left="259"/>
      </w:pPr>
      <w:r>
        <w:rPr>
          <w:rFonts w:ascii="Courier New" w:hAnsi="Courier New" w:eastAsia="Courier New"/>
          <w:b w:val="0"/>
          <w:color w:val="162932"/>
          <w:sz w:val="16"/>
        </w:rPr>
        <w:t>src/</w:t>
        <w:br/>
        <w:t xml:space="preserve">  api/ client.ts, types.ts</w:t>
        <w:br/>
        <w:t xml:space="preserve">  auth/ session.ts</w:t>
        <w:br/>
        <w:t xml:space="preserve">  layout/ AppShell.vue</w:t>
        <w:br/>
        <w:t xml:space="preserve">  router/ index.ts</w:t>
        <w:br/>
        <w:t xml:space="preserve">  stores/ cases.ts, jobs.ts, results.ts, ui.ts</w:t>
        <w:br/>
        <w:t xml:space="preserve">  viewer/ CornerstoneSliceViewer.vue, geometry.ts</w:t>
        <w:br/>
        <w:t xml:space="preserve">  views/ 6 page views</w:t>
        <w:br/>
        <w:t xml:space="preserve">  tests/ 6 spec files</w:t>
        <w:br/>
        <w:t xml:space="preserve">  App.vue, main.ts, style.css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344"/>
      </w:tblGrid>
      <w:tr>
        <w:trPr>
          <w:tblHeader w:val="true"/>
          <w:cantSplit/>
        </w:trPr>
        <w:tc>
          <w:tcPr>
            <w:tcW w:type="dxa" w:w="2304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目录</w:t>
            </w:r>
          </w:p>
        </w:tc>
        <w:tc>
          <w:tcPr>
            <w:tcW w:type="dxa" w:w="7344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api/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统一请求、类型定义、超时与错误解析；业务 API 默认基址 /api/v2。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auth/</w:t>
            </w:r>
          </w:p>
        </w:tc>
        <w:tc>
          <w:tcPr>
            <w:tcW w:type="dxa" w:w="734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浏览器 Session 内存态、登录/退出、CSRF；不属于 Pinia。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layout/ 与 router/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AppShell 导航布局；路由表、Session 守卫与登录回跳。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stores/</w:t>
            </w:r>
          </w:p>
        </w:tc>
        <w:tc>
          <w:tcPr>
            <w:tcW w:type="dxa" w:w="734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Case 分页和选中记录、Job 轮询、Result/图层 Blob、移动侧栏。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viewer/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Cornerstone 单切片解码、相机交互、像素几何校验与 Canvas 叠加。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views/ 与 tests/</w:t>
            </w:r>
          </w:p>
        </w:tc>
        <w:tc>
          <w:tcPr>
            <w:tcW w:type="dxa" w:w="734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六个页面；Auth、Client、Geometry、Integration、Router、Stores 测试。</w:t>
            </w:r>
          </w:p>
        </w:tc>
      </w:tr>
    </w:tbl>
    <w:p>
      <w:pPr>
        <w:spacing w:after="0"/>
      </w:pPr>
    </w:p>
    <w:p>
      <w:pPr>
        <w:pStyle w:val="Heading1"/>
      </w:pPr>
      <w:r>
        <w:t>第 4 章  页面与功能清单</w:t>
      </w:r>
    </w:p>
    <w:p>
      <w:r>
        <w:rPr>
          <w:rFonts w:ascii="PingFang SC" w:hAnsi="PingFang SC" w:eastAsia="PingFang SC"/>
        </w:rPr>
        <w:t>现有六个 View；没有独立 ViewerView 或 WelcomeView。首页就是 Dashboard，CT Viewer 嵌入病例详情与结果详情。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4824"/>
        <w:gridCol w:w="2448"/>
      </w:tblGrid>
      <w:tr>
        <w:trPr>
          <w:tblHeader w:val="true"/>
          <w:cantSplit/>
        </w:trPr>
        <w:tc>
          <w:tcPr>
            <w:tcW w:type="dxa" w:w="2376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页面 / 入口</w:t>
            </w:r>
          </w:p>
        </w:tc>
        <w:tc>
          <w:tcPr>
            <w:tcW w:type="dxa" w:w="4824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主要功能与 API</w:t>
            </w:r>
          </w:p>
        </w:tc>
        <w:tc>
          <w:tcPr>
            <w:tcW w:type="dxa" w:w="2448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当前状态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LoginView /login</w:t>
            </w:r>
          </w:p>
        </w:tc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/auth/login、/auth/session；个人账号登录、错误提示和 next 回跳。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已实现；无独立品牌 Welcome。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DashboardView /</w:t>
            </w:r>
          </w:p>
        </w:tc>
        <w:tc>
          <w:tcPr>
            <w:tcW w:type="dxa" w:w="482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流程说明与病例中心入口；无业务 API 调用。</w:t>
            </w:r>
          </w:p>
        </w:tc>
        <w:tc>
          <w:tcPr>
            <w:tcW w:type="dxa" w:w="2448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已实现静态总览；无最近病例、任务汇总。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CasesView /cases</w:t>
            </w:r>
          </w:p>
        </w:tc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GET /cases、POST /cases；本人病例分页、创建匿名 Case。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已实现；创建和上传分两步。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CaseDetailView /cases/:id</w:t>
            </w:r>
          </w:p>
        </w:tc>
        <w:tc>
          <w:tcPr>
            <w:tcW w:type="dxa" w:w="482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GET /cases/:id、GET /cases/:id/dicom、POST upload、POST predictions/jobs/occlusion。</w:t>
            </w:r>
          </w:p>
        </w:tc>
        <w:tc>
          <w:tcPr>
            <w:tcW w:type="dxa" w:w="2448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已实现；单切片预览与任务创建。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JobDetailView /jobs/:id</w:t>
            </w:r>
          </w:p>
        </w:tc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GET /jobs/:id；3 秒轮询、终态与 Result 链接。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已实现轮询与 Result 链接；进度/ETA 可为空。FAILED 目前仅显示“Job failed.”，尚无经验证的可行动失败摘要；需与 Backend 确认可安全公开的错误信息及重试入口。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ResultDetailView /results/:id</w:t>
            </w:r>
          </w:p>
        </w:tc>
        <w:tc>
          <w:tcPr>
            <w:tcW w:type="dxa" w:w="482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GET /results/:id、GET /cases/:id、GET DICOM、GET asset；分类、热图、CT 叠加。</w:t>
            </w:r>
          </w:p>
        </w:tc>
        <w:tc>
          <w:tcPr>
            <w:tcW w:type="dxa" w:w="2448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已实现；仅完成的 LIVE_CASE；无独立 Viewer 路由。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典型路径：登录 → Dashboard → 病例中心 → 新建 Case → 上传单张去标识 DICOM → 创建分类或遮挡 Job → Job 终态 → Result。Case READY 仅证明服务端接受输入及头部校验，不能保证 Worker 已能解码压缩像素。失败 Job 与后续新建成功 Job 应按各自 ID 分别展示；当前 Case API 不列举关联 Job。</w:t>
      </w:r>
    </w:p>
    <w:p>
      <w:pPr>
        <w:pStyle w:val="Heading1"/>
      </w:pPr>
      <w:r>
        <w:t>第 5 章  Router 设计</w:t>
      </w:r>
    </w:p>
    <w:p>
      <w:r>
        <w:rPr>
          <w:rFonts w:ascii="PingFang SC" w:hAnsi="PingFang SC" w:eastAsia="PingFang SC"/>
        </w:rPr>
        <w:t>router/index.ts 使用 createWebHistory，六条路由懒加载。beforeEach 在首次访问时执行 loadSession()；未登录访问受保护页时跳到 /login?next=&lt;原路径&gt;，已登录访问 /login 时返回首页。LoginView 只接受以单斜杠开头、非双斜杠的本地 next。</w:t>
      </w:r>
    </w:p>
    <w:p>
      <w:r>
        <w:rPr>
          <w:rFonts w:ascii="PingFang SC" w:hAnsi="PingFang SC" w:eastAsia="PingFang SC"/>
        </w:rPr>
        <w:t>当前前端只判断是否存在 Gateway 返回的用户名，没有角色矩阵或页面级细粒度权限。Case/Job/Result 的实际授权由 Backend owner 校验；不同所有者资源按不可见处理。auth.loaded 在单次页面生命周期内缓存，Session 被撤销后通常由下一次业务 API 401 触发清理。</w:t>
      </w:r>
    </w:p>
    <w:p>
      <w:pPr>
        <w:pStyle w:val="Heading1"/>
      </w:pPr>
      <w:r>
        <w:t>第 6 章  状态管理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320"/>
        <w:gridCol w:w="3600"/>
      </w:tblGrid>
      <w:tr>
        <w:trPr>
          <w:tblHeader w:val="true"/>
          <w:cantSplit/>
        </w:trPr>
        <w:tc>
          <w:tcPr>
            <w:tcW w:type="dxa" w:w="1728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状态</w:t>
            </w:r>
          </w:p>
        </w:tc>
        <w:tc>
          <w:tcPr>
            <w:tcW w:type="dxa" w:w="4320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存放与生命周期</w:t>
            </w:r>
          </w:p>
        </w:tc>
        <w:tc>
          <w:tcPr>
            <w:tcW w:type="dxa" w:w="3600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接手要点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用户与 Session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auth/session.ts 的 reactive 内存对象；用户名、CSRF、loaded、error。Cookie 为 HttpOnly。</w:t>
            </w:r>
          </w:p>
        </w:tc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不要把口令、Backend Bearer 或 Cookie 写入 Pinia/Storage。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Case</w:t>
            </w:r>
          </w:p>
        </w:tc>
        <w:tc>
          <w:tcPr>
            <w:tcW w:type="dxa" w:w="4320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Pinia cases：列表、游标、选中详情、加载/错误；epoch 防过时响应。</w:t>
            </w:r>
          </w:p>
        </w:tc>
        <w:tc>
          <w:tcPr>
            <w:tcW w:type="dxa" w:w="3600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新用户登录时必须清空前账号缓存。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Job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Pinia jobs：byId、currentId、轮询与超时；3 秒间隔，10 分钟客户端超时，连续 3 错停。</w:t>
            </w:r>
          </w:p>
        </w:tc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停止轮询不取消服务端 Job；刷新凭 URL ID 恢复。FAILED 是终态，新建任务产生新 Job，不能覆盖旧失败记录；排障保留原 Job ID。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Result 与 Asset</w:t>
            </w:r>
          </w:p>
        </w:tc>
        <w:tc>
          <w:tcPr>
            <w:tcW w:type="dxa" w:w="4320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Pinia results：当前结果、Blob objectURL、加载错误；切层撤销旧 URL。</w:t>
            </w:r>
          </w:p>
        </w:tc>
        <w:tc>
          <w:tcPr>
            <w:tcW w:type="dxa" w:w="3600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只显示 COMPLETED + LIVE_CASE + contract 2.0。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Viewer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组件本地 file/camera；Result 页的尺度、图层、透明度与相机偏好存 sessionStorage。</w:t>
            </w:r>
          </w:p>
        </w:tc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偏好不是授权；每次恢复仍重新核验数据和几何。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UI</w:t>
            </w:r>
          </w:p>
        </w:tc>
        <w:tc>
          <w:tcPr>
            <w:tcW w:type="dxa" w:w="4320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Pinia ui：移动侧栏开关。</w:t>
            </w:r>
          </w:p>
        </w:tc>
        <w:tc>
          <w:tcPr>
            <w:tcW w:type="dxa" w:w="3600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与业务实体分离。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审计风险：logout/clearSession 只清认证与 fusion 偏好，没有调用 cases.reset() 或 jobs.clear()。同一 SPA 先后登录不同账户时，旧列表或 Job 缓存可能在新请求完成前短暂显示。服务端仍执行所有者授权，但前端可见性需要修复并补跨账号测试。</w:t>
      </w:r>
    </w:p>
    <w:p>
      <w:r>
        <w:br w:type="page"/>
      </w:r>
    </w:p>
    <w:p>
      <w:pPr>
        <w:pStyle w:val="Heading1"/>
      </w:pPr>
      <w:r>
        <w:t>第 7 章  API 对接</w:t>
      </w:r>
    </w:p>
    <w:p>
      <w:r>
        <w:rPr>
          <w:rFonts w:ascii="PingFang SC" w:hAnsi="PingFang SC" w:eastAsia="PingFang SC"/>
        </w:rPr>
        <w:t>联调主依据为 docs/backend/backend_api_contract_phase5.md（Phase 5 实施契约）及 docs/backend/session_gateway_contract_phase5.md；两者位于独立文档分支。旧 backend_api_contract_v2_freeze.md 是设计冻结稿，资产 URL 和 Case 列表形状等处与当前实现不同。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888"/>
        <w:gridCol w:w="4536"/>
      </w:tblGrid>
      <w:tr>
        <w:trPr>
          <w:tblHeader w:val="true"/>
          <w:cantSplit/>
        </w:trPr>
        <w:tc>
          <w:tcPr>
            <w:tcW w:type="dxa" w:w="1224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域</w:t>
            </w:r>
          </w:p>
        </w:tc>
        <w:tc>
          <w:tcPr>
            <w:tcW w:type="dxa" w:w="3888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当前调用</w:t>
            </w:r>
          </w:p>
        </w:tc>
        <w:tc>
          <w:tcPr>
            <w:tcW w:type="dxa" w:w="4536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关键契约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Auth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POST /auth/login；GET /auth/session；POST /auth/logout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Cookie 自动发送；POST 带 CSRF；Gateway 错误体字段可能不全。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Case</w:t>
            </w:r>
          </w:p>
        </w:tc>
        <w:tc>
          <w:tcPr>
            <w:tcW w:type="dxa" w:w="3888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GET/POST /cases；GET /cases/:id；POST upload；GET /cases/:id/dicom</w:t>
            </w:r>
          </w:p>
        </w:tc>
        <w:tc>
          <w:tcPr>
            <w:tcW w:type="dxa" w:w="4536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本人资源；单张去标识 DICOM，20 MiB；原图过期可返回 410。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Job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POST /predictions；POST /jobs/occlusion；GET /jobs/:id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创建需 Idempotency-Key；状态 CREATED/QUEUED/RUNNING/COMPLETED/FAILED。READY 不保证像素可解码。GET /jobs/:id 可公开的错误码/摘要及建议动作需与 Backend 确认；勿假定内部异常可直接展示。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Result</w:t>
            </w:r>
          </w:p>
        </w:tc>
        <w:tc>
          <w:tcPr>
            <w:tcW w:type="dxa" w:w="3888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GET /results/:id；GET /results/:id/positions</w:t>
            </w:r>
          </w:p>
        </w:tc>
        <w:tc>
          <w:tcPr>
            <w:tcW w:type="dxa" w:w="4536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只读完成结果；positions 客户端已有方法，但当前页面未使用。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Asset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GET /results/:id/assets/:assetId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受保护 PNG；客户端按 ID 构造路径、验 MIME 与元数据、撤销 Blob URL。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对照结论：已审计页面使用的路径、状态与 Phase 5 实施契约基本一致，未发现阻断已完成 Job 演示的字段或路径冲突。/cases 列表返回完整 Case 树，前端消费其公共摘要字段；Result 资产含 asset_url，前端按 asset_id 构造相同授权路径；progress/ETA 为 null 时 UI 显示“服务端未提供”。ResultAsset 类型尚未声明 asset_url，若使用需同步。FAILED 页目前只有“Job failed.”；用户可读的安全错误码/摘要尚需 Backend 契约确认与前端验收，不能将 Worker 内部异常直接暴露。</w:t>
      </w:r>
    </w:p>
    <w:p>
      <w:r>
        <w:rPr>
          <w:rFonts w:ascii="PingFang SC" w:hAnsi="PingFang SC" w:eastAsia="PingFang SC"/>
        </w:rPr>
        <w:t>接口变更时先更新 Phase 5 契约与类型，再改 api/client.ts、stores、页面和测试；不得在组件中拼服务器域名、私有对象键或 Worker 路由。</w:t>
      </w:r>
    </w:p>
    <w:p>
      <w:pPr>
        <w:pStyle w:val="Heading1"/>
      </w:pPr>
      <w:r>
        <w:t>第 8 章  Viewer 模块</w:t>
      </w:r>
    </w:p>
    <w:p>
      <w:r>
        <w:rPr>
          <w:rFonts w:ascii="PingFang SC" w:hAnsi="PingFang SC" w:eastAsia="PingFang SC"/>
        </w:rPr>
        <w:t>CornerstoneSliceViewer.vue 将授权获得的 DICOM Blob 包成 File，通过 dicom-image-loader 的本地 fileManager 加载到 StackViewport。支持拖动平移、滚轮及按钮缩放、重置视图；ResizeObserver 与渲染/相机事件驱动叠加重绘。组件卸载时销毁 RenderingEngine、事件监听及文件管理项。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064"/>
      </w:tblGrid>
      <w:tr>
        <w:trPr>
          <w:tblHeader w:val="true"/>
          <w:cantSplit/>
        </w:trPr>
        <w:tc>
          <w:tcPr>
            <w:tcW w:type="dxa" w:w="1584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层</w:t>
            </w:r>
          </w:p>
        </w:tc>
        <w:tc>
          <w:tcPr>
            <w:tcW w:type="dxa" w:w="8064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当前行为与安全闸门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CT 层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病例页显示本次上传或授权恢复的单切片；结果页重新 GET Case 与 DICOM，并验证 Blob SHA-256 对应 Result provenance。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独立热图</w:t>
            </w:r>
          </w:p>
        </w:tc>
        <w:tc>
          <w:tcPr>
            <w:tcW w:type="dxa" w:w="806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结果页按 16/32/64 px 切尺度，按响应、候选、比较图切图层；确认 asset_id、图层类型、尺寸、坐标空间和 PNG 解码尺寸。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Overlay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仅 OCCLUSION、COMPLETED、LIVE_CASE，且模型/预处理/协议在已审计名单、Case/Slice/输入哈希及资产关系一致时启用。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几何</w:t>
            </w:r>
          </w:p>
        </w:tc>
        <w:tc>
          <w:tcPr>
            <w:tcW w:type="dxa" w:w="806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224×224 模型空间或 14×14 比较空间映射到原始像素边界；indexToWorld([x−0.5,y−0.5,0]) 再 worldToCanvas，四角仿射校验。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交互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叠加开关、透明度、尺度、图层、相机偏好；恢复后仍走安全闸门。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限制：当前为二维单切片像素对齐，未做三维配准；14×14 比较图仅显示放大，不增加空间分辨率。图层是模型决策响应，不是病灶或临床事实。原图过期或几何不可验证时，可保留独立结果图层，但必须禁用 CT 叠加。</w:t>
      </w:r>
    </w:p>
    <w:p>
      <w:pPr>
        <w:pStyle w:val="Heading1"/>
      </w:pPr>
      <w:r>
        <w:t>第 9 章  陈奕冰负责范围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4824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负责 frontend/</w:t>
            </w:r>
          </w:p>
        </w:tc>
        <w:tc>
          <w:tcPr>
            <w:tcW w:type="dxa" w:w="4824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不负责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UI、信息架构、页面与导航、可访问性和响应式设计</w:t>
            </w:r>
          </w:p>
        </w:tc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Backend v2、Session Gateway 的服务端实现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Case/Job/Result 对接、错误与空态、前端测试</w:t>
            </w:r>
          </w:p>
        </w:tc>
        <w:tc>
          <w:tcPr>
            <w:tcW w:type="dxa" w:w="482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GPU Worker、CUDA、模型、FrozenBaseline 算法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Cornerstone Viewer 交互与已核验 Overlay 的前端呈现</w:t>
            </w:r>
          </w:p>
        </w:tc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PostgreSQL、MinIO、Nginx、服务器与部署运维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跨边界需求应形成契约请求：例如全局最近 Job 列表、服务端进度、模型目录或新的三维配准元数据，均需后端/算法负责人提供定义与验收证据后再展示。</w:t>
      </w:r>
    </w:p>
    <w:p>
      <w:pPr>
        <w:pStyle w:val="Heading1"/>
      </w:pPr>
      <w:r>
        <w:t>第 10 章  开发规范</w:t>
      </w:r>
    </w:p>
    <w:p>
      <w:pPr>
        <w:pStyle w:val="ListBullet"/>
      </w:pPr>
      <w:r>
        <w:rPr>
          <w:rFonts w:ascii="PingFang SC" w:hAnsi="PingFang SC" w:eastAsia="PingFang SC"/>
        </w:rPr>
        <w:t>分支：从负责人确认的集成基线创建前端专用分支，建议 codex/ 前缀；提交前核对 cwd、分支、HEAD 与工作区状态，不覆盖其他角色工作树。</w:t>
      </w:r>
    </w:p>
    <w:p>
      <w:pPr>
        <w:pStyle w:val="ListBullet"/>
      </w:pPr>
      <w:r>
        <w:rPr>
          <w:rFonts w:ascii="PingFang SC" w:hAnsi="PingFang SC" w:eastAsia="PingFang SC"/>
        </w:rPr>
        <w:t>提交：按单一可审查主题提交，写清页面/行为、API 契约影响、测试和风险；不要把截图中的真实数据、凭据、构建产物或私有路径纳入提交。</w:t>
      </w:r>
    </w:p>
    <w:p>
      <w:pPr>
        <w:pStyle w:val="ListBullet"/>
      </w:pPr>
      <w:r>
        <w:rPr>
          <w:rFonts w:ascii="PingFang SC" w:hAnsi="PingFang SC" w:eastAsia="PingFang SC"/>
        </w:rPr>
        <w:t>测试：至少运行 frontend typecheck/build 与 Vitest，覆盖登录/401、账户切换清缓存、Case 上传、Job 成功/FAILED 终态和刷新恢复、Result 资产与 Viewer 几何闸门。浏览器验收用固定 synthetic 与已去标识 JPEG Lossless 单切片，分别核对新 Job、9 个资产、三尺度位置及旧失败 Job 留存；不得用 READY 代替真实推理完成。</w:t>
      </w:r>
    </w:p>
    <w:p>
      <w:pPr>
        <w:pStyle w:val="ListBullet"/>
      </w:pPr>
      <w:r>
        <w:rPr>
          <w:rFonts w:ascii="PingFang SC" w:hAnsi="PingFang SC" w:eastAsia="PingFang SC"/>
        </w:rPr>
        <w:t>接口变更：先列出 contract 版本、请求/响应与错误状态，再同步 api/types.ts、client.ts、store、视图和测试；对无服务端列表/进度的设计不填假数据。</w:t>
      </w:r>
    </w:p>
    <w:p>
      <w:r>
        <w:rPr>
          <w:rFonts w:ascii="PingFang SC" w:hAnsi="PingFang SC" w:eastAsia="PingFang SC"/>
        </w:rPr>
        <w:t>接手首周建议：先复核源码、Phase 5 接口文档与事故记录；优先修复跨账号 Pinia 缓存残留，以及 FAILED Job 只有通用提示的问题（先与 Backend 确认可公开的错误契约），再处理病例切换期间旧 DICOM 异步回填风险，最后推进视觉与工作台重构。上述均为接手建议，不表示本文件已修改业务代码。</w:t>
      </w:r>
    </w:p>
    <w:sectPr>
      <w:headerReference w:type="default" r:id="rId9"/>
      <w:footerReference w:type="default" r:id="rId10"/>
      <w:pgSz w:w="11909" w:h="16834"/>
      <w:pgMar w:top="1123" w:right="1123" w:bottom="1037" w:left="1123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color w:val="4E6069"/>
        <w:sz w:val="14"/>
      </w:rPr>
      <w:t xml:space="preserve">EpiLocate Project Team  ·  v1.1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 w:val="0"/>
        <w:color w:val="4E6069"/>
        <w:sz w:val="15"/>
      </w:rPr>
      <w:t>EPILOCATE  /  FRONTEND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 w:after="100"/>
    </w:pPr>
    <w:rPr>
      <w:rFonts w:ascii="PingFang SC" w:hAnsi="PingFang SC" w:eastAsia="PingFang SC"/>
      <w:color w:val="1629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EpiLocate Frontend Handoff Document</dc:title>
  <dc:subject>Frontend leadership handoff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