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</w:pPr>
      <w:r>
        <w:rPr>
          <w:rFonts w:ascii="PingFang SC" w:hAnsi="PingFang SC" w:eastAsia="PingFang SC"/>
          <w:b/>
          <w:color w:val="000000"/>
          <w:sz w:val="46"/>
        </w:rPr>
        <w:t>EpiLocate Frontend Redesign Proposal</w:t>
      </w:r>
    </w:p>
    <w:p>
      <w:r>
        <w:rPr>
          <w:rFonts w:ascii="PingFang SC" w:hAnsi="PingFang SC" w:eastAsia="PingFang SC"/>
          <w:b w:val="0"/>
          <w:color w:val="19646F"/>
          <w:sz w:val="26"/>
        </w:rPr>
        <w:t>前端 UI 重构提案  v1.1 · 2026-09-29 事故复验补充</w:t>
      </w:r>
    </w:p>
    <w:p>
      <w:r>
        <w:br/>
      </w:r>
    </w:p>
    <w:p>
      <w:r>
        <w:rPr>
          <w:rFonts w:ascii="PingFang SC" w:hAnsi="PingFang SC" w:eastAsia="PingFang SC"/>
        </w:rPr>
        <w:t>交接对象：陈奕冰。本提案以原 Phase 5 前端代码快照为设计审计基线，并补充 2026-09-29 GPU 事故与修复后联调事实；运行环境修复不等于前端代码已改。所有新功能均以真实 API 能力为边界。</w:t>
      </w:r>
    </w:p>
    <w:p>
      <w:r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376"/>
        <w:gridCol w:w="3816"/>
        <w:gridCol w:w="1800"/>
      </w:tblGrid>
      <w:tr>
        <w:trPr>
          <w:tblHeader w:val="true"/>
          <w:cantSplit/>
        </w:trPr>
        <w:tc>
          <w:tcPr>
            <w:tcW w:type="dxa" w:w="158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文档版本</w:t>
            </w:r>
          </w:p>
        </w:tc>
        <w:tc>
          <w:tcPr>
            <w:tcW w:type="dxa" w:w="237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接收人</w:t>
            </w:r>
          </w:p>
        </w:tc>
        <w:tc>
          <w:tcPr>
            <w:tcW w:type="dxa" w:w="381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作者</w:t>
            </w:r>
          </w:p>
        </w:tc>
        <w:tc>
          <w:tcPr>
            <w:tcW w:type="dxa" w:w="180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日期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v1.1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陈奕冰 · 前端负责人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EpiLocate Project Team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2026 年 9 月 29 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PingFang SC" w:hAnsi="PingFang SC" w:eastAsia="PingFang SC"/>
        </w:rPr>
        <w:t>以下章节先区分现状与目标，再给出页面方案、设计系统及五阶段路线。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第一部分  当前 Frontend 问题分析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第二部分  目标信息架构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第三部分  登录与 Welcome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第四部分  Dashboard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第五部分  医疗 AI Viewer 工作台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第六部分  Job 体验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第七部分  Visual Design System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第八部分  五阶段实施路线</w:t>
      </w:r>
    </w:p>
    <w:p>
      <w:pPr>
        <w:spacing w:after="100"/>
      </w:pPr>
      <w:r>
        <w:rPr>
          <w:rFonts w:ascii="PingFang SC" w:hAnsi="PingFang SC" w:eastAsia="PingFang SC"/>
          <w:b w:val="0"/>
          <w:color w:val="162932"/>
          <w:sz w:val="20"/>
        </w:rPr>
        <w:t>第九部分  验收标准与接口依赖</w:t>
      </w:r>
    </w:p>
    <w:p>
      <w:r>
        <w:br w:type="page"/>
      </w:r>
    </w:p>
    <w:p>
      <w:pPr>
        <w:pStyle w:val="Heading1"/>
      </w:pPr>
      <w:r>
        <w:t>基线与判断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848"/>
      </w:tblGrid>
      <w:tr>
        <w:trPr>
          <w:tblHeader w:val="true"/>
          <w:cantSplit/>
        </w:trPr>
        <w:tc>
          <w:tcPr>
            <w:tcW w:type="dxa" w:w="180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审计对象</w:t>
            </w:r>
          </w:p>
        </w:tc>
        <w:tc>
          <w:tcPr>
            <w:tcW w:type="dxa" w:w="7848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前端快照</w:t>
            </w:r>
          </w:p>
        </w:tc>
        <w:tc>
          <w:tcPr>
            <w:tcW w:type="dxa" w:w="78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frontend/ @ 352152ce95fc26eb2dc0a4c309521d50486472ba；与代码冻结点 4d717a3753ef307ab370adeafaf5a00da4dc7af9 之间无前端差异。2026-09-29 的 GPU 事故修复属于后续运行环境证据，不改变该前端快照。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接口依据</w:t>
            </w:r>
          </w:p>
        </w:tc>
        <w:tc>
          <w:tcPr>
            <w:tcW w:type="dxa" w:w="78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Backend API Contract Phase 5 implementation 与 Session Gateway Contract；独立文档分支 @ ab36dea60e518ae86d8b9749d876d94d2102511d。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设计参考</w:t>
            </w:r>
          </w:p>
        </w:tc>
        <w:tc>
          <w:tcPr>
            <w:tcW w:type="dxa" w:w="78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本地 flow-fluidity Welcome 展示页的沉浸式影像、大标题与画面导航语言；它不是正式 Vue 业务页。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限制</w:t>
            </w:r>
          </w:p>
        </w:tc>
        <w:tc>
          <w:tcPr>
            <w:tcW w:type="dxa" w:w="78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本提案不主张把研究原型包装成临床产品；所有图层维持“模型响应”标注。</w:t>
            </w:r>
          </w:p>
        </w:tc>
      </w:tr>
    </w:tbl>
    <w:p>
      <w:pPr>
        <w:spacing w:after="0"/>
      </w:pPr>
    </w:p>
    <w:p>
      <w:pPr>
        <w:pStyle w:val="Heading1"/>
      </w:pPr>
      <w:r>
        <w:t>第一部分  当前 Frontend 问题分析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248"/>
      </w:tblGrid>
      <w:tr>
        <w:trPr>
          <w:tblHeader w:val="true"/>
          <w:cantSplit/>
        </w:trPr>
        <w:tc>
          <w:tcPr>
            <w:tcW w:type="dxa" w:w="1728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检查点</w:t>
            </w:r>
          </w:p>
        </w:tc>
        <w:tc>
          <w:tcPr>
            <w:tcW w:type="dxa" w:w="3672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实际代码现状</w:t>
            </w:r>
          </w:p>
        </w:tc>
        <w:tc>
          <w:tcPr>
            <w:tcW w:type="dxa" w:w="4248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用户影响 / 机会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信息架构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/ 为静态 Dashboard；主要导航仅 Dashboard 与病例中心；Job/Result 依 ID 深链进入。</w:t>
            </w:r>
          </w:p>
        </w:tc>
        <w:tc>
          <w:tcPr>
            <w:tcW w:type="dxa" w:w="4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流程可走通，但缺少“我刚做了什么、接下来做什么”的连续上下文。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登录页</w:t>
            </w:r>
          </w:p>
        </w:tc>
        <w:tc>
          <w:tcPr>
            <w:tcW w:type="dxa" w:w="367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LoginView 有品牌字标、研究边界、表单、错误与回跳。</w:t>
            </w:r>
          </w:p>
        </w:tc>
        <w:tc>
          <w:tcPr>
            <w:tcW w:type="dxa" w:w="42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功能完整；品牌叙事、系统范围与单切片能力说明仍可更清晰。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Dashboard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DashboardView 无业务 API 请求；是工作入口与静态流程说明。</w:t>
            </w:r>
          </w:p>
        </w:tc>
        <w:tc>
          <w:tcPr>
            <w:tcW w:type="dxa" w:w="4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缺最近病例、活跃任务、上次结果；不可直接伪造任务列表。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病例与上传</w:t>
            </w:r>
          </w:p>
        </w:tc>
        <w:tc>
          <w:tcPr>
            <w:tcW w:type="dxa" w:w="367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CaseDetail 混合影像结构、上传、预览与启动分析。</w:t>
            </w:r>
          </w:p>
        </w:tc>
        <w:tc>
          <w:tcPr>
            <w:tcW w:type="dxa" w:w="42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首次使用者需跨多个信息块理解“创建 → 上传 → 启动任务”。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Job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JobDetail 有 CREATED/QUEUED/RUNNING/COMPLETED/FAILED 标签、轮询与结果跳转。</w:t>
            </w:r>
          </w:p>
        </w:tc>
        <w:tc>
          <w:tcPr>
            <w:tcW w:type="dxa" w:w="4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现场曾有两个已被 CUDA Worker 领取的 Job 因 JPEG Lossless 解码依赖缺失而 FAILED；页面仅显示“Job failed.”。补齐依赖后，在原匿名 Case 上新建的 Prediction/Occlusion Job 完成；原失败记录保持 FAILED。前端仍缺安全、可行动的失败说明。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Viewer/Result</w:t>
            </w:r>
          </w:p>
        </w:tc>
        <w:tc>
          <w:tcPr>
            <w:tcW w:type="dxa" w:w="367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Result 页纵向卡片展示分类、热图、CT 叠加、provenance。</w:t>
            </w:r>
          </w:p>
        </w:tc>
        <w:tc>
          <w:tcPr>
            <w:tcW w:type="dxa" w:w="424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影像和解释要上下滚动对照；宽屏空间未形成工作台。</w:t>
            </w:r>
          </w:p>
        </w:tc>
      </w:tr>
    </w:tbl>
    <w:p>
      <w:pPr>
        <w:spacing w:after="0"/>
      </w:pPr>
    </w:p>
    <w:p>
      <w:pPr>
        <w:pStyle w:val="Heading2"/>
      </w:pPr>
      <w:r>
        <w:t>审计发现的前端风险</w:t>
      </w:r>
    </w:p>
    <w:p>
      <w:r>
        <w:rPr>
          <w:rFonts w:ascii="PingFang SC" w:hAnsi="PingFang SC" w:eastAsia="PingFang SC"/>
        </w:rPr>
        <w:t>当前 auth 清理不重置 cases/jobs Pinia 缓存；同一 SPA 更换账户可短暂显示旧数据。CaseDetail 的 DICOM 异步恢复没有与路由切换绑定的 generation/Abort 校验，旧请求可能回填新病例的预览变量。两者优先于视觉改造修复并测试。</w:t>
      </w:r>
    </w:p>
    <w:p>
      <w:pPr>
        <w:pStyle w:val="Heading1"/>
      </w:pPr>
      <w:r>
        <w:t>第二部分  目标信息架构</w:t>
      </w:r>
    </w:p>
    <w:p>
      <w:r>
        <w:rPr>
          <w:rFonts w:ascii="PingFang SC" w:hAnsi="PingFang SC" w:eastAsia="PingFang SC"/>
        </w:rPr>
        <w:t>建议把公开 Welcome 作为品牌与研究边界入口；登录之后进入数据驱动 Dashboard，再进入 Cases、Viewer 与 Result。Job 是从 Case 到 Result 的可恢复执行状态，不删除现有 /jobs/:id 深链。当前 Viewer 不存在独立路由，是否新增 /viewer/:caseId 需在设计评审时决定；可先在现有页面布局中实现工作台。</w:t>
      </w:r>
    </w:p>
    <w:p>
      <w:r>
        <w:drawing>
          <wp:inline xmlns:a="http://schemas.openxmlformats.org/drawingml/2006/main" xmlns:pic="http://schemas.openxmlformats.org/drawingml/2006/picture">
            <wp:extent cx="6080760" cy="2837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3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PingFang SC" w:hAnsi="PingFang SC" w:eastAsia="PingFang SC"/>
          <w:b w:val="0"/>
          <w:color w:val="4E6069"/>
          <w:sz w:val="16"/>
        </w:rPr>
        <w:t>图 1  建议的信息架构；登录是身份闸门，Job 和 Result 保留 ID 深链</w:t>
      </w:r>
    </w:p>
    <w:p>
      <w:r>
        <w:rPr>
          <w:rFonts w:ascii="PingFang SC" w:hAnsi="PingFang SC" w:eastAsia="PingFang SC"/>
        </w:rPr>
        <w:t>目标主流程：Welcome → Login → Dashboard → Cases → Viewer → Result。首次任务流程为 Case 创建 → 单切片上传 → 选择已登记模型 → Job 状态 → 已完成 Result；任何刷新均从服务端按 ID 恢复。</w:t>
      </w:r>
    </w:p>
    <w:p>
      <w:pPr>
        <w:pStyle w:val="Heading1"/>
      </w:pPr>
      <w:r>
        <w:t>第三部分  登录与 Welcome</w:t>
      </w:r>
    </w:p>
    <w:p>
      <w:r>
        <w:rPr>
          <w:rFonts w:ascii="PingFang SC" w:hAnsi="PingFang SC" w:eastAsia="PingFang SC"/>
        </w:rPr>
        <w:t>现状：LoginView 是 420 px 居中面板，已有账号、口令、错误反馈、禁用态和研究用途提示；CSS 使用冷色背景与深青按钮。未发现被省略的安全提示。改造重点是内容层次和与产品叙事的连接，而非替换 Session 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064"/>
      </w:tblGrid>
      <w:tr>
        <w:trPr>
          <w:tblHeader w:val="true"/>
          <w:cantSplit/>
        </w:trPr>
        <w:tc>
          <w:tcPr>
            <w:tcW w:type="dxa" w:w="158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区域</w:t>
            </w:r>
          </w:p>
        </w:tc>
        <w:tc>
          <w:tcPr>
            <w:tcW w:type="dxa" w:w="806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建议设计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Welcome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参考 flow-fluidity 的大幅影像、清晰标题、页脚画面序列；使用合成或可公开影像素材。明确当前仅支持单切片 CT、研究/答辩用途。主 CTA 为“进入工作台”，引向登录。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Login</w:t>
            </w:r>
          </w:p>
        </w:tc>
        <w:tc>
          <w:tcPr>
            <w:tcW w:type="dxa" w:w="806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桌面端使用左侧品牌说明、右侧窄表单；移动端回到单列。显示登录身份用途、数据归属、去标识上传约束。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交互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保留 next 安全回跳、忙碌态、错误 role=alert、口令清空；增加口令显隐、输入校验和键盘焦点状态。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边界</w:t>
            </w:r>
          </w:p>
        </w:tc>
        <w:tc>
          <w:tcPr>
            <w:tcW w:type="dxa" w:w="806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Welcome 的研究路线文字不能宣称现已实现 LIME、医生反馈、临床诊断或多切片能力。</w:t>
            </w:r>
          </w:p>
        </w:tc>
      </w:tr>
    </w:tbl>
    <w:p>
      <w:pPr>
        <w:spacing w:after="0"/>
      </w:pPr>
    </w:p>
    <w:p>
      <w:pPr>
        <w:pStyle w:val="Heading1"/>
      </w:pPr>
      <w:r>
        <w:t>第四部分  Dashboard</w:t>
      </w:r>
    </w:p>
    <w:p>
      <w:r>
        <w:rPr>
          <w:rFonts w:ascii="PingFang SC" w:hAnsi="PingFang SC" w:eastAsia="PingFang SC"/>
        </w:rPr>
        <w:t>当前 Dashboard 已存在，但不读取 Case/Job/Result API，因此应称“静态总览”。建议第一版用 GET /cases 展示本人最近病例、READY/EXPIRED 状态、创建时间和上传待办；快捷入口为创建 Case、继续最近 Case、按已知 Job ID 打开任务。</w:t>
      </w:r>
    </w:p>
    <w:p>
      <w:r>
        <w:rPr>
          <w:rFonts w:ascii="PingFang SC" w:hAnsi="PingFang SC" w:eastAsia="PingFang SC"/>
        </w:rPr>
        <w:t>任务状态卡必须受契约约束：Phase 5 没有全局 Job 列表或 Case→Job 列举 API。可以只展示本会话已知 ID 的任务并标注范围；若产品需要跨设备“最近任务”，先申请后端列表契约和权限/分页规范。项目状态卡可说明“单切片 CT / GPU-only MVP 工程验收”，不推断线上 GPU 当前健康。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528"/>
        <w:gridCol w:w="4320"/>
      </w:tblGrid>
      <w:tr>
        <w:trPr>
          <w:tblHeader w:val="true"/>
          <w:cantSplit/>
        </w:trPr>
        <w:tc>
          <w:tcPr>
            <w:tcW w:type="dxa" w:w="180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模块</w:t>
            </w:r>
          </w:p>
        </w:tc>
        <w:tc>
          <w:tcPr>
            <w:tcW w:type="dxa" w:w="3528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数据来源</w:t>
            </w:r>
          </w:p>
        </w:tc>
        <w:tc>
          <w:tcPr>
            <w:tcW w:type="dxa" w:w="432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空态或失败态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最近病例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/cases 的本人数据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空：创建匿名 Case；失败：重试与认证提示。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继续工作</w:t>
            </w:r>
          </w:p>
        </w:tc>
        <w:tc>
          <w:tcPr>
            <w:tcW w:type="dxa" w:w="35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已知 Case/Job/Result ID 与服务器重读</w:t>
            </w:r>
          </w:p>
        </w:tc>
        <w:tc>
          <w:tcPr>
            <w:tcW w:type="dxa" w:w="432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无可恢复记录时不展示虚构摘要。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快捷动作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现有创建 Case / 路由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上传提示只在 Case 已创建后出现。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研究边界</w:t>
            </w:r>
          </w:p>
        </w:tc>
        <w:tc>
          <w:tcPr>
            <w:tcW w:type="dxa" w:w="3528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固定产品说明 + Result 来源校验</w:t>
            </w:r>
          </w:p>
        </w:tc>
        <w:tc>
          <w:tcPr>
            <w:tcW w:type="dxa" w:w="432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明确模型响应不是病灶，非临床用途。</w:t>
            </w:r>
          </w:p>
        </w:tc>
      </w:tr>
    </w:tbl>
    <w:p>
      <w:pPr>
        <w:spacing w:after="0"/>
      </w:pPr>
    </w:p>
    <w:p>
      <w:pPr>
        <w:pStyle w:val="Heading1"/>
      </w:pPr>
      <w:r>
        <w:t>第五部分  医疗 AI Viewer 工作台</w:t>
      </w:r>
    </w:p>
    <w:p>
      <w:r>
        <w:rPr>
          <w:rFonts w:ascii="PingFang SC" w:hAnsi="PingFang SC" w:eastAsia="PingFang SC"/>
        </w:rPr>
        <w:t>建议桌面宽屏形成三栏：左侧 Case 与 Slice 上下文，中间 CT StackViewport，右侧 AI 解释。保留现有 Result 页独立热图和 provenance，不把信息压成单张“诊断报告”。在窄屏依次呈现 Case、CT、解释面板；CT 要保留可操作尺寸。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632"/>
      </w:tblGrid>
      <w:tr>
        <w:trPr>
          <w:tblHeader w:val="true"/>
          <w:cantSplit/>
        </w:trPr>
        <w:tc>
          <w:tcPr>
            <w:tcW w:type="dxa" w:w="201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栏位</w:t>
            </w:r>
          </w:p>
        </w:tc>
        <w:tc>
          <w:tcPr>
            <w:tcW w:type="dxa" w:w="7632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内容与交互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左  Case 信息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匿名 Case ID、状态、Slice ID、输入可用期、Job ID 与版本；返回病例、任务的清晰路径。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中  CT Viewer</w:t>
            </w:r>
          </w:p>
        </w:tc>
        <w:tc>
          <w:tcPr>
            <w:tcW w:type="dxa" w:w="763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DICOM 解码、窗宽窗位由 Cornerstone 处理；平移、缩放、重置、Overlay 开关、透明度、尺寸/错误提示。几何闸门失败时禁用叠加并解释原因。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右  AI 解释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Prediction 类别、正类概率与预测类别置信度分列；16/32/64 尺度、响应/候选/比较图层、遮挡指标、Result/provenance。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底部  证据与说明</w:t>
            </w:r>
          </w:p>
        </w:tc>
        <w:tc>
          <w:tcPr>
            <w:tcW w:type="dxa" w:w="763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Job 状态、模型/预处理/协议版本、输入/资产校验结果；固定“模型决策响应，不是病灶标注或临床诊断”。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交互规则：切尺度或图层时保留 CT 相机；加载资产期间保留明确忙碌态；若 DICOM 过期仍可看独立结果图，但停止叠加。候选层为空时禁用按钮，14×14 比较图注明显示插值。不要绕过 geometry.ts 的版本、哈希、Slice、尺寸、轴向与四角仿射校验。</w:t>
      </w:r>
    </w:p>
    <w:p>
      <w:pPr>
        <w:pStyle w:val="Heading1"/>
      </w:pPr>
      <w:r>
        <w:t>第六部分  Job 体验</w:t>
      </w:r>
    </w:p>
    <w:p>
      <w:r>
        <w:rPr>
          <w:rFonts w:ascii="PingFang SC" w:hAnsi="PingFang SC" w:eastAsia="PingFang SC"/>
        </w:rPr>
        <w:t>把现有单排状态标签改为基于服务器事实的时间线：Uploaded（Case 输入 READY）→ Created → Queued → Processing（Job RUNNING）→ Completed；FAILED 为独立终态。Uploaded 不是 Job API 状态；READY 仅表示服务端已接受影像及头部校验，不保证 Worker 已能解码像素。只有取得 Worker 设备证据时才标注 CUDA，不能仅凭 RUNNING 称为 GPU Processing。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tblHeader w:val="true"/>
          <w:cantSplit/>
        </w:trPr>
        <w:tc>
          <w:tcPr>
            <w:tcW w:type="dxa" w:w="194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场景</w:t>
            </w:r>
          </w:p>
        </w:tc>
        <w:tc>
          <w:tcPr>
            <w:tcW w:type="dxa" w:w="7704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建议文案与行为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CREATED / QUEUED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“已创建 / 排队中”；按 Job ID 自动查询，展示真实创建时间和可证实的重试次数。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RUNNING</w:t>
            </w:r>
          </w:p>
        </w:tc>
        <w:tc>
          <w:tcPr>
            <w:tcW w:type="dxa" w:w="770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“正在处理”；如 progress 与 ETA 为 null，只显示状态和轮询时间，不制造百分比或剩余分钟。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COMPLETED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突出“查看结果”；结果页重新按 result_id 读取，不使用旧内存缓存当权威。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FAILED</w:t>
            </w:r>
          </w:p>
        </w:tc>
        <w:tc>
          <w:tcPr>
            <w:tcW w:type="dxa" w:w="7704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现状仅显示“Job failed.”。目标：与 Backend 确认可公开的错误码/摘要后呈现原因和建议动作；保留 Job ID、可证实的 retry_count，并提供返回 Case 或新建 Job 入口。新 Job 成功不得覆盖原 FAILED 记录；不展示内部异常、凭据或签名 URL。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网络 / 超时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说明“页面停止查询，任务可能继续运行”；保留 Job ID 和重新查询按钮。</w:t>
            </w:r>
          </w:p>
        </w:tc>
      </w:tr>
    </w:tbl>
    <w:p>
      <w:pPr>
        <w:spacing w:after="0"/>
      </w:pPr>
    </w:p>
    <w:p>
      <w:pPr>
        <w:pStyle w:val="Heading1"/>
      </w:pPr>
      <w:r>
        <w:t>第七部分  Visual Design System</w:t>
      </w:r>
    </w:p>
    <w:p>
      <w:r>
        <w:rPr>
          <w:rFonts w:ascii="PingFang SC" w:hAnsi="PingFang SC" w:eastAsia="PingFang SC"/>
        </w:rPr>
        <w:t>建议采用克制的 Apple 风格：清晰层级、宽裕留白、低噪声材质和轻量反馈。医学影像区使用稳定深色画布，数据区使用浅色背景。品牌视觉可承接 flow-fluidity 的画面感，但工作区以证据可读性为先。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tblHeader w:val="true"/>
          <w:cantSplit/>
        </w:trPr>
        <w:tc>
          <w:tcPr>
            <w:tcW w:type="dxa" w:w="1512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令牌</w:t>
            </w:r>
          </w:p>
        </w:tc>
        <w:tc>
          <w:tcPr>
            <w:tcW w:type="dxa" w:w="813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建议值 / 用法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色彩</w:t>
            </w:r>
          </w:p>
        </w:tc>
        <w:tc>
          <w:tcPr>
            <w:tcW w:type="dxa" w:w="81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底色 #F5F8FA；内容 #FFFFFF；主字 #162932；次字 #4E6069；强调青 #19646F；成功 #18735B；错误 #B42318。Overlay 色盘必须与 CT 可辨且有文字图例。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字体</w:t>
            </w:r>
          </w:p>
        </w:tc>
        <w:tc>
          <w:tcPr>
            <w:tcW w:type="dxa" w:w="813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SF Pro / PingFang SC / 系统无衬线；数字与 ID 用等宽字。正文 14–16 px，标题按 24/32 px 两级；结果概率可 24 px。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卡片</w:t>
            </w:r>
          </w:p>
        </w:tc>
        <w:tc>
          <w:tcPr>
            <w:tcW w:type="dxa" w:w="81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圆角 12 px，1 px 浅边框；阴影只用于浮层。避免过多嵌套卡片导致 CT 区缩小。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间距</w:t>
            </w:r>
          </w:p>
        </w:tc>
        <w:tc>
          <w:tcPr>
            <w:tcW w:type="dxa" w:w="813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4/8/12/16/24/32 px 节奏；主工作区最小触控目标 44 px。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动画</w:t>
            </w:r>
          </w:p>
        </w:tc>
        <w:tc>
          <w:tcPr>
            <w:tcW w:type="dxa" w:w="81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120–200 ms 的状态过渡与轻微位移；加载用进度语义，尊重 prefers-reduced-motion。切图层不做会误导配准的漂移动画。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响应式</w:t>
            </w:r>
          </w:p>
        </w:tc>
        <w:tc>
          <w:tcPr>
            <w:tcW w:type="dxa" w:w="813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≥1200 px 三栏；768–1199 px 双栏或右侧抽屉；&lt;768 px 单列，优先 CT 与关键结果。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设计验收优先级：可读性、对比度、键盘导航、空态与错误态、长 ID 换行、暗画布中 CT/热图图例和触控操作。不要通过视觉强调将正类概率与预测类别置信度混为一项。</w:t>
      </w:r>
    </w:p>
    <w:p>
      <w:pPr>
        <w:pStyle w:val="Heading1"/>
      </w:pPr>
      <w:r>
        <w:t>第八部分  五阶段实施路线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672"/>
        <w:gridCol w:w="3960"/>
      </w:tblGrid>
      <w:tr>
        <w:trPr>
          <w:tblHeader w:val="true"/>
          <w:cantSplit/>
        </w:trPr>
        <w:tc>
          <w:tcPr>
            <w:tcW w:type="dxa" w:w="2016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阶段</w:t>
            </w:r>
          </w:p>
        </w:tc>
        <w:tc>
          <w:tcPr>
            <w:tcW w:type="dxa" w:w="3672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可交付结果</w:t>
            </w:r>
          </w:p>
        </w:tc>
        <w:tc>
          <w:tcPr>
            <w:tcW w:type="dxa" w:w="3960"/>
            <w:shd w:fill="EAF1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62932"/>
                <w:sz w:val="16"/>
              </w:rPr>
              <w:t>完成门槛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Phase 1 基础视觉升级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统一组件令牌、登录与 AppShell、空态/错误态；修复跨账号缓存和旧 DICOM 回填。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现有路径可用；auth/401/账户切换及浏览器焦点测试通过。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Phase 2 Dashboard</w:t>
            </w:r>
          </w:p>
        </w:tc>
        <w:tc>
          <w:tcPr>
            <w:tcW w:type="dxa" w:w="367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GET /cases 驱动最近病例与快捷入口；任务卡仅用已知 ID。</w:t>
            </w:r>
          </w:p>
        </w:tc>
        <w:tc>
          <w:tcPr>
            <w:tcW w:type="dxa" w:w="396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空列表、加载、认证失效与分页可验证；无虚构任务数据。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Phase 3 Viewer 增强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三栏工作台布局、独立图层与 CT 并置；保留安全闸门。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16/32/64 图层、开关、透明度、缩放、刷新恢复和几何拒绝验收。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Phase 4 高级交互</w:t>
            </w:r>
          </w:p>
        </w:tc>
        <w:tc>
          <w:tcPr>
            <w:tcW w:type="dxa" w:w="3672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Job 时间线、深链恢复、快捷返回、键盘与移动交互。</w:t>
            </w:r>
          </w:p>
        </w:tc>
        <w:tc>
          <w:tcPr>
            <w:tcW w:type="dxa" w:w="3960"/>
            <w:vAlign w:val="center"/>
            <w:shd w:fill="F7FAF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null 进度无假数值；FAILED 展示经审查的安全原因、Job ID 与新建任务入口；旧失败 Job 可回看。超时、原图过期及刷新恢复路径清楚。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Phase 5 答辩展示优化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Welcome 画面、合成数据演示脚本、演示模式说明和演讲截图。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4" w:lineRule="auto"/>
            </w:pPr>
            <w:r>
              <w:rPr>
                <w:rFonts w:ascii="PingFang SC" w:hAnsi="PingFang SC" w:eastAsia="PingFang SC"/>
                <w:sz w:val="16"/>
              </w:rPr>
              <w:t>展示内容与真实 API/研究边界一致；演示账号与数据由负责人管理。</w:t>
            </w:r>
          </w:p>
        </w:tc>
      </w:tr>
    </w:tbl>
    <w:p>
      <w:pPr>
        <w:spacing w:after="0"/>
      </w:pPr>
    </w:p>
    <w:p>
      <w:pPr>
        <w:pStyle w:val="Heading1"/>
      </w:pPr>
      <w:r>
        <w:t>第九部分  验收标准与接口依赖</w:t>
      </w:r>
    </w:p>
    <w:p>
      <w:pPr>
        <w:pStyle w:val="ListBullet"/>
      </w:pPr>
      <w:r>
        <w:rPr>
          <w:rFonts w:ascii="PingFang SC" w:hAnsi="PingFang SC" w:eastAsia="PingFang SC"/>
        </w:rPr>
        <w:t>功能：登录、Case 创建与上传、Prediction/Occlusion、Job 轮询、Result 与受保护资产不得回归。固定 synthetic DICOM 和已去标识 JPEG Lossless 单切片分别验收到新 Job 终态；核对 CUDA Worker、16/32/64 px 的 729/169/36 个位置、9 个热图资产、结果与刷新恢复。记录 Case/Slice/Job/Result ID；历史 FAILED Job 单独保留。</w:t>
      </w:r>
    </w:p>
    <w:p>
      <w:pPr>
        <w:pStyle w:val="ListBullet"/>
      </w:pPr>
      <w:r>
        <w:rPr>
          <w:rFonts w:ascii="PingFang SC" w:hAnsi="PingFang SC" w:eastAsia="PingFang SC"/>
        </w:rPr>
        <w:t>可信度：仅显示 LIVE_CASE 已完成 Result。2026-09-29 修复后 GPU 工程链路复验通过，不代表临床效力或所有压缩 DICOM 均受支持；CPU/GPU 固定派生数值一致性仍 FAIL / OPEN（最大偏差 0.0010498762130737305，容差 0.0001）。</w:t>
      </w:r>
    </w:p>
    <w:p>
      <w:pPr>
        <w:pStyle w:val="ListBullet"/>
      </w:pPr>
      <w:r>
        <w:rPr>
          <w:rFonts w:ascii="PingFang SC" w:hAnsi="PingFang SC" w:eastAsia="PingFang SC"/>
        </w:rPr>
        <w:t>Viewer：DICOM 哈希、Slice、资产、几何版本或画布映射任何一项失败均停止 Overlay；独立图层有清楚边界说明。</w:t>
      </w:r>
    </w:p>
    <w:p>
      <w:pPr>
        <w:pStyle w:val="ListBullet"/>
      </w:pPr>
      <w:r>
        <w:rPr>
          <w:rFonts w:ascii="PingFang SC" w:hAnsi="PingFang SC" w:eastAsia="PingFang SC"/>
        </w:rPr>
        <w:t>安全：账户切换清空所有前端业务缓存；Cookie/Backend Bearer/口令不进入可读存储；401 后更新登录状态。</w:t>
      </w:r>
    </w:p>
    <w:p>
      <w:pPr>
        <w:pStyle w:val="ListBullet"/>
      </w:pPr>
      <w:r>
        <w:rPr>
          <w:rFonts w:ascii="PingFang SC" w:hAnsi="PingFang SC" w:eastAsia="PingFang SC"/>
        </w:rPr>
        <w:t>可用性：桌面和移动断点、键盘焦点、屏幕阅读器关键提示、弱网/过期输入/无资产状态均完成浏览器验收。</w:t>
      </w:r>
    </w:p>
    <w:p>
      <w:r>
        <w:rPr>
          <w:rFonts w:ascii="PingFang SC" w:hAnsi="PingFang SC" w:eastAsia="PingFang SC"/>
        </w:rPr>
        <w:t>接口依赖：跨设备最近 Job、服务器当前 GPU 健康、可信进度/ETA、可选择模型清单和更广泛影像/三维几何，当前没有对应用户端契约。需要 Backend/Worker/算法负责人定义接口与事实来源后再纳入界面。</w:t>
      </w:r>
    </w:p>
    <w:p>
      <w:pPr>
        <w:pStyle w:val="Heading2"/>
      </w:pPr>
      <w:r>
        <w:t>证据索引</w:t>
      </w:r>
    </w:p>
    <w:p>
      <w:r>
        <w:rPr>
          <w:rFonts w:ascii="PingFang SC" w:hAnsi="PingFang SC" w:eastAsia="PingFang SC"/>
        </w:rPr>
        <w:t>页面与样式：frontend/src/views/、layout/AppShell.vue、style.css。数据与鉴权：frontend/src/api/、auth/session.ts、router/index.ts、stores/。Viewer：frontend/src/viewer/、views/ResultDetailView.vue。接口：docs/backend/backend_api_contract_phase5.md、session_gateway_contract_phase5.md、frontend_integration_guide_phase5.md（独立文档分支）。验收：docs/phase5/gpu_final_handoff_report.md。视觉参考：flow-fluidity/src/main.tsx（独立展示页）。；事故与修复证据：docs/phase5/gpu_failed_job_incident_20260929.md。</w:t>
      </w:r>
    </w:p>
    <w:sectPr>
      <w:headerReference w:type="default" r:id="rId9"/>
      <w:footerReference w:type="default" r:id="rId10"/>
      <w:pgSz w:w="11909" w:h="16834"/>
      <w:pgMar w:top="1123" w:right="1123" w:bottom="1037" w:left="1123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4E6069"/>
        <w:sz w:val="14"/>
      </w:rPr>
      <w:t xml:space="preserve">EpiLocate Project Team  ·  v1.1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color w:val="4E6069"/>
        <w:sz w:val="15"/>
      </w:rPr>
      <w:t>EPILOCATE  /  FRONTEND REDESIGN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00"/>
    </w:pPr>
    <w:rPr>
      <w:rFonts w:ascii="PingFang SC" w:hAnsi="PingFang SC" w:eastAsia="PingFang SC"/>
      <w:color w:val="1629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EpiLocate Frontend Redesign Proposal</dc:title>
  <dc:subject>Frontend redesign proposal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