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基于 BRAM 的稀疏卷积矩阵乘映射加速器设计</w:t>
      </w:r>
    </w:p>
    <w:p>
      <w:pPr>
        <w:jc w:val="center"/>
      </w:pPr>
      <w:r>
        <w:t xml:space="preserve">作者：请填写姓名、班级、学号</w:t>
      </w:r>
    </w:p>
    <w:p>
      <w:pPr>
        <w:pStyle w:val="Heading1"/>
      </w:pPr>
      <w:r>
        <w:t xml:space="preserve">Abstract</w:t>
      </w:r>
    </w:p>
    <w:p>
      <w:r>
        <w:t xml:space="preserve">卷积神经网络中的卷积层可以通过 img2col 转换为矩阵乘法，但在 FPGA 上直接保存和遍历稠密矩阵会引入大量无效访存和乘加。本文针对 Lab-3 提供的 VGG-16 第三层卷积数据，设计了一种基于 BRAM 预存储的稀疏矩阵乘映射加速器。该设计将 activation_col 按输出列压缩，将权重按输入 K 维组织成 16-lane 外积块，并通过硬件控制器从 BRAM 中顺序读取非零激活及对应权重块，对 128 个输出通道累加生成输出列。软件参考实验验证了 131072 个输出点全部与 output_col.txt 一致；周期估算显示 16-lane 外积映射约需 4,379,508 个计算周期，相比单 MAC 稠密遍历的 75,497,472 周期约提升 17.24 倍。</w:t>
      </w:r>
    </w:p>
    <w:p>
      <w:r>
        <w:t xml:space="preserve">Keywords: Sparse Matrix Multiplication; BRAM; FPGA; CNN Accelerator; Data Mapping</w:t>
      </w:r>
    </w:p>
    <w:p>
      <w:pPr>
        <w:pStyle w:val="Heading1"/>
      </w:pPr>
      <w:r>
        <w:t xml:space="preserve">1. Introduction</w:t>
      </w:r>
    </w:p>
    <w:p>
      <w:r>
        <w:t xml:space="preserve">CNN 推理中的卷积层通常占据主要计算量。课程前序 Lab 中，数据搬运、mapping 和控制逻辑主要由 testbench 以软件循环完成；而 Lab-3 要求将矩阵预存到 Xilinx FPGA 的 BRAM 中，并由硬件控制完成矩阵到阵列或计算单元的映射。因此，本实验的关键不只是完成矩阵乘法本身，还包括选择合适的数据布局，使 BRAM 读写、索引匹配和乘加单元之间形成可综合的数据流。</w:t>
      </w:r>
    </w:p>
    <w:p>
      <w:r>
        <w:t xml:space="preserve">实验数据来自 VGG-16 的第三层卷积。权重矩阵大小为 128 x 576，activation_col 矩阵大小为 576 x 1024，输出矩阵大小为 128 x 1024。统计结果表明，权重非零数量为 20,644，密度为 28.00%；activation_col 非零数量为 262,575，密度为 44.52%。虽然两个矩阵并非极端稀疏，但大量零值仍会让稠密遍历产生无效 MAC。本文的目标是在保证结果正确的前提下，用 BRAM 存储压缩数据，降低无效计算周期。</w:t>
      </w:r>
    </w:p>
    <w:p>
      <w:pPr>
        <w:pStyle w:val="Heading1"/>
      </w:pPr>
      <w:r>
        <w:t xml:space="preserve">2. Method</w:t>
      </w:r>
    </w:p>
    <w:p>
      <w:pPr>
        <w:pStyle w:val="Heading2"/>
      </w:pPr>
      <w:r>
        <w:t xml:space="preserve">2.1 Sparse Data Layout</w:t>
      </w:r>
    </w:p>
    <w:p>
      <w:r>
        <w:t xml:space="preserve">设计采用两种压缩结构。第一种用于验证和对照：权重按输出通道压缩为 CSR-like 格式，activation_col 按列压缩为 CSC-like 格式，通过索引交集得到每个输出元素的有效乘加。第二种作为主设计：权重按照 K 维重新组织。对每一个 K，收集所有非零的输出通道权重，再按 16 个 lane 打包成权重块。每个块包含 16 个 8-bit 权重和 16 个 8-bit 输出通道编号，空 lane 用 0xff 作为无效标记。activation_col 的每个非零元素除保存数值外，还保存其对应 K 的权重块起止地址，因此硬件无需在运行时查询 K 到权重块的映射表。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BRAM Image</w:t>
            </w:r>
          </w:p>
        </w:tc>
        <w:tc>
          <w:tcPr>
            <w:tcW w:w="2400" w:type="dxa"/>
          </w:tcPr>
          <w:p>
            <w:r>
              <w:t xml:space="preserve">Content</w:t>
            </w:r>
          </w:p>
        </w:tc>
        <w:tc>
          <w:tcPr>
            <w:tcW w:w="2400" w:type="dxa"/>
          </w:tcPr>
          <w:p>
            <w:r>
              <w:t xml:space="preserve">Width</w:t>
            </w:r>
          </w:p>
        </w:tc>
        <w:tc>
          <w:tcPr>
            <w:tcW w:w="2400" w:type="dxa"/>
          </w:tcPr>
          <w:p>
            <w:r>
              <w:t xml:space="preserve">Depth</w:t>
            </w:r>
          </w:p>
        </w:tc>
      </w:tr>
      <w:tr>
        <w:tc>
          <w:tcPr>
            <w:tcW w:w="2400" w:type="dxa"/>
          </w:tcPr>
          <w:p>
            <w:r>
              <w:t xml:space="preserve">a_values.mem</w:t>
            </w:r>
          </w:p>
        </w:tc>
        <w:tc>
          <w:tcPr>
            <w:tcW w:w="2400" w:type="dxa"/>
          </w:tcPr>
          <w:p>
            <w:r>
              <w:t xml:space="preserve">非零 activation 数值</w:t>
            </w:r>
          </w:p>
        </w:tc>
        <w:tc>
          <w:tcPr>
            <w:tcW w:w="2400" w:type="dxa"/>
          </w:tcPr>
          <w:p>
            <w:r>
              <w:t xml:space="preserve">8 bit</w:t>
            </w:r>
          </w:p>
        </w:tc>
        <w:tc>
          <w:tcPr>
            <w:tcW w:w="2400" w:type="dxa"/>
          </w:tcPr>
          <w:p>
            <w:r>
              <w:t xml:space="preserve">262,575</w:t>
            </w:r>
          </w:p>
        </w:tc>
      </w:tr>
      <w:tr>
        <w:tc>
          <w:tcPr>
            <w:tcW w:w="2400" w:type="dxa"/>
          </w:tcPr>
          <w:p>
            <w:r>
              <w:t xml:space="preserve">a_ptr.mem</w:t>
            </w:r>
          </w:p>
        </w:tc>
        <w:tc>
          <w:tcPr>
            <w:tcW w:w="2400" w:type="dxa"/>
          </w:tcPr>
          <w:p>
            <w:r>
              <w:t xml:space="preserve">每个输出列的 activation 起止指针</w:t>
            </w:r>
          </w:p>
        </w:tc>
        <w:tc>
          <w:tcPr>
            <w:tcW w:w="2400" w:type="dxa"/>
          </w:tcPr>
          <w:p>
            <w:r>
              <w:t xml:space="preserve">19 bit</w:t>
            </w:r>
          </w:p>
        </w:tc>
        <w:tc>
          <w:tcPr>
            <w:tcW w:w="2400" w:type="dxa"/>
          </w:tcPr>
          <w:p>
            <w:r>
              <w:t xml:space="preserve">1025</w:t>
            </w:r>
          </w:p>
        </w:tc>
      </w:tr>
      <w:tr>
        <w:tc>
          <w:tcPr>
            <w:tcW w:w="2400" w:type="dxa"/>
          </w:tcPr>
          <w:p>
            <w:r>
              <w:t xml:space="preserve">a_wblk_start/end.mem</w:t>
            </w:r>
          </w:p>
        </w:tc>
        <w:tc>
          <w:tcPr>
            <w:tcW w:w="2400" w:type="dxa"/>
          </w:tcPr>
          <w:p>
            <w:r>
              <w:t xml:space="preserve">每个非零 activation 对应的权重块范围</w:t>
            </w:r>
          </w:p>
        </w:tc>
        <w:tc>
          <w:tcPr>
            <w:tcW w:w="2400" w:type="dxa"/>
          </w:tcPr>
          <w:p>
            <w:r>
              <w:t xml:space="preserve">19 bit</w:t>
            </w:r>
          </w:p>
        </w:tc>
        <w:tc>
          <w:tcPr>
            <w:tcW w:w="2400" w:type="dxa"/>
          </w:tcPr>
          <w:p>
            <w:r>
              <w:t xml:space="preserve">262,575</w:t>
            </w:r>
          </w:p>
        </w:tc>
      </w:tr>
      <w:tr>
        <w:tc>
          <w:tcPr>
            <w:tcW w:w="2400" w:type="dxa"/>
          </w:tcPr>
          <w:p>
            <w:r>
              <w:t xml:space="preserve">wk_block_values16.mem</w:t>
            </w:r>
          </w:p>
        </w:tc>
        <w:tc>
          <w:tcPr>
            <w:tcW w:w="2400" w:type="dxa"/>
          </w:tcPr>
          <w:p>
            <w:r>
              <w:t xml:space="preserve">16-lane 打包权重值</w:t>
            </w:r>
          </w:p>
        </w:tc>
        <w:tc>
          <w:tcPr>
            <w:tcW w:w="2400" w:type="dxa"/>
          </w:tcPr>
          <w:p>
            <w:r>
              <w:t xml:space="preserve">128 bit</w:t>
            </w:r>
          </w:p>
        </w:tc>
        <w:tc>
          <w:tcPr>
            <w:tcW w:w="2400" w:type="dxa"/>
          </w:tcPr>
          <w:p>
            <w:r>
              <w:t xml:space="preserve">1,552</w:t>
            </w:r>
          </w:p>
        </w:tc>
      </w:tr>
      <w:tr>
        <w:tc>
          <w:tcPr>
            <w:tcW w:w="2400" w:type="dxa"/>
          </w:tcPr>
          <w:p>
            <w:r>
              <w:t xml:space="preserve">wk_block_rows16.mem</w:t>
            </w:r>
          </w:p>
        </w:tc>
        <w:tc>
          <w:tcPr>
            <w:tcW w:w="2400" w:type="dxa"/>
          </w:tcPr>
          <w:p>
            <w:r>
              <w:t xml:space="preserve">16-lane 打包输出通道编号</w:t>
            </w:r>
          </w:p>
        </w:tc>
        <w:tc>
          <w:tcPr>
            <w:tcW w:w="2400" w:type="dxa"/>
          </w:tcPr>
          <w:p>
            <w:r>
              <w:t xml:space="preserve">128 bit</w:t>
            </w:r>
          </w:p>
        </w:tc>
        <w:tc>
          <w:tcPr>
            <w:tcW w:w="2400" w:type="dxa"/>
          </w:tcPr>
          <w:p>
            <w:r>
              <w:t xml:space="preserve">1,552</w:t>
            </w:r>
          </w:p>
        </w:tc>
      </w:tr>
    </w:tbl>
    <w:p>
      <w:pPr>
        <w:pStyle w:val="Heading2"/>
      </w:pPr>
      <w:r>
        <w:t xml:space="preserve">2.2 Hardware Mapping</w:t>
      </w:r>
    </w:p>
    <w:p>
      <w:r>
        <w:t xml:space="preserve">主控制器 sparse_outer_accel 以输出列为外层循环。每处理一列时，首先清零 128 个输出通道累加寄存器；随后遍历该列的非零 activation。对于每个 activation，控制器读取 activation 数值和权重块起止地址，并顺序读取相关权重块。每个权重块在一个计算状态中展开为 16 个 lane，若 lane 的输出通道编号有效，则执行 accum[row] += activation * weight。该过程本质上是稀疏外积映射：一个非零 activation 同时更新多个输出通道，避免了逐输出元素做索引交集时的大量比较和重复读取。完成一列后，控制器顺序输出 128 个累加结果，进入下一列。</w:t>
      </w:r>
    </w:p>
    <w:p>
      <w:r>
        <w:t xml:space="preserve">为了满足 Lab-3 对 BRAM 的要求，所有输入矩阵数据均通过 testbench 写入硬件 BRAM，再由 start 信号启动计算。RTL 中 simple_dual_port_bram 使用 ram_style="block" 属性引导综合为 Block RAM；核心数据通路由 BRAM 读地址、同步读等待、权重块展开和多 lane 累加组成。另外保留 intersection_match_unit 和 sparse_matmul_accel 作为 CSR/CSC 交集式对照方案，用于说明不同 mapping 选择对周期数的影响。</w:t>
      </w:r>
    </w:p>
    <w:p>
      <w:pPr>
        <w:pStyle w:val="Heading1"/>
      </w:pPr>
      <w:r>
        <w:t xml:space="preserve">3. Experiments</w:t>
      </w:r>
    </w:p>
    <w:p>
      <w:r>
        <w:t xml:space="preserve">实验脚本 prepare_sparse_data.py 负责从原始十进制矩阵生成 BRAM 初始化文件；run_experiments.py 使用同一压缩格式计算软件参考结果、检查正确性并估算 FSM 周期。软件验证覆盖 131,072 个输出元素，mismatch 数为 0。Vivado 2019.2 已可启动，但当前自动仿真脚本仍需在本机环境中继续排查 SystemVerilog 兼容性和综合报告导出；因此本文初稿中的资源与 Fmax 表项作为待替换项列出。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Design</w:t>
            </w:r>
          </w:p>
        </w:tc>
        <w:tc>
          <w:tcPr>
            <w:tcW w:w="2400" w:type="dxa"/>
          </w:tcPr>
          <w:p>
            <w:r>
              <w:t xml:space="preserve">Key Parameter</w:t>
            </w:r>
          </w:p>
        </w:tc>
        <w:tc>
          <w:tcPr>
            <w:tcW w:w="2400" w:type="dxa"/>
          </w:tcPr>
          <w:p>
            <w:r>
              <w:t xml:space="preserve">Estimated Cycles</w:t>
            </w:r>
          </w:p>
        </w:tc>
        <w:tc>
          <w:tcPr>
            <w:tcW w:w="2400" w:type="dxa"/>
          </w:tcPr>
          <w:p>
            <w:r>
              <w:t xml:space="preserve">Speedup vs Dense</w:t>
            </w:r>
          </w:p>
        </w:tc>
        <w:tc>
          <w:tcPr>
            <w:tcW w:w="2400" w:type="dxa"/>
          </w:tcPr>
          <w:p>
            <w:r>
              <w:t xml:space="preserve">Avg Cycles / Output</w:t>
            </w:r>
          </w:p>
        </w:tc>
      </w:tr>
      <w:tr>
        <w:tc>
          <w:tcPr>
            <w:tcW w:w="2400" w:type="dxa"/>
          </w:tcPr>
          <w:p>
            <w:r>
              <w:t xml:space="preserve">Dense baseline</w:t>
            </w:r>
          </w:p>
        </w:tc>
        <w:tc>
          <w:tcPr>
            <w:tcW w:w="2400" w:type="dxa"/>
          </w:tcPr>
          <w:p>
            <w:r>
              <w:t xml:space="preserve">1 MAC</w:t>
            </w:r>
          </w:p>
        </w:tc>
        <w:tc>
          <w:tcPr>
            <w:tcW w:w="2400" w:type="dxa"/>
          </w:tcPr>
          <w:p>
            <w:r>
              <w:t xml:space="preserve">75,497,472</w:t>
            </w:r>
          </w:p>
        </w:tc>
        <w:tc>
          <w:tcPr>
            <w:tcW w:w="2400" w:type="dxa"/>
          </w:tcPr>
          <w:p>
            <w:r>
              <w:t xml:space="preserve">1.00x</w:t>
            </w:r>
          </w:p>
        </w:tc>
        <w:tc>
          <w:tcPr>
            <w:tcW w:w="2400" w:type="dxa"/>
          </w:tcPr>
          <w:p>
            <w:r>
              <w:t xml:space="preserve">576.00</w:t>
            </w:r>
          </w:p>
        </w:tc>
      </w:tr>
      <w:tr>
        <w:tc>
          <w:tcPr>
            <w:tcW w:w="2400" w:type="dxa"/>
          </w:tcPr>
          <w:p>
            <w:r>
              <w:t xml:space="preserve">Intersection</w:t>
            </w:r>
          </w:p>
        </w:tc>
        <w:tc>
          <w:tcPr>
            <w:tcW w:w="2400" w:type="dxa"/>
          </w:tcPr>
          <w:p>
            <w:r>
              <w:t xml:space="preserve">BLOCK_N=16</w:t>
            </w:r>
          </w:p>
        </w:tc>
        <w:tc>
          <w:tcPr>
            <w:tcW w:w="2400" w:type="dxa"/>
          </w:tcPr>
          <w:p>
            <w:r>
              <w:t xml:space="preserve">128,551,494</w:t>
            </w:r>
          </w:p>
        </w:tc>
        <w:tc>
          <w:tcPr>
            <w:tcW w:w="2400" w:type="dxa"/>
          </w:tcPr>
          <w:p>
            <w:r>
              <w:t xml:space="preserve">0.59x</w:t>
            </w:r>
          </w:p>
        </w:tc>
        <w:tc>
          <w:tcPr>
            <w:tcW w:w="2400" w:type="dxa"/>
          </w:tcPr>
          <w:p>
            <w:r>
              <w:t xml:space="preserve">980.77</w:t>
            </w:r>
          </w:p>
        </w:tc>
      </w:tr>
      <w:tr>
        <w:tc>
          <w:tcPr>
            <w:tcW w:w="2400" w:type="dxa"/>
          </w:tcPr>
          <w:p>
            <w:r>
              <w:t xml:space="preserve">Outer product</w:t>
            </w:r>
          </w:p>
        </w:tc>
        <w:tc>
          <w:tcPr>
            <w:tcW w:w="2400" w:type="dxa"/>
          </w:tcPr>
          <w:p>
            <w:r>
              <w:t xml:space="preserve">LANES=16</w:t>
            </w:r>
          </w:p>
        </w:tc>
        <w:tc>
          <w:tcPr>
            <w:tcW w:w="2400" w:type="dxa"/>
          </w:tcPr>
          <w:p>
            <w:r>
              <w:t xml:space="preserve">4,379,508</w:t>
            </w:r>
          </w:p>
        </w:tc>
        <w:tc>
          <w:tcPr>
            <w:tcW w:w="2400" w:type="dxa"/>
          </w:tcPr>
          <w:p>
            <w:r>
              <w:t xml:space="preserve">17.24x</w:t>
            </w:r>
          </w:p>
        </w:tc>
        <w:tc>
          <w:tcPr>
            <w:tcW w:w="2400" w:type="dxa"/>
          </w:tcPr>
          <w:p>
            <w:r>
              <w:t xml:space="preserve">33.41</w:t>
            </w:r>
          </w:p>
        </w:tc>
      </w:tr>
    </w:tbl>
    <w:p>
      <w:r>
        <w:t xml:space="preserve">结果显示，交集式 mapping 虽然能够跳过零值，但每个输出元素都需要独立扫描权重行和 activation 列。在本数据集上，即使 BLOCK_N 增大到 32，估算周期仍高于稠密单 MAC baseline。相反，外积式 mapping 将一个 activation 的贡献广播到所有相关输出通道，总权重块访问次数为 732,718，平均每个非零 activation 访问 2.79 个权重块，每个 16-lane 权重块平均使用 13.30 个有效 lane，因此能够显著减少控制开销。</w:t>
      </w:r>
    </w:p>
    <w:p>
      <w:r>
        <w:t xml:space="preserve">按照课程给出的性能指标公式：Performance = (1 / (FF + 0.25*LUT + 100*BRAM)) * (Fmax / Cycles)。在最终提交前，应使用 Vivado 综合后的 FF、LUT、BRAM 和 Fmax 替换下表的占位值。若暂以 FF=9,800、LUT=12,500、BRAM=160、Fmax=100.0 MHz 估算，并使用外积方案周期数 4,379,508，性能指标约为 7.894e-10。该数值仅用于展示报告计算方法，不应作为最终综合结果。</w:t>
      </w:r>
    </w:p>
    <w:p>
      <w:pPr>
        <w:pStyle w:val="Heading1"/>
      </w:pPr>
      <w:r>
        <w:t xml:space="preserve">4. Conclusion</w:t>
      </w:r>
    </w:p>
    <w:p>
      <w:r>
        <w:t xml:space="preserve">本文完成了面向 Lab-3 数据集的 BRAM 稀疏矩阵乘映射设计。相较于逐输出元素的索引交集方案，16-lane 外积式设计更适合本实验的矩阵形状，因为它复用了每个非零 activation 的读取结果，并将对应权重块直接映射到多个输出通道累加器。当前软件验证已证明压缩格式与参考输出完全一致，周期估算表明外积式 mapping 对单 MAC 稠密 baseline 具有约 17.24 倍的周期优势。后续工作主要包括完成 Vivado RTL 全量仿真、导出综合资源和时序报告，并据此更新性能指标。</w:t>
      </w:r>
    </w:p>
    <w:p>
      <w:pPr>
        <w:pStyle w:val="Heading1"/>
      </w:pPr>
      <w:r>
        <w:t xml:space="preserve">References</w:t>
      </w:r>
    </w:p>
    <w:p>
      <w:r>
        <w:t xml:space="preserve">[1] Lab-3 阵列+存储器系统设计实验指南，数字系统设计课程材料。</w:t>
      </w:r>
    </w:p>
    <w:p>
      <w:r>
        <w:t xml:space="preserve">[2] K. Simonyan and A. Zisserman, Very Deep Convolutional Networks for Large-Scale Image Recognition, ICLR, 2015.</w:t>
      </w:r>
    </w:p>
    <w:p>
      <w:r>
        <w:t xml:space="preserve">[3] Y.-H. Chen et al., Eyeriss: An Energy-Efficient Reconfigurable Accelerator for Deep Convolutional Neural Networks, JSSC, 2017.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Times New Roman" w:eastAsia="宋体" w:hAnsi="Times New Roman"/>
      <w:sz w:val="21"/>
      <w:szCs w:val="21"/>
    </w:rPr>
  </w:style>
  <w:style w:type="paragraph" w:styleId="Title">
    <w:name w:val="Title"/>
    <w:basedOn w:val="Normal"/>
    <w:pPr>
      <w:jc w:val="center"/>
      <w:spacing w:after="180"/>
    </w:pPr>
    <w:rPr>
      <w:b/>
      <w:rFonts w:ascii="Times New Roman" w:eastAsia="黑体" w:hAnsi="Times New Roman"/>
      <w:sz w:val="32"/>
      <w:szCs w:val="32"/>
    </w:rPr>
  </w:style>
  <w:style w:type="paragraph" w:styleId="Heading1">
    <w:name w:val="heading 1"/>
    <w:basedOn w:val="Normal"/>
    <w:pPr>
      <w:keepNext/>
      <w:spacing w:before="240" w:after="120"/>
    </w:pPr>
    <w:rPr>
      <w:b/>
      <w:rFonts w:ascii="Times New Roman" w:eastAsia="黑体" w:hAnsi="Times New Roman"/>
      <w:sz w:val="24"/>
      <w:szCs w:val="24"/>
    </w:rPr>
  </w:style>
  <w:style w:type="paragraph" w:styleId="Heading2">
    <w:name w:val="heading 2"/>
    <w:basedOn w:val="Normal"/>
    <w:pPr>
      <w:keepNext/>
      <w:spacing w:before="120" w:after="80"/>
    </w:pPr>
    <w:rPr>
      <w:b/>
      <w:rFonts w:ascii="Times New Roman" w:eastAsia="黑体" w:hAnsi="Times New Roman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BRAM 的稀疏卷积矩阵乘映射加速器设计</dc:title>
  <dc:creator>Public copy</dc:creator>
  <dcterms:created xsi:type="dcterms:W3CDTF">2026-06-12T04:42:31Z</dcterms:created>
  <dcterms:modified xsi:type="dcterms:W3CDTF">2026-06-12T04:42:31Z</dcterms:modified>
</cp:coreProperties>
</file>