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9B651">
      <w:pPr>
        <w:pStyle w:val="22"/>
      </w:pPr>
      <w:r>
        <w:t>基于稠密权重固定PE阵列的稀疏矩阵乘法加速器设计</w:t>
      </w:r>
    </w:p>
    <w:p w14:paraId="26403BFB">
      <w:pPr>
        <w:pStyle w:val="15"/>
        <w:spacing w:line="360" w:lineRule="auto"/>
        <w:rPr>
          <w:rFonts w:hint="eastAsia"/>
          <w:lang w:val="en-US" w:eastAsia="zh-CN"/>
        </w:rPr>
      </w:pPr>
      <w:r>
        <w:rPr>
          <w:rFonts w:hint="eastAsia"/>
          <w:lang w:val="en-US" w:eastAsia="zh-CN"/>
        </w:rPr>
        <w:t>陈天乐</w:t>
      </w:r>
    </w:p>
    <w:p w14:paraId="1959B90C">
      <w:pPr>
        <w:pStyle w:val="15"/>
        <w:spacing w:line="360" w:lineRule="auto"/>
      </w:pPr>
      <w:r>
        <w:t>电子工程系，清华大学，中国 北京</w:t>
      </w:r>
    </w:p>
    <w:p w14:paraId="75A9CA4F">
      <w:pPr>
        <w:spacing w:line="360" w:lineRule="auto"/>
        <w:rPr>
          <w:rFonts w:hint="default"/>
          <w:lang w:val="en-US" w:eastAsia="zh-CN"/>
        </w:rPr>
      </w:pPr>
      <w:r>
        <w:rPr>
          <w:rFonts w:hint="eastAsia"/>
          <w:lang w:val="en-US" w:eastAsia="zh-CN"/>
        </w:rPr>
        <w:fldChar w:fldCharType="begin"/>
      </w:r>
      <w:r>
        <w:rPr>
          <w:rFonts w:hint="eastAsia"/>
          <w:lang w:val="en-US" w:eastAsia="zh-CN"/>
        </w:rPr>
        <w:instrText xml:space="preserve"> HYPERLINK "mailto:ctl22@mails.tsinghua.edu.cn" </w:instrText>
      </w:r>
      <w:r>
        <w:rPr>
          <w:rFonts w:hint="eastAsia"/>
          <w:lang w:val="en-US" w:eastAsia="zh-CN"/>
        </w:rPr>
        <w:fldChar w:fldCharType="separate"/>
      </w:r>
      <w:r>
        <w:rPr>
          <w:rStyle w:val="12"/>
          <w:rFonts w:hint="eastAsia"/>
          <w:lang w:val="en-US" w:eastAsia="zh-CN"/>
        </w:rPr>
        <w:t>ctl22@mails.tsinghua.edu.cn</w:t>
      </w:r>
      <w:r>
        <w:rPr>
          <w:rFonts w:hint="eastAsia"/>
          <w:lang w:val="en-US" w:eastAsia="zh-CN"/>
        </w:rPr>
        <w:fldChar w:fldCharType="end"/>
      </w:r>
    </w:p>
    <w:p w14:paraId="4172AFC1">
      <w:pPr>
        <w:rPr>
          <w:rFonts w:hint="default"/>
          <w:lang w:val="en-US" w:eastAsia="zh-CN"/>
        </w:rPr>
      </w:pPr>
    </w:p>
    <w:p w14:paraId="083C5795">
      <w:pPr>
        <w:rPr>
          <w:rFonts w:hint="default"/>
          <w:lang w:val="en-US" w:eastAsia="zh-CN"/>
        </w:rPr>
        <w:sectPr>
          <w:type w:val="continuous"/>
          <w:pgSz w:w="12240" w:h="15840"/>
          <w:pgMar w:top="1080" w:right="893" w:bottom="1440" w:left="893" w:header="720" w:footer="720" w:gutter="0"/>
          <w:cols w:space="720" w:num="1"/>
          <w:docGrid w:linePitch="360" w:charSpace="0"/>
        </w:sectPr>
      </w:pPr>
    </w:p>
    <w:p w14:paraId="62F5EC9A">
      <w:pPr>
        <w:pStyle w:val="13"/>
        <w:rPr>
          <w:b/>
          <w:bCs/>
          <w:i w:val="0"/>
          <w:iCs w:val="0"/>
          <w:sz w:val="20"/>
          <w:szCs w:val="20"/>
        </w:rPr>
      </w:pPr>
      <w:r>
        <w:rPr>
          <w:b/>
          <w:bCs/>
          <w:i w:val="0"/>
          <w:iCs w:val="0"/>
          <w:sz w:val="20"/>
          <w:szCs w:val="20"/>
        </w:rPr>
        <w:t>摘要——矩阵乘法是深度神经网络卷积层和全连接层的核心运算。模型剪枝与 ReLU 激活会在权重和激活矩阵中引入大量零值，若按稠密矩阵执行会浪费乘法器、访存带宽与片上存储。本文针对VGG-16第三卷积层（weight 128×576、activation 576×1024、输出 128×1024）设计了一种基于稠密权重与固定 PE 阵列的稀疏外积加速器。设计将权重按 K 维打包为单条 1024-bit 宽 BRAM 字，使 128 个输出行各自拥有独立累加器，从根本上消除了上一版位图并行方案中因变址读改写累加器堆而产生的巨型交叉开关；通过四级流水线实现稳态每周期处理一个非零激活，并以 ping-pong 双累加器组将结果输出与下一列计算重叠</w:t>
      </w:r>
      <w:r>
        <w:rPr>
          <w:rFonts w:hint="eastAsia"/>
          <w:b/>
          <w:bCs/>
          <w:i w:val="0"/>
          <w:iCs w:val="0"/>
          <w:sz w:val="20"/>
          <w:szCs w:val="20"/>
          <w:lang w:eastAsia="zh-CN"/>
        </w:rPr>
        <w:t>，</w:t>
      </w:r>
      <w:r>
        <w:rPr>
          <w:rFonts w:hint="eastAsia"/>
          <w:b/>
          <w:bCs/>
          <w:i w:val="0"/>
          <w:iCs w:val="0"/>
          <w:sz w:val="20"/>
          <w:szCs w:val="20"/>
          <w:lang w:val="en-US" w:eastAsia="zh-CN"/>
        </w:rPr>
        <w:t>并且将</w:t>
      </w:r>
      <w:r>
        <w:rPr>
          <w:b/>
          <w:bCs/>
          <w:i w:val="0"/>
          <w:iCs w:val="0"/>
          <w:sz w:val="20"/>
          <w:szCs w:val="20"/>
        </w:rPr>
        <w:t xml:space="preserve">乘法器映射到 LUT </w:t>
      </w:r>
      <w:r>
        <w:rPr>
          <w:rFonts w:hint="eastAsia"/>
          <w:b/>
          <w:bCs/>
          <w:i w:val="0"/>
          <w:iCs w:val="0"/>
          <w:sz w:val="20"/>
          <w:szCs w:val="20"/>
          <w:lang w:val="en-US" w:eastAsia="zh-CN"/>
        </w:rPr>
        <w:t>从而</w:t>
      </w:r>
      <w:r>
        <w:rPr>
          <w:b/>
          <w:bCs/>
          <w:i w:val="0"/>
          <w:iCs w:val="0"/>
          <w:sz w:val="20"/>
          <w:szCs w:val="20"/>
        </w:rPr>
        <w:t>规避 DSP 约束。</w:t>
      </w:r>
    </w:p>
    <w:p w14:paraId="5433C6A4">
      <w:pPr>
        <w:pStyle w:val="30"/>
        <w:rPr>
          <w:b/>
          <w:bCs/>
          <w:i w:val="0"/>
          <w:iCs w:val="0"/>
          <w:sz w:val="20"/>
          <w:szCs w:val="20"/>
        </w:rPr>
      </w:pPr>
      <w:r>
        <w:rPr>
          <w:rFonts w:hint="eastAsia" w:ascii="黑体" w:hAnsi="黑体" w:eastAsia="黑体" w:cs="黑体"/>
          <w:b/>
          <w:bCs/>
          <w:i w:val="0"/>
          <w:iCs w:val="0"/>
          <w:sz w:val="20"/>
          <w:szCs w:val="20"/>
        </w:rPr>
        <w:t>关键词——稀疏矩阵；外积数据流；固定 PE 阵列；流水线；双缓冲；FPGA 加速器</w:t>
      </w:r>
    </w:p>
    <w:p w14:paraId="01199E82">
      <w:pPr>
        <w:pStyle w:val="2"/>
        <w:rPr>
          <w:b/>
          <w:bCs/>
          <w:sz w:val="24"/>
          <w:szCs w:val="24"/>
        </w:rPr>
      </w:pPr>
      <w:r>
        <w:rPr>
          <w:b/>
          <w:bCs/>
          <w:sz w:val="24"/>
          <w:szCs w:val="24"/>
        </w:rPr>
        <w:t>引言</w:t>
      </w:r>
    </w:p>
    <w:p w14:paraId="59BFE7BE">
      <w:pPr>
        <w:pStyle w:val="7"/>
      </w:pPr>
      <w:r>
        <w:t>深度学习已广泛应用于图像识别、自然语言处理与边缘感知等领域。随着模型规模增大，推理计算逐渐成为系统能耗与延迟的主要来源。卷积层与全连接层从硬件执行角度都可归约为权重与激活之间的大规模乘加运算，因此矩阵乘法加速器一直是神经网络硬件设计的核心模块。以卷积为例，二维卷积可通过 img2col 展开为矩阵并以 GEMM 形式与权重相乘，便于利用规则的乘累加阵列，但展开会显著放大访存压力。</w:t>
      </w:r>
    </w:p>
    <w:p w14:paraId="1AC2FCA3">
      <w:pPr>
        <w:pStyle w:val="7"/>
        <w:jc w:val="center"/>
      </w:pPr>
      <w:r>
        <w:drawing>
          <wp:inline distT="0" distB="0" distL="114300" distR="114300">
            <wp:extent cx="2466975" cy="1000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2466975" cy="1000125"/>
                    </a:xfrm>
                    <a:prstGeom prst="rect">
                      <a:avLst/>
                    </a:prstGeom>
                    <a:noFill/>
                    <a:ln>
                      <a:noFill/>
                    </a:ln>
                  </pic:spPr>
                </pic:pic>
              </a:graphicData>
            </a:graphic>
          </wp:inline>
        </w:drawing>
      </w:r>
    </w:p>
    <w:p w14:paraId="7F1BBAF6">
      <w:pPr>
        <w:pStyle w:val="29"/>
        <w:numPr>
          <w:ilvl w:val="0"/>
          <w:numId w:val="0"/>
        </w:numPr>
        <w:jc w:val="center"/>
        <w:rPr>
          <w:rFonts w:hint="default"/>
          <w:lang w:val="en-US"/>
        </w:rPr>
      </w:pPr>
      <w:r>
        <w:rPr>
          <w:rFonts w:hint="eastAsia"/>
          <w:lang w:val="en-US" w:eastAsia="zh-CN"/>
        </w:rPr>
        <w:t>图1         模型剪枝过程</w:t>
      </w:r>
    </w:p>
    <w:p w14:paraId="7E37CD26">
      <w:pPr>
        <w:pStyle w:val="7"/>
      </w:pPr>
      <w:r>
        <w:t>实际网络中存在显著稀疏性：权重稀疏多来自剪枝，激活稀疏多来自 ReLU。若仍按稠密矩阵执行，乘法器会频繁执行无效的乘零操作，BRAM 与片外访存也会搬运大量无贡献数据，造成吞吐、面积与功耗的浪费。稀疏加速的难点在于非结构化零值分布不规则，需要额外保存索引或掩码，并在硬件中完成地址生成与累加调度；若格式设计不当，节省的乘法可能被额外的控制与存储开销抵消。</w:t>
      </w:r>
    </w:p>
    <w:p w14:paraId="2D702B46">
      <w:pPr>
        <w:pStyle w:val="7"/>
      </w:pPr>
      <w:r>
        <w:t>本实验数据取自 VGG-16 第三层卷积。weight 规模 128×576，activation_col 规模 576×1024，输出 128×1024。统计表明 weight 非零 20,644 个（密度28.00%），activation_col 非零 262,575 个（密度44.52%）。直接稠密执行需 75,497,472 次单 MAC 级遍历，其中相当一部分与零值相关。</w:t>
      </w:r>
    </w:p>
    <w:p w14:paraId="213D49BC">
      <w:pPr>
        <w:pStyle w:val="7"/>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200400" cy="1991995"/>
            <wp:effectExtent l="0" t="0" r="0" b="0"/>
            <wp:docPr id="3" name="图片 3" descr="nanobanana-edited-2026-06-19T16-36-55-205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nanobanana-edited-2026-06-19T16-36-55-205Z"/>
                    <pic:cNvPicPr>
                      <a:picLocks noChangeAspect="1"/>
                    </pic:cNvPicPr>
                  </pic:nvPicPr>
                  <pic:blipFill>
                    <a:blip r:embed="rId5"/>
                    <a:srcRect t="7016" b="9620"/>
                    <a:stretch>
                      <a:fillRect/>
                    </a:stretch>
                  </pic:blipFill>
                  <pic:spPr>
                    <a:xfrm>
                      <a:off x="0" y="0"/>
                      <a:ext cx="3200400" cy="1991995"/>
                    </a:xfrm>
                    <a:prstGeom prst="rect">
                      <a:avLst/>
                    </a:prstGeom>
                  </pic:spPr>
                </pic:pic>
              </a:graphicData>
            </a:graphic>
          </wp:inline>
        </w:drawing>
      </w:r>
    </w:p>
    <w:p w14:paraId="6C6476F4">
      <w:pPr>
        <w:pStyle w:val="29"/>
        <w:numPr>
          <w:ilvl w:val="0"/>
          <w:numId w:val="0"/>
        </w:numPr>
        <w:jc w:val="center"/>
        <w:rPr>
          <w:rFonts w:hint="eastAsia" w:eastAsia="宋体"/>
          <w:lang w:eastAsia="zh-CN"/>
        </w:rPr>
      </w:pPr>
      <w:r>
        <w:rPr>
          <w:rFonts w:hint="eastAsia"/>
          <w:lang w:val="en-US" w:eastAsia="zh-CN"/>
        </w:rPr>
        <w:t>图2          位图并行方案加速架构示意图</w:t>
      </w:r>
    </w:p>
    <w:p w14:paraId="4B95A81C">
      <w:pPr>
        <w:pStyle w:val="7"/>
      </w:pPr>
      <w:r>
        <w:t>本文</w:t>
      </w:r>
      <w:r>
        <w:rPr>
          <w:rFonts w:hint="eastAsia"/>
          <w:lang w:val="en-US" w:eastAsia="zh-CN"/>
        </w:rPr>
        <w:t>曾初步</w:t>
      </w:r>
      <w:r>
        <w:t>采用按列位图压缩配合 16-lane 并行更新</w:t>
      </w:r>
      <w:r>
        <w:rPr>
          <w:rFonts w:hint="eastAsia"/>
          <w:lang w:val="en-US" w:eastAsia="zh-CN"/>
        </w:rPr>
        <w:t>的方式实现，如图2所示。</w:t>
      </w:r>
      <w:r>
        <w:t>虽然把 BRAM 压到 121.5，但其在单个更新状态内对 128 深累加器寄存器堆进行变址读改写，综合后产生约 70,101 个 LUT 与庞大的 F7/F8 多路选择网络，且 100 MHz 下WNS=−3.572 ns</w:t>
      </w:r>
      <w:r>
        <w:rPr>
          <w:rFonts w:hint="eastAsia"/>
          <w:lang w:eastAsia="zh-CN"/>
        </w:rPr>
        <w:t>，</w:t>
      </w:r>
      <w:r>
        <w:rPr>
          <w:rFonts w:hint="eastAsia"/>
          <w:lang w:val="en-US" w:eastAsia="zh-CN"/>
        </w:rPr>
        <w:t>发生</w:t>
      </w:r>
      <w:r>
        <w:t>时序违例。针对该瓶颈，本文提出稠密权重固定 PE 架构：每个输出行独占累加器以消除交叉开关，并通过四级流水线与双缓冲在不牺牲时序的前提下提升吞吐。</w:t>
      </w:r>
    </w:p>
    <w:p w14:paraId="2B29A5D8">
      <w:pPr>
        <w:pStyle w:val="7"/>
      </w:pPr>
      <w:r>
        <w:t>本文后续安排如下：第</w:t>
      </w:r>
      <w:r>
        <w:rPr>
          <w:rFonts w:hint="eastAsia"/>
          <w:lang w:val="en-US" w:eastAsia="zh-CN"/>
        </w:rPr>
        <w:t>二</w:t>
      </w:r>
      <w:r>
        <w:t>节介绍稠密权重固定 PE 加速架构；第</w:t>
      </w:r>
      <w:r>
        <w:rPr>
          <w:rFonts w:hint="eastAsia"/>
          <w:lang w:val="en-US" w:eastAsia="zh-CN"/>
        </w:rPr>
        <w:t>三</w:t>
      </w:r>
      <w:r>
        <w:t>节说明数据部署与压缩格式；第</w:t>
      </w:r>
      <w:r>
        <w:rPr>
          <w:rFonts w:hint="eastAsia"/>
          <w:lang w:val="en-US" w:eastAsia="zh-CN"/>
        </w:rPr>
        <w:t>四</w:t>
      </w:r>
      <w:r>
        <w:t>节给出仿真与综合结果；第</w:t>
      </w:r>
      <w:r>
        <w:rPr>
          <w:rFonts w:hint="eastAsia"/>
          <w:lang w:val="en-US" w:eastAsia="zh-CN"/>
        </w:rPr>
        <w:t>五</w:t>
      </w:r>
      <w:r>
        <w:t>节进行分析与对比；第</w:t>
      </w:r>
      <w:r>
        <w:rPr>
          <w:rFonts w:hint="eastAsia"/>
          <w:lang w:val="en-US" w:eastAsia="zh-CN"/>
        </w:rPr>
        <w:t>六</w:t>
      </w:r>
      <w:r>
        <w:t>节总结全文。</w:t>
      </w:r>
    </w:p>
    <w:p w14:paraId="5BF32540">
      <w:pPr>
        <w:pStyle w:val="2"/>
        <w:rPr>
          <w:b/>
          <w:bCs/>
          <w:sz w:val="22"/>
          <w:szCs w:val="22"/>
        </w:rPr>
      </w:pPr>
      <w:r>
        <w:rPr>
          <w:b/>
          <w:bCs/>
          <w:sz w:val="22"/>
          <w:szCs w:val="22"/>
        </w:rPr>
        <w:t>稠密权重固定PE加速架构</w:t>
      </w:r>
    </w:p>
    <w:p w14:paraId="2AF5EEFD">
      <w:pPr>
        <w:jc w:val="both"/>
        <w:rPr>
          <w:rFonts w:hint="eastAsia" w:eastAsia="宋体"/>
          <w:lang w:eastAsia="zh-CN"/>
        </w:rPr>
      </w:pPr>
      <w:r>
        <w:rPr>
          <w:rFonts w:hint="eastAsia" w:eastAsia="宋体"/>
          <w:lang w:eastAsia="zh-CN"/>
        </w:rPr>
        <w:drawing>
          <wp:inline distT="0" distB="0" distL="114300" distR="114300">
            <wp:extent cx="3200400" cy="2044065"/>
            <wp:effectExtent l="0" t="0" r="0" b="13335"/>
            <wp:docPr id="1" name="图片 1" descr="架构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架构示意图"/>
                    <pic:cNvPicPr>
                      <a:picLocks noChangeAspect="1"/>
                    </pic:cNvPicPr>
                  </pic:nvPicPr>
                  <pic:blipFill>
                    <a:blip r:embed="rId6"/>
                    <a:srcRect t="6912"/>
                    <a:stretch>
                      <a:fillRect/>
                    </a:stretch>
                  </pic:blipFill>
                  <pic:spPr>
                    <a:xfrm>
                      <a:off x="0" y="0"/>
                      <a:ext cx="3200400" cy="2044065"/>
                    </a:xfrm>
                    <a:prstGeom prst="rect">
                      <a:avLst/>
                    </a:prstGeom>
                  </pic:spPr>
                </pic:pic>
              </a:graphicData>
            </a:graphic>
          </wp:inline>
        </w:drawing>
      </w:r>
    </w:p>
    <w:p w14:paraId="0DD61B8C">
      <w:pPr>
        <w:pStyle w:val="29"/>
        <w:numPr>
          <w:numId w:val="0"/>
        </w:numPr>
        <w:jc w:val="center"/>
        <w:rPr>
          <w:rFonts w:hint="default" w:eastAsia="宋体"/>
          <w:lang w:val="en-US" w:eastAsia="zh-CN"/>
        </w:rPr>
      </w:pPr>
      <w:r>
        <w:rPr>
          <w:rFonts w:hint="eastAsia"/>
          <w:lang w:val="en-US" w:eastAsia="zh-CN"/>
        </w:rPr>
        <w:t xml:space="preserve">图3          </w:t>
      </w:r>
      <w:r>
        <w:t>本文设计的</w:t>
      </w:r>
      <w:r>
        <w:rPr>
          <w:rFonts w:hint="eastAsia"/>
          <w:lang w:val="en-US" w:eastAsia="zh-CN"/>
        </w:rPr>
        <w:t>稠密权重固定PE加速架构示意图</w:t>
      </w:r>
    </w:p>
    <w:p w14:paraId="52D08183">
      <w:pPr>
        <w:pStyle w:val="3"/>
        <w:rPr>
          <w:b/>
          <w:bCs/>
          <w:i w:val="0"/>
          <w:iCs w:val="0"/>
        </w:rPr>
      </w:pPr>
      <w:r>
        <w:rPr>
          <w:b/>
          <w:bCs/>
          <w:i w:val="0"/>
          <w:iCs w:val="0"/>
        </w:rPr>
        <w:t>整体数据流</w:t>
      </w:r>
    </w:p>
    <w:p w14:paraId="77E33550">
      <w:pPr>
        <w:pStyle w:val="7"/>
      </w:pPr>
      <w:r>
        <w:t>加速器以输出列为外层循环。每开始处理一列 n，控制器先清零 128 个累加器；随后按列主序 CSR 依次取出该列的非零激活 (k, v)；对每个非零激活读取稠密权重列 W[:,k]，并令 128 个处理单元 (PE) 并行执行 acc[m] += v · W[m,k]；该列处理完毕后按行顺序输出 128 个结果。这种 output-column-stationary 策略复用同一激活对所有输出行的贡献，避免逐输出点重复扫描激活列。</w:t>
      </w:r>
    </w:p>
    <w:p w14:paraId="77837E6F">
      <w:pPr>
        <w:pStyle w:val="7"/>
      </w:pPr>
      <w:r>
        <w:rPr>
          <w:rFonts w:hint="eastAsia"/>
          <w:lang w:val="en-US" w:eastAsia="zh-CN"/>
        </w:rPr>
        <w:t>该设计</w:t>
      </w:r>
      <w:r>
        <w:t>最关键的</w:t>
      </w:r>
      <w:r>
        <w:rPr>
          <w:rFonts w:hint="eastAsia"/>
          <w:lang w:val="en-US" w:eastAsia="zh-CN"/>
        </w:rPr>
        <w:t>创新</w:t>
      </w:r>
      <w:r>
        <w:t>在于累加器</w:t>
      </w:r>
      <w:r>
        <w:rPr>
          <w:rFonts w:hint="eastAsia"/>
          <w:lang w:val="en-US" w:eastAsia="zh-CN"/>
        </w:rPr>
        <w:t>的</w:t>
      </w:r>
      <w:r>
        <w:t>组织</w:t>
      </w:r>
      <w:r>
        <w:rPr>
          <w:rFonts w:hint="eastAsia"/>
          <w:lang w:val="en-US" w:eastAsia="zh-CN"/>
        </w:rPr>
        <w:t>结构</w:t>
      </w:r>
      <w:r>
        <w:t>：本文让每个输出行拥有专属累加器，权重列 W[:,k] 的第 m 字节天然对应第 m 个 PE，因此累加是 128 路定向写、互不冲突，不存在变址写回，从而彻底消除了导致 70k LUT 与时序违例的交叉开关。</w:t>
      </w:r>
    </w:p>
    <w:p w14:paraId="6394FC06">
      <w:pPr>
        <w:pStyle w:val="3"/>
        <w:rPr>
          <w:b/>
          <w:bCs/>
          <w:i w:val="0"/>
          <w:iCs w:val="0"/>
        </w:rPr>
      </w:pPr>
      <w:r>
        <w:rPr>
          <w:b/>
          <w:bCs/>
          <w:i w:val="0"/>
          <w:iCs w:val="0"/>
        </w:rPr>
        <w:t>四级流水线</w:t>
      </w:r>
    </w:p>
    <w:p w14:paraId="38794EB4">
      <w:pPr>
        <w:pStyle w:val="7"/>
      </w:pPr>
      <w:r>
        <w:t>片上 BRAM 为同步读、具有一个周期读延迟，且“由激活索引 k 去取权重列”是一次链式访问（先读 a_idx，再以其为地址读 wd）。为使稳态吞吐达到每周期一个非零激活，本文构建四级流水线：S_A 发射读地址；S_B 取得激活值 v 与索引 k，并发起权重列读取；S_C 将 v 对齐打一拍；S_D 取得权重列 W[:,k] 并驱动 128 个 PE 完成乘加。各级以 valid 寄存器 (vA…vD) 串联，填充 4 拍后稳态每拍完成一次 128 路 MAC。</w:t>
      </w:r>
    </w:p>
    <w:p w14:paraId="41431E92">
      <w:pPr>
        <w:pStyle w:val="7"/>
      </w:pPr>
      <w:r>
        <w:t>乘法采用 8×8 位有符号乘法并显式标注 (* use_dsp = "no" *)，强制综合器用 LUT 实现，使 DSP 占用降到 1 个，远低于 3% 的约束上限。</w:t>
      </w:r>
    </w:p>
    <w:p w14:paraId="359FFB5B">
      <w:pPr>
        <w:pStyle w:val="3"/>
        <w:rPr>
          <w:b/>
          <w:bCs/>
          <w:i w:val="0"/>
          <w:iCs w:val="0"/>
        </w:rPr>
      </w:pPr>
      <w:r>
        <w:rPr>
          <w:b/>
          <w:bCs/>
          <w:i w:val="0"/>
          <w:iCs w:val="0"/>
        </w:rPr>
        <w:t>Ping-</w:t>
      </w:r>
      <w:r>
        <w:rPr>
          <w:rFonts w:hint="eastAsia"/>
          <w:b/>
          <w:bCs/>
          <w:i w:val="0"/>
          <w:iCs w:val="0"/>
          <w:lang w:val="en-US" w:eastAsia="zh-CN"/>
        </w:rPr>
        <w:t>P</w:t>
      </w:r>
      <w:r>
        <w:rPr>
          <w:b/>
          <w:bCs/>
          <w:i w:val="0"/>
          <w:iCs w:val="0"/>
        </w:rPr>
        <w:t>ong 双缓冲累加</w:t>
      </w:r>
    </w:p>
    <w:p w14:paraId="39C8073A">
      <w:pPr>
        <w:pStyle w:val="7"/>
      </w:pPr>
      <w:r>
        <w:t>为隐藏结果输出开销，128 个累加器实现为两组 bank (acc0/acc1)。当 compute 引擎在当前 bank 上累加第 n 列时，emit 引擎在另一 bank 上一边逐行读出第 n−1 列结果、一边清零以备复用。每完成一列即翻转 bank 指针，使除最后一列外的全部输出延迟都被计算过程吸收，因而实测周期优于不考虑重叠的解析模型预测 。</w:t>
      </w:r>
    </w:p>
    <w:p w14:paraId="7D390BD8">
      <w:pPr>
        <w:pStyle w:val="3"/>
        <w:rPr>
          <w:b/>
          <w:bCs/>
          <w:i w:val="0"/>
          <w:iCs w:val="0"/>
        </w:rPr>
      </w:pPr>
      <w:r>
        <w:rPr>
          <w:b/>
          <w:bCs/>
          <w:i w:val="0"/>
          <w:iCs w:val="0"/>
        </w:rPr>
        <w:t>BRAM 存储与控制</w:t>
      </w:r>
    </w:p>
    <w:p w14:paraId="3EF1C5E5">
      <w:pPr>
        <w:pStyle w:val="7"/>
      </w:pPr>
      <w:r>
        <w:t>所有矩阵数据由 testbench 经统一的 load 端口写入 DUT 内部 BRAM。RTL 中的 simple_dual_port_bram 以同步读写数组描述存储并标注 (* ram_style = "block" *)，引导 Vivado 推断 Block RAM。主控制器由有限状态机实现，状态包括空闲、清零、读列指针、流水计算、列结束翻转 bank、排空与完成。稠密权重以单条 1024-bit 宽字保存，128 个 PE 各取其 8-bit 切片，这是固定 PE 阵列免交叉开关的存储前提。</w:t>
      </w:r>
    </w:p>
    <w:p w14:paraId="3D043390">
      <w:pPr>
        <w:pStyle w:val="2"/>
        <w:rPr>
          <w:b/>
          <w:bCs/>
          <w:sz w:val="24"/>
          <w:szCs w:val="24"/>
        </w:rPr>
      </w:pPr>
      <w:r>
        <w:rPr>
          <w:b/>
          <w:bCs/>
          <w:sz w:val="24"/>
          <w:szCs w:val="24"/>
        </w:rPr>
        <w:t>数据部署与稀疏压缩</w:t>
      </w:r>
    </w:p>
    <w:p w14:paraId="6CD6F73F">
      <w:pPr>
        <w:pStyle w:val="7"/>
      </w:pPr>
      <w:r>
        <w:t>激活矩阵按输出列以 CSR 压缩，保存非零值 a_values、行索引 a_indices 以及每列起止指针 a_ptr。权重矩阵按 K 维重排为稠密列存储 wd_by_k：第 k 条字宽 1024 bit，依次拼接第 k 列上 128 个输出行的8-bit 权重，使 PE m 直接读取 bit 区间 [m·8, m·8+8)。各存储体的位宽与深度见表 I。</w:t>
      </w:r>
    </w:p>
    <w:p w14:paraId="45484A84">
      <w:pPr>
        <w:pStyle w:val="7"/>
      </w:pPr>
    </w:p>
    <w:tbl>
      <w:tblPr>
        <w:tblStyle w:val="10"/>
        <w:tblW w:w="0" w:type="auto"/>
        <w:jc w:val="center"/>
        <w:tblLayout w:type="autofit"/>
        <w:tblCellMar>
          <w:top w:w="0" w:type="dxa"/>
          <w:left w:w="108" w:type="dxa"/>
          <w:bottom w:w="0" w:type="dxa"/>
          <w:right w:w="108" w:type="dxa"/>
        </w:tblCellMar>
      </w:tblPr>
      <w:tblGrid>
        <w:gridCol w:w="821"/>
        <w:gridCol w:w="2012"/>
        <w:gridCol w:w="538"/>
        <w:gridCol w:w="736"/>
      </w:tblGrid>
      <w:tr w14:paraId="1A382C61">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336AAA6D">
            <w:pPr>
              <w:pStyle w:val="25"/>
              <w:jc w:val="center"/>
            </w:pPr>
            <w:r>
              <w:rPr>
                <w:b/>
                <w:bCs/>
              </w:rPr>
              <w:t>数据</w:t>
            </w:r>
          </w:p>
        </w:tc>
        <w:tc>
          <w:tcPr>
            <w:tcBorders>
              <w:top w:val="single" w:color="000000" w:sz="4" w:space="0"/>
              <w:left w:val="single" w:color="000000" w:sz="4" w:space="0"/>
              <w:bottom w:val="single" w:color="000000" w:sz="4" w:space="0"/>
              <w:right w:val="single" w:color="000000" w:sz="4" w:space="0"/>
            </w:tcBorders>
            <w:vAlign w:val="center"/>
          </w:tcPr>
          <w:p w14:paraId="37ED8804">
            <w:pPr>
              <w:pStyle w:val="25"/>
              <w:jc w:val="center"/>
            </w:pPr>
            <w:r>
              <w:rPr>
                <w:b/>
                <w:bCs/>
              </w:rPr>
              <w:t>含义</w:t>
            </w:r>
          </w:p>
        </w:tc>
        <w:tc>
          <w:tcPr>
            <w:tcBorders>
              <w:top w:val="single" w:color="000000" w:sz="4" w:space="0"/>
              <w:left w:val="single" w:color="000000" w:sz="4" w:space="0"/>
              <w:bottom w:val="single" w:color="000000" w:sz="4" w:space="0"/>
              <w:right w:val="single" w:color="000000" w:sz="4" w:space="0"/>
            </w:tcBorders>
            <w:vAlign w:val="center"/>
          </w:tcPr>
          <w:p w14:paraId="3B701FFC">
            <w:pPr>
              <w:pStyle w:val="25"/>
              <w:jc w:val="center"/>
            </w:pPr>
            <w:r>
              <w:rPr>
                <w:b/>
                <w:bCs/>
              </w:rPr>
              <w:t>位宽</w:t>
            </w:r>
          </w:p>
        </w:tc>
        <w:tc>
          <w:tcPr>
            <w:tcBorders>
              <w:top w:val="single" w:color="000000" w:sz="4" w:space="0"/>
              <w:left w:val="single" w:color="000000" w:sz="4" w:space="0"/>
              <w:bottom w:val="single" w:color="000000" w:sz="4" w:space="0"/>
              <w:right w:val="single" w:color="000000" w:sz="4" w:space="0"/>
            </w:tcBorders>
            <w:vAlign w:val="center"/>
          </w:tcPr>
          <w:p w14:paraId="0198CC3A">
            <w:pPr>
              <w:pStyle w:val="25"/>
              <w:jc w:val="center"/>
            </w:pPr>
            <w:r>
              <w:rPr>
                <w:b/>
                <w:bCs/>
              </w:rPr>
              <w:t>深度</w:t>
            </w:r>
          </w:p>
        </w:tc>
      </w:tr>
      <w:tr w14:paraId="0A4F2DBE">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594465C4">
            <w:pPr>
              <w:pStyle w:val="27"/>
              <w:jc w:val="center"/>
            </w:pPr>
            <w:r>
              <w:t>wd_by_k</w:t>
            </w:r>
          </w:p>
        </w:tc>
        <w:tc>
          <w:tcPr>
            <w:tcBorders>
              <w:top w:val="single" w:color="000000" w:sz="4" w:space="0"/>
              <w:left w:val="single" w:color="000000" w:sz="4" w:space="0"/>
              <w:bottom w:val="single" w:color="000000" w:sz="4" w:space="0"/>
              <w:right w:val="single" w:color="000000" w:sz="4" w:space="0"/>
            </w:tcBorders>
            <w:vAlign w:val="center"/>
          </w:tcPr>
          <w:p w14:paraId="06BFAC83">
            <w:pPr>
              <w:pStyle w:val="27"/>
              <w:jc w:val="center"/>
            </w:pPr>
            <w:r>
              <w:t>按 K 维打包的稠密权重列</w:t>
            </w:r>
          </w:p>
        </w:tc>
        <w:tc>
          <w:tcPr>
            <w:tcBorders>
              <w:top w:val="single" w:color="000000" w:sz="4" w:space="0"/>
              <w:left w:val="single" w:color="000000" w:sz="4" w:space="0"/>
              <w:bottom w:val="single" w:color="000000" w:sz="4" w:space="0"/>
              <w:right w:val="single" w:color="000000" w:sz="4" w:space="0"/>
            </w:tcBorders>
            <w:vAlign w:val="center"/>
          </w:tcPr>
          <w:p w14:paraId="4A606A7D">
            <w:pPr>
              <w:pStyle w:val="27"/>
              <w:jc w:val="center"/>
            </w:pPr>
            <w:r>
              <w:t>1024</w:t>
            </w:r>
          </w:p>
        </w:tc>
        <w:tc>
          <w:tcPr>
            <w:tcBorders>
              <w:top w:val="single" w:color="000000" w:sz="4" w:space="0"/>
              <w:left w:val="single" w:color="000000" w:sz="4" w:space="0"/>
              <w:bottom w:val="single" w:color="000000" w:sz="4" w:space="0"/>
              <w:right w:val="single" w:color="000000" w:sz="4" w:space="0"/>
            </w:tcBorders>
            <w:vAlign w:val="center"/>
          </w:tcPr>
          <w:p w14:paraId="46C9A2AE">
            <w:pPr>
              <w:pStyle w:val="27"/>
              <w:jc w:val="center"/>
            </w:pPr>
            <w:r>
              <w:t>576</w:t>
            </w:r>
          </w:p>
        </w:tc>
      </w:tr>
      <w:tr w14:paraId="1BD62851">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5ECCA063">
            <w:pPr>
              <w:pStyle w:val="27"/>
              <w:jc w:val="center"/>
            </w:pPr>
            <w:r>
              <w:t>a_values</w:t>
            </w:r>
          </w:p>
        </w:tc>
        <w:tc>
          <w:tcPr>
            <w:tcBorders>
              <w:top w:val="single" w:color="000000" w:sz="4" w:space="0"/>
              <w:left w:val="single" w:color="000000" w:sz="4" w:space="0"/>
              <w:bottom w:val="single" w:color="000000" w:sz="4" w:space="0"/>
              <w:right w:val="single" w:color="000000" w:sz="4" w:space="0"/>
            </w:tcBorders>
            <w:vAlign w:val="center"/>
          </w:tcPr>
          <w:p w14:paraId="7803C7D3">
            <w:pPr>
              <w:pStyle w:val="27"/>
              <w:jc w:val="center"/>
            </w:pPr>
            <w:r>
              <w:t>非零激活值</w:t>
            </w:r>
          </w:p>
        </w:tc>
        <w:tc>
          <w:tcPr>
            <w:tcBorders>
              <w:top w:val="single" w:color="000000" w:sz="4" w:space="0"/>
              <w:left w:val="single" w:color="000000" w:sz="4" w:space="0"/>
              <w:bottom w:val="single" w:color="000000" w:sz="4" w:space="0"/>
              <w:right w:val="single" w:color="000000" w:sz="4" w:space="0"/>
            </w:tcBorders>
            <w:vAlign w:val="center"/>
          </w:tcPr>
          <w:p w14:paraId="457F05BC">
            <w:pPr>
              <w:pStyle w:val="27"/>
              <w:jc w:val="center"/>
            </w:pPr>
            <w:r>
              <w:t>8</w:t>
            </w:r>
          </w:p>
        </w:tc>
        <w:tc>
          <w:tcPr>
            <w:tcBorders>
              <w:top w:val="single" w:color="000000" w:sz="4" w:space="0"/>
              <w:left w:val="single" w:color="000000" w:sz="4" w:space="0"/>
              <w:bottom w:val="single" w:color="000000" w:sz="4" w:space="0"/>
              <w:right w:val="single" w:color="000000" w:sz="4" w:space="0"/>
            </w:tcBorders>
            <w:vAlign w:val="center"/>
          </w:tcPr>
          <w:p w14:paraId="31E26944">
            <w:pPr>
              <w:pStyle w:val="27"/>
              <w:jc w:val="center"/>
            </w:pPr>
            <w:r>
              <w:t>262,575</w:t>
            </w:r>
          </w:p>
        </w:tc>
      </w:tr>
      <w:tr w14:paraId="44EFBF21">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17CC3367">
            <w:pPr>
              <w:pStyle w:val="27"/>
              <w:jc w:val="center"/>
            </w:pPr>
            <w:r>
              <w:t>a_indices</w:t>
            </w:r>
          </w:p>
        </w:tc>
        <w:tc>
          <w:tcPr>
            <w:tcBorders>
              <w:top w:val="single" w:color="000000" w:sz="4" w:space="0"/>
              <w:left w:val="single" w:color="000000" w:sz="4" w:space="0"/>
              <w:bottom w:val="single" w:color="000000" w:sz="4" w:space="0"/>
              <w:right w:val="single" w:color="000000" w:sz="4" w:space="0"/>
            </w:tcBorders>
            <w:vAlign w:val="center"/>
          </w:tcPr>
          <w:p w14:paraId="3ADEE537">
            <w:pPr>
              <w:pStyle w:val="27"/>
              <w:jc w:val="center"/>
            </w:pPr>
            <w:r>
              <w:t>非零激活的 K 维行索引</w:t>
            </w:r>
          </w:p>
        </w:tc>
        <w:tc>
          <w:tcPr>
            <w:tcBorders>
              <w:top w:val="single" w:color="000000" w:sz="4" w:space="0"/>
              <w:left w:val="single" w:color="000000" w:sz="4" w:space="0"/>
              <w:bottom w:val="single" w:color="000000" w:sz="4" w:space="0"/>
              <w:right w:val="single" w:color="000000" w:sz="4" w:space="0"/>
            </w:tcBorders>
            <w:vAlign w:val="center"/>
          </w:tcPr>
          <w:p w14:paraId="6C9962B7">
            <w:pPr>
              <w:pStyle w:val="27"/>
              <w:jc w:val="center"/>
            </w:pPr>
            <w:r>
              <w:t>10</w:t>
            </w:r>
          </w:p>
        </w:tc>
        <w:tc>
          <w:tcPr>
            <w:tcBorders>
              <w:top w:val="single" w:color="000000" w:sz="4" w:space="0"/>
              <w:left w:val="single" w:color="000000" w:sz="4" w:space="0"/>
              <w:bottom w:val="single" w:color="000000" w:sz="4" w:space="0"/>
              <w:right w:val="single" w:color="000000" w:sz="4" w:space="0"/>
            </w:tcBorders>
            <w:vAlign w:val="center"/>
          </w:tcPr>
          <w:p w14:paraId="518BA3A5">
            <w:pPr>
              <w:pStyle w:val="27"/>
              <w:jc w:val="center"/>
            </w:pPr>
            <w:r>
              <w:t>262,575</w:t>
            </w:r>
          </w:p>
        </w:tc>
      </w:tr>
      <w:tr w14:paraId="20912160">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761EAD60">
            <w:pPr>
              <w:pStyle w:val="27"/>
              <w:jc w:val="center"/>
            </w:pPr>
            <w:r>
              <w:t>a_ptr</w:t>
            </w:r>
          </w:p>
        </w:tc>
        <w:tc>
          <w:tcPr>
            <w:tcBorders>
              <w:top w:val="single" w:color="000000" w:sz="4" w:space="0"/>
              <w:left w:val="single" w:color="000000" w:sz="4" w:space="0"/>
              <w:bottom w:val="single" w:color="000000" w:sz="4" w:space="0"/>
              <w:right w:val="single" w:color="000000" w:sz="4" w:space="0"/>
            </w:tcBorders>
            <w:vAlign w:val="center"/>
          </w:tcPr>
          <w:p w14:paraId="3F50A242">
            <w:pPr>
              <w:pStyle w:val="27"/>
              <w:jc w:val="center"/>
            </w:pPr>
            <w:r>
              <w:t>每列非零起止指针</w:t>
            </w:r>
          </w:p>
        </w:tc>
        <w:tc>
          <w:tcPr>
            <w:tcBorders>
              <w:top w:val="single" w:color="000000" w:sz="4" w:space="0"/>
              <w:left w:val="single" w:color="000000" w:sz="4" w:space="0"/>
              <w:bottom w:val="single" w:color="000000" w:sz="4" w:space="0"/>
              <w:right w:val="single" w:color="000000" w:sz="4" w:space="0"/>
            </w:tcBorders>
            <w:vAlign w:val="center"/>
          </w:tcPr>
          <w:p w14:paraId="2EAA8DB6">
            <w:pPr>
              <w:pStyle w:val="27"/>
              <w:jc w:val="center"/>
            </w:pPr>
            <w:r>
              <w:t>19</w:t>
            </w:r>
          </w:p>
        </w:tc>
        <w:tc>
          <w:tcPr>
            <w:tcBorders>
              <w:top w:val="single" w:color="000000" w:sz="4" w:space="0"/>
              <w:left w:val="single" w:color="000000" w:sz="4" w:space="0"/>
              <w:bottom w:val="single" w:color="000000" w:sz="4" w:space="0"/>
              <w:right w:val="single" w:color="000000" w:sz="4" w:space="0"/>
            </w:tcBorders>
            <w:vAlign w:val="center"/>
          </w:tcPr>
          <w:p w14:paraId="0CB0CB49">
            <w:pPr>
              <w:pStyle w:val="27"/>
              <w:jc w:val="center"/>
            </w:pPr>
            <w:r>
              <w:t>1,025</w:t>
            </w:r>
          </w:p>
        </w:tc>
      </w:tr>
    </w:tbl>
    <w:p w14:paraId="33FCA6C0">
      <w:pPr>
        <w:pStyle w:val="29"/>
        <w:jc w:val="center"/>
      </w:pPr>
      <w:r>
        <w:t>各 BRAM 存储体的位宽与深度</w:t>
      </w:r>
    </w:p>
    <w:p w14:paraId="296192BD">
      <w:pPr>
        <w:pStyle w:val="7"/>
      </w:pPr>
      <w:r>
        <w:t>该格式的核心取舍是用一块宽权重 BRAM 换取无交叉开关的并行累加：wd_by_k 虽然位宽较大，但深度仅为 K=576，且按列读取规则、命中率高；激活侧仅保存非零值与索引，跳过了全部零值乘法。</w:t>
      </w:r>
    </w:p>
    <w:p w14:paraId="3BD63D34">
      <w:pPr>
        <w:pStyle w:val="2"/>
        <w:rPr>
          <w:b/>
          <w:bCs/>
          <w:sz w:val="24"/>
          <w:szCs w:val="24"/>
        </w:rPr>
      </w:pPr>
      <w:r>
        <w:rPr>
          <w:b/>
          <w:bCs/>
          <w:sz w:val="24"/>
          <w:szCs w:val="24"/>
        </w:rPr>
        <w:t>实验测试与结果</w:t>
      </w:r>
    </w:p>
    <w:p w14:paraId="59AEF0F9">
      <w:pPr>
        <w:pStyle w:val="7"/>
      </w:pPr>
      <w:r>
        <w:t>实验使用 Vivado 2019.2，目标器件 xc7a200tfbg676-2，时钟约束 100 MHz。仿真流程为：testbench 先将各 mem 文件写入对应 BRAM，再拉高 start 启动计算，最后将硬件逐行输出与 output_col.mem 中的参考结果逐点比较。为避免中文路径在 Vivado 2019.2 下的兼容问题，工程与数据均置于纯英文路径下。</w:t>
      </w:r>
    </w:p>
    <w:p w14:paraId="26478F13">
      <w:pPr>
        <w:pStyle w:val="7"/>
      </w:pPr>
      <w:r>
        <w:t>功能验证分两级：先用前 16 列做快速回归，再用全量 1024 列做完整验证。两级均输出 0 mismatch；全量验证覆盖 131,072 个输出点，总计算周期为 273,073，与 Python 周期精确模型互相印证。综合后资源与时序见表 II，与前一版位图并行方案的对比见表 III。</w:t>
      </w:r>
    </w:p>
    <w:p w14:paraId="1D0EFF74">
      <w:pPr>
        <w:pStyle w:val="7"/>
      </w:pPr>
    </w:p>
    <w:p w14:paraId="5D3A2F3D">
      <w:pPr>
        <w:pStyle w:val="7"/>
        <w:jc w:val="both"/>
        <w:rPr>
          <w:rFonts w:hint="eastAsia" w:eastAsia="宋体"/>
          <w:lang w:eastAsia="zh-CN"/>
        </w:rPr>
      </w:pPr>
      <w:r>
        <w:rPr>
          <w:rFonts w:hint="eastAsia" w:eastAsia="宋体"/>
          <w:lang w:eastAsia="zh-CN"/>
        </w:rPr>
        <w:drawing>
          <wp:inline distT="0" distB="0" distL="114300" distR="114300">
            <wp:extent cx="3122930" cy="958850"/>
            <wp:effectExtent l="0" t="0" r="1270" b="12700"/>
            <wp:docPr id="4" name="图片 4" descr="仿真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仿真数据"/>
                    <pic:cNvPicPr>
                      <a:picLocks noChangeAspect="1"/>
                    </pic:cNvPicPr>
                  </pic:nvPicPr>
                  <pic:blipFill>
                    <a:blip r:embed="rId7"/>
                    <a:stretch>
                      <a:fillRect/>
                    </a:stretch>
                  </pic:blipFill>
                  <pic:spPr>
                    <a:xfrm>
                      <a:off x="0" y="0"/>
                      <a:ext cx="3122930" cy="958850"/>
                    </a:xfrm>
                    <a:prstGeom prst="rect">
                      <a:avLst/>
                    </a:prstGeom>
                  </pic:spPr>
                </pic:pic>
              </a:graphicData>
            </a:graphic>
          </wp:inline>
        </w:drawing>
      </w:r>
    </w:p>
    <w:p w14:paraId="5EADDD35">
      <w:pPr>
        <w:pStyle w:val="29"/>
        <w:numPr>
          <w:ilvl w:val="0"/>
          <w:numId w:val="0"/>
        </w:numPr>
        <w:jc w:val="center"/>
        <w:rPr>
          <w:rFonts w:hint="default" w:eastAsia="宋体"/>
          <w:lang w:val="en-US" w:eastAsia="zh-CN"/>
        </w:rPr>
      </w:pPr>
      <w:r>
        <w:rPr>
          <w:rFonts w:hint="eastAsia"/>
          <w:lang w:val="en-US" w:eastAsia="zh-CN"/>
        </w:rPr>
        <w:t>图4          仿真结果</w:t>
      </w:r>
    </w:p>
    <w:p w14:paraId="466469B5">
      <w:pPr>
        <w:pStyle w:val="7"/>
        <w:ind w:left="0" w:leftChars="0" w:firstLine="0" w:firstLineChars="0"/>
        <w:jc w:val="both"/>
        <w:rPr>
          <w:rFonts w:hint="eastAsia" w:eastAsia="宋体"/>
          <w:lang w:eastAsia="zh-CN"/>
        </w:rPr>
      </w:pPr>
    </w:p>
    <w:tbl>
      <w:tblPr>
        <w:tblStyle w:val="10"/>
        <w:tblW w:w="0" w:type="auto"/>
        <w:jc w:val="center"/>
        <w:tblLayout w:type="autofit"/>
        <w:tblCellMar>
          <w:top w:w="0" w:type="dxa"/>
          <w:left w:w="108" w:type="dxa"/>
          <w:bottom w:w="0" w:type="dxa"/>
          <w:right w:w="108" w:type="dxa"/>
        </w:tblCellMar>
      </w:tblPr>
      <w:tblGrid>
        <w:gridCol w:w="1016"/>
        <w:gridCol w:w="1096"/>
      </w:tblGrid>
      <w:tr w14:paraId="06CC4FFE">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7FB3EA40">
            <w:pPr>
              <w:pStyle w:val="25"/>
              <w:jc w:val="center"/>
            </w:pPr>
            <w:r>
              <w:rPr>
                <w:b/>
                <w:bCs/>
              </w:rPr>
              <w:t>指标</w:t>
            </w:r>
          </w:p>
        </w:tc>
        <w:tc>
          <w:tcPr>
            <w:tcBorders>
              <w:top w:val="single" w:color="000000" w:sz="4" w:space="0"/>
              <w:left w:val="single" w:color="000000" w:sz="4" w:space="0"/>
              <w:bottom w:val="single" w:color="000000" w:sz="4" w:space="0"/>
              <w:right w:val="single" w:color="000000" w:sz="4" w:space="0"/>
            </w:tcBorders>
            <w:vAlign w:val="center"/>
          </w:tcPr>
          <w:p w14:paraId="5D831286">
            <w:pPr>
              <w:pStyle w:val="25"/>
              <w:jc w:val="center"/>
            </w:pPr>
            <w:r>
              <w:rPr>
                <w:b/>
                <w:bCs/>
              </w:rPr>
              <w:t>数值</w:t>
            </w:r>
          </w:p>
        </w:tc>
      </w:tr>
      <w:tr w14:paraId="6ACBD01B">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2BAE2D0D">
            <w:pPr>
              <w:pStyle w:val="27"/>
              <w:jc w:val="center"/>
            </w:pPr>
            <w:r>
              <w:t>验证规模</w:t>
            </w:r>
          </w:p>
        </w:tc>
        <w:tc>
          <w:tcPr>
            <w:tcBorders>
              <w:top w:val="single" w:color="000000" w:sz="4" w:space="0"/>
              <w:left w:val="single" w:color="000000" w:sz="4" w:space="0"/>
              <w:bottom w:val="single" w:color="000000" w:sz="4" w:space="0"/>
              <w:right w:val="single" w:color="000000" w:sz="4" w:space="0"/>
            </w:tcBorders>
            <w:vAlign w:val="center"/>
          </w:tcPr>
          <w:p w14:paraId="149FE226">
            <w:pPr>
              <w:pStyle w:val="27"/>
              <w:jc w:val="center"/>
            </w:pPr>
            <w:r>
              <w:t>全量 1024 列</w:t>
            </w:r>
          </w:p>
        </w:tc>
      </w:tr>
      <w:tr w14:paraId="3CFD2669">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4A26D652">
            <w:pPr>
              <w:pStyle w:val="27"/>
              <w:jc w:val="center"/>
            </w:pPr>
            <w:r>
              <w:t>输出点数</w:t>
            </w:r>
          </w:p>
        </w:tc>
        <w:tc>
          <w:tcPr>
            <w:tcBorders>
              <w:top w:val="single" w:color="000000" w:sz="4" w:space="0"/>
              <w:left w:val="single" w:color="000000" w:sz="4" w:space="0"/>
              <w:bottom w:val="single" w:color="000000" w:sz="4" w:space="0"/>
              <w:right w:val="single" w:color="000000" w:sz="4" w:space="0"/>
            </w:tcBorders>
            <w:vAlign w:val="center"/>
          </w:tcPr>
          <w:p w14:paraId="63F36D99">
            <w:pPr>
              <w:pStyle w:val="27"/>
              <w:jc w:val="center"/>
            </w:pPr>
            <w:r>
              <w:t>131,072</w:t>
            </w:r>
          </w:p>
        </w:tc>
      </w:tr>
      <w:tr w14:paraId="2621D18F">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7B421100">
            <w:pPr>
              <w:pStyle w:val="27"/>
              <w:jc w:val="center"/>
            </w:pPr>
            <w:r>
              <w:t>Mismatch</w:t>
            </w:r>
          </w:p>
        </w:tc>
        <w:tc>
          <w:tcPr>
            <w:tcBorders>
              <w:top w:val="single" w:color="000000" w:sz="4" w:space="0"/>
              <w:left w:val="single" w:color="000000" w:sz="4" w:space="0"/>
              <w:bottom w:val="single" w:color="000000" w:sz="4" w:space="0"/>
              <w:right w:val="single" w:color="000000" w:sz="4" w:space="0"/>
            </w:tcBorders>
            <w:vAlign w:val="center"/>
          </w:tcPr>
          <w:p w14:paraId="6B16EE40">
            <w:pPr>
              <w:pStyle w:val="27"/>
              <w:jc w:val="center"/>
            </w:pPr>
            <w:r>
              <w:t>0</w:t>
            </w:r>
          </w:p>
        </w:tc>
      </w:tr>
      <w:tr w14:paraId="1748A491">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0D6CA927">
            <w:pPr>
              <w:pStyle w:val="27"/>
              <w:jc w:val="center"/>
            </w:pPr>
            <w:r>
              <w:t>总计算周期</w:t>
            </w:r>
          </w:p>
        </w:tc>
        <w:tc>
          <w:tcPr>
            <w:tcBorders>
              <w:top w:val="single" w:color="000000" w:sz="4" w:space="0"/>
              <w:left w:val="single" w:color="000000" w:sz="4" w:space="0"/>
              <w:bottom w:val="single" w:color="000000" w:sz="4" w:space="0"/>
              <w:right w:val="single" w:color="000000" w:sz="4" w:space="0"/>
            </w:tcBorders>
            <w:vAlign w:val="center"/>
          </w:tcPr>
          <w:p w14:paraId="537A4391">
            <w:pPr>
              <w:pStyle w:val="27"/>
              <w:jc w:val="center"/>
            </w:pPr>
            <w:r>
              <w:t>273,073</w:t>
            </w:r>
          </w:p>
        </w:tc>
      </w:tr>
      <w:tr w14:paraId="755EE076">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5B59BBF9">
            <w:pPr>
              <w:pStyle w:val="27"/>
              <w:jc w:val="center"/>
            </w:pPr>
            <w:r>
              <w:t>LUT</w:t>
            </w:r>
          </w:p>
        </w:tc>
        <w:tc>
          <w:tcPr>
            <w:tcBorders>
              <w:top w:val="single" w:color="000000" w:sz="4" w:space="0"/>
              <w:left w:val="single" w:color="000000" w:sz="4" w:space="0"/>
              <w:bottom w:val="single" w:color="000000" w:sz="4" w:space="0"/>
              <w:right w:val="single" w:color="000000" w:sz="4" w:space="0"/>
            </w:tcBorders>
            <w:vAlign w:val="center"/>
          </w:tcPr>
          <w:p w14:paraId="11C598F5">
            <w:pPr>
              <w:pStyle w:val="27"/>
              <w:jc w:val="center"/>
            </w:pPr>
            <w:r>
              <w:t>28,212</w:t>
            </w:r>
          </w:p>
        </w:tc>
      </w:tr>
      <w:tr w14:paraId="76EE0ED5">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495750EA">
            <w:pPr>
              <w:pStyle w:val="27"/>
              <w:jc w:val="center"/>
            </w:pPr>
            <w:r>
              <w:t>FF</w:t>
            </w:r>
          </w:p>
        </w:tc>
        <w:tc>
          <w:tcPr>
            <w:tcBorders>
              <w:top w:val="single" w:color="000000" w:sz="4" w:space="0"/>
              <w:left w:val="single" w:color="000000" w:sz="4" w:space="0"/>
              <w:bottom w:val="single" w:color="000000" w:sz="4" w:space="0"/>
              <w:right w:val="single" w:color="000000" w:sz="4" w:space="0"/>
            </w:tcBorders>
            <w:vAlign w:val="center"/>
          </w:tcPr>
          <w:p w14:paraId="48335C08">
            <w:pPr>
              <w:pStyle w:val="27"/>
              <w:jc w:val="center"/>
            </w:pPr>
            <w:r>
              <w:t>8,996</w:t>
            </w:r>
          </w:p>
        </w:tc>
      </w:tr>
      <w:tr w14:paraId="5E67247A">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02F148B3">
            <w:pPr>
              <w:pStyle w:val="27"/>
              <w:jc w:val="center"/>
            </w:pPr>
            <w:r>
              <w:t>BRAM</w:t>
            </w:r>
          </w:p>
        </w:tc>
        <w:tc>
          <w:tcPr>
            <w:tcBorders>
              <w:top w:val="single" w:color="000000" w:sz="4" w:space="0"/>
              <w:left w:val="single" w:color="000000" w:sz="4" w:space="0"/>
              <w:bottom w:val="single" w:color="000000" w:sz="4" w:space="0"/>
              <w:right w:val="single" w:color="000000" w:sz="4" w:space="0"/>
            </w:tcBorders>
            <w:vAlign w:val="center"/>
          </w:tcPr>
          <w:p w14:paraId="53A504D2">
            <w:pPr>
              <w:pStyle w:val="27"/>
              <w:jc w:val="center"/>
            </w:pPr>
            <w:r>
              <w:t>192</w:t>
            </w:r>
          </w:p>
        </w:tc>
      </w:tr>
      <w:tr w14:paraId="14A9CC18">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7F07A538">
            <w:pPr>
              <w:pStyle w:val="27"/>
              <w:jc w:val="center"/>
            </w:pPr>
            <w:r>
              <w:t>DSP</w:t>
            </w:r>
          </w:p>
        </w:tc>
        <w:tc>
          <w:tcPr>
            <w:tcBorders>
              <w:top w:val="single" w:color="000000" w:sz="4" w:space="0"/>
              <w:left w:val="single" w:color="000000" w:sz="4" w:space="0"/>
              <w:bottom w:val="single" w:color="000000" w:sz="4" w:space="0"/>
              <w:right w:val="single" w:color="000000" w:sz="4" w:space="0"/>
            </w:tcBorders>
            <w:vAlign w:val="center"/>
          </w:tcPr>
          <w:p w14:paraId="001792FC">
            <w:pPr>
              <w:pStyle w:val="27"/>
              <w:jc w:val="center"/>
            </w:pPr>
            <w:r>
              <w:t>1</w:t>
            </w:r>
          </w:p>
        </w:tc>
      </w:tr>
      <w:tr w14:paraId="313D5132">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23C85F9B">
            <w:pPr>
              <w:pStyle w:val="27"/>
              <w:jc w:val="center"/>
              <w:rPr>
                <w:rFonts w:hint="default" w:eastAsia="宋体"/>
                <w:lang w:val="en-US" w:eastAsia="zh-CN"/>
              </w:rPr>
            </w:pPr>
            <w:r>
              <w:rPr>
                <w:rFonts w:hint="eastAsia"/>
                <w:lang w:val="en-US" w:eastAsia="zh-CN"/>
              </w:rPr>
              <w:t>最高频率</w:t>
            </w:r>
          </w:p>
        </w:tc>
        <w:tc>
          <w:tcPr>
            <w:tcBorders>
              <w:top w:val="single" w:color="000000" w:sz="4" w:space="0"/>
              <w:left w:val="single" w:color="000000" w:sz="4" w:space="0"/>
              <w:bottom w:val="single" w:color="000000" w:sz="4" w:space="0"/>
              <w:right w:val="single" w:color="000000" w:sz="4" w:space="0"/>
            </w:tcBorders>
            <w:vAlign w:val="center"/>
          </w:tcPr>
          <w:p w14:paraId="3988B3E2">
            <w:pPr>
              <w:pStyle w:val="27"/>
              <w:jc w:val="center"/>
              <w:rPr>
                <w:rFonts w:hint="default" w:eastAsia="宋体"/>
                <w:lang w:val="en-US" w:eastAsia="zh-CN"/>
              </w:rPr>
            </w:pPr>
            <w:r>
              <w:rPr>
                <w:rFonts w:hint="eastAsia"/>
                <w:lang w:val="en-US" w:eastAsia="zh-CN"/>
              </w:rPr>
              <w:t>177.00MHz</w:t>
            </w:r>
          </w:p>
        </w:tc>
      </w:tr>
    </w:tbl>
    <w:p w14:paraId="5CDF4A9D">
      <w:pPr>
        <w:pStyle w:val="29"/>
        <w:jc w:val="center"/>
      </w:pPr>
      <w:r>
        <w:t>本文设计的仿真与综合结果</w:t>
      </w:r>
    </w:p>
    <w:p w14:paraId="38CC9DE0">
      <w:pPr>
        <w:pStyle w:val="7"/>
      </w:pPr>
      <w:r>
        <w:t>课程性能指标按 式 (3) 计算：</w:t>
      </w:r>
    </w:p>
    <w:p w14:paraId="411E12FB">
      <w:pPr>
        <w:pStyle w:val="18"/>
      </w:pPr>
      <m:oMath>
        <m:r>
          <m:rPr/>
          <w:rPr>
            <w:rFonts w:hint="default" w:ascii="Cambria Math" w:hAnsi="Cambria Math"/>
            <w:lang w:val="en-US" w:eastAsia="zh-CN"/>
          </w:rPr>
          <m:t>index</m:t>
        </m:r>
        <m:r>
          <m:rPr/>
          <w:rPr>
            <w:rFonts w:hint="default" w:ascii="Cambria Math" w:hAnsi="Cambria Math"/>
          </w:rPr>
          <m:t>=</m:t>
        </m:r>
        <m:f>
          <m:fPr>
            <m:ctrlPr>
              <w:rPr>
                <w:rFonts w:hint="default" w:ascii="Cambria Math" w:hAnsi="Cambria Math"/>
              </w:rPr>
            </m:ctrlPr>
          </m:fPr>
          <m:num>
            <m:r>
              <m:rPr/>
              <w:rPr>
                <w:rFonts w:hint="default" w:ascii="Cambria Math" w:hAnsi="Cambria Math"/>
              </w:rPr>
              <m:t>1</m:t>
            </m:r>
            <m:ctrlPr>
              <w:rPr>
                <w:rFonts w:ascii="Cambria Math" w:hAnsi="Cambria Math"/>
              </w:rPr>
            </m:ctrlPr>
          </m:num>
          <m:den>
            <m:r>
              <m:rPr/>
              <w:rPr>
                <w:rFonts w:hint="default" w:ascii="Cambria Math" w:hAnsi="Cambria Math"/>
              </w:rPr>
              <m:t>N(FF)+0.25N(LUT)+100N（BRAM)</m:t>
            </m:r>
            <m:ctrlPr>
              <w:rPr>
                <w:rFonts w:ascii="Cambria Math" w:hAnsi="Cambria Math"/>
              </w:rPr>
            </m:ctrlPr>
          </m:den>
        </m:f>
        <m:r>
          <m:rPr/>
          <w:rPr>
            <w:rFonts w:hint="default" w:ascii="Cambria Math" w:hAnsi="Cambria Math"/>
          </w:rPr>
          <m:t>×</m:t>
        </m:r>
        <m:f>
          <m:fPr>
            <m:ctrlPr>
              <w:rPr>
                <w:rFonts w:hint="default" w:ascii="Cambria Math" w:hAnsi="Cambria Math"/>
              </w:rPr>
            </m:ctrlPr>
          </m:fPr>
          <m:num>
            <m:sSub>
              <m:sSubPr>
                <m:ctrlPr>
                  <w:rPr>
                    <w:rFonts w:hint="default" w:ascii="Cambria Math" w:hAnsi="Cambria Math"/>
                  </w:rPr>
                </m:ctrlPr>
              </m:sSubPr>
              <m:e>
                <m:r>
                  <m:rPr/>
                  <w:rPr>
                    <w:rFonts w:hint="default" w:ascii="Cambria Math" w:hAnsi="Cambria Math"/>
                  </w:rPr>
                  <m:t>f</m:t>
                </m:r>
                <m:ctrlPr>
                  <w:rPr>
                    <w:rFonts w:ascii="Cambria Math" w:hAnsi="Cambria Math"/>
                  </w:rPr>
                </m:ctrlPr>
              </m:e>
              <m:sub>
                <m:r>
                  <m:rPr/>
                  <w:rPr>
                    <w:rFonts w:hint="default" w:ascii="Cambria Math" w:hAnsi="Cambria Math"/>
                  </w:rPr>
                  <m:t>max</m:t>
                </m:r>
                <m:ctrlPr>
                  <w:rPr>
                    <w:rFonts w:ascii="Cambria Math" w:hAnsi="Cambria Math"/>
                  </w:rPr>
                </m:ctrlPr>
              </m:sub>
            </m:sSub>
            <m:ctrlPr>
              <w:rPr>
                <w:rFonts w:hint="default" w:ascii="Cambria Math" w:hAnsi="Cambria Math"/>
              </w:rPr>
            </m:ctrlPr>
          </m:num>
          <m:den>
            <m:sSub>
              <m:sSubPr>
                <m:ctrlPr>
                  <w:rPr>
                    <w:rFonts w:hint="default" w:ascii="Cambria Math" w:hAnsi="Cambria Math"/>
                  </w:rPr>
                </m:ctrlPr>
              </m:sSubPr>
              <m:e>
                <m:r>
                  <m:rPr/>
                  <w:rPr>
                    <w:rFonts w:hint="default" w:ascii="Cambria Math" w:hAnsi="Cambria Math"/>
                  </w:rPr>
                  <m:t>T</m:t>
                </m:r>
                <m:ctrlPr>
                  <w:rPr>
                    <w:rFonts w:ascii="Cambria Math" w:hAnsi="Cambria Math"/>
                  </w:rPr>
                </m:ctrlPr>
              </m:e>
              <m:sub>
                <m:r>
                  <m:rPr/>
                  <w:rPr>
                    <w:rFonts w:hint="default" w:ascii="Cambria Math" w:hAnsi="Cambria Math"/>
                  </w:rPr>
                  <m:t>tot</m:t>
                </m:r>
                <m:ctrlPr>
                  <w:rPr>
                    <w:rFonts w:ascii="Cambria Math" w:hAnsi="Cambria Math"/>
                  </w:rPr>
                </m:ctrlPr>
              </m:sub>
            </m:sSub>
            <m:ctrlPr>
              <w:rPr>
                <w:rFonts w:hint="default" w:ascii="Cambria Math" w:hAnsi="Cambria Math"/>
              </w:rPr>
            </m:ctrlPr>
          </m:den>
        </m:f>
      </m:oMath>
      <w:r>
        <w:t xml:space="preserve">  (3)</w:t>
      </w:r>
    </w:p>
    <w:p w14:paraId="06F7561C">
      <w:pPr>
        <w:pStyle w:val="7"/>
      </w:pPr>
      <w:r>
        <w:t>代入综合数据</w:t>
      </w:r>
      <w:r>
        <w:rPr>
          <w:rFonts w:hint="eastAsia"/>
          <w:lang w:eastAsia="zh-CN"/>
        </w:rPr>
        <w:t>，</w:t>
      </w:r>
      <w:r>
        <w:t>计算得 Index</w:t>
      </w:r>
      <w:r>
        <w:rPr>
          <w:rFonts w:hint="eastAsia"/>
          <w:lang w:val="en-US" w:eastAsia="zh-CN"/>
        </w:rPr>
        <w:t>≈</w:t>
      </w:r>
      <w:r>
        <w:t xml:space="preserve"> 0.01</w:t>
      </w:r>
      <w:r>
        <w:rPr>
          <w:rFonts w:hint="eastAsia"/>
          <w:lang w:val="en-US" w:eastAsia="zh-CN"/>
        </w:rPr>
        <w:t>84</w:t>
      </w:r>
      <w:r>
        <w:t>，落入 [0.</w:t>
      </w:r>
      <w:r>
        <w:rPr>
          <w:rFonts w:hint="eastAsia"/>
          <w:lang w:val="en-US" w:eastAsia="zh-CN"/>
        </w:rPr>
        <w:t>015</w:t>
      </w:r>
      <w:r>
        <w:t xml:space="preserve">, </w:t>
      </w:r>
      <w:r>
        <w:rPr>
          <w:rFonts w:hint="eastAsia"/>
          <w:lang w:val="en-US" w:eastAsia="zh-CN"/>
        </w:rPr>
        <w:t>+∞</w:t>
      </w:r>
      <w:r>
        <w:t>) 区间。</w:t>
      </w:r>
    </w:p>
    <w:tbl>
      <w:tblPr>
        <w:tblStyle w:val="10"/>
        <w:tblW w:w="0" w:type="auto"/>
        <w:jc w:val="center"/>
        <w:tblLayout w:type="autofit"/>
        <w:tblCellMar>
          <w:top w:w="0" w:type="dxa"/>
          <w:left w:w="108" w:type="dxa"/>
          <w:bottom w:w="0" w:type="dxa"/>
          <w:right w:w="108" w:type="dxa"/>
        </w:tblCellMar>
      </w:tblPr>
      <w:tblGrid>
        <w:gridCol w:w="885"/>
        <w:gridCol w:w="856"/>
        <w:gridCol w:w="656"/>
        <w:gridCol w:w="576"/>
        <w:gridCol w:w="705"/>
        <w:gridCol w:w="1369"/>
      </w:tblGrid>
      <w:tr w14:paraId="02D44B4D">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24E707CA">
            <w:pPr>
              <w:pStyle w:val="25"/>
              <w:jc w:val="center"/>
            </w:pPr>
            <w:r>
              <w:rPr>
                <w:b/>
                <w:bCs/>
              </w:rPr>
              <w:t>方案</w:t>
            </w:r>
          </w:p>
        </w:tc>
        <w:tc>
          <w:tcPr>
            <w:tcBorders>
              <w:top w:val="single" w:color="000000" w:sz="4" w:space="0"/>
              <w:left w:val="single" w:color="000000" w:sz="4" w:space="0"/>
              <w:bottom w:val="single" w:color="000000" w:sz="4" w:space="0"/>
              <w:right w:val="single" w:color="000000" w:sz="4" w:space="0"/>
            </w:tcBorders>
            <w:vAlign w:val="center"/>
          </w:tcPr>
          <w:p w14:paraId="046738F1">
            <w:pPr>
              <w:pStyle w:val="25"/>
              <w:jc w:val="center"/>
            </w:pPr>
            <w:r>
              <w:rPr>
                <w:b/>
                <w:bCs/>
              </w:rPr>
              <w:t>周期数</w:t>
            </w:r>
          </w:p>
        </w:tc>
        <w:tc>
          <w:tcPr>
            <w:tcBorders>
              <w:top w:val="single" w:color="000000" w:sz="4" w:space="0"/>
              <w:left w:val="single" w:color="000000" w:sz="4" w:space="0"/>
              <w:bottom w:val="single" w:color="000000" w:sz="4" w:space="0"/>
              <w:right w:val="single" w:color="000000" w:sz="4" w:space="0"/>
            </w:tcBorders>
            <w:vAlign w:val="center"/>
          </w:tcPr>
          <w:p w14:paraId="3541E984">
            <w:pPr>
              <w:pStyle w:val="25"/>
              <w:jc w:val="center"/>
            </w:pPr>
            <w:r>
              <w:rPr>
                <w:b/>
                <w:bCs/>
              </w:rPr>
              <w:t>LUT</w:t>
            </w:r>
          </w:p>
        </w:tc>
        <w:tc>
          <w:tcPr>
            <w:tcBorders>
              <w:top w:val="single" w:color="000000" w:sz="4" w:space="0"/>
              <w:left w:val="single" w:color="000000" w:sz="4" w:space="0"/>
              <w:bottom w:val="single" w:color="000000" w:sz="4" w:space="0"/>
              <w:right w:val="single" w:color="000000" w:sz="4" w:space="0"/>
            </w:tcBorders>
            <w:vAlign w:val="center"/>
          </w:tcPr>
          <w:p w14:paraId="66C5A7C1">
            <w:pPr>
              <w:pStyle w:val="25"/>
              <w:jc w:val="center"/>
            </w:pPr>
            <w:r>
              <w:rPr>
                <w:b/>
                <w:bCs/>
              </w:rPr>
              <w:t>FF</w:t>
            </w:r>
          </w:p>
        </w:tc>
        <w:tc>
          <w:tcPr>
            <w:tcBorders>
              <w:top w:val="single" w:color="000000" w:sz="4" w:space="0"/>
              <w:left w:val="single" w:color="000000" w:sz="4" w:space="0"/>
              <w:bottom w:val="single" w:color="000000" w:sz="4" w:space="0"/>
              <w:right w:val="single" w:color="000000" w:sz="4" w:space="0"/>
            </w:tcBorders>
            <w:vAlign w:val="center"/>
          </w:tcPr>
          <w:p w14:paraId="79464B56">
            <w:pPr>
              <w:pStyle w:val="25"/>
              <w:jc w:val="center"/>
            </w:pPr>
            <w:r>
              <w:rPr>
                <w:b/>
                <w:bCs/>
              </w:rPr>
              <w:t>BRAM</w:t>
            </w:r>
          </w:p>
        </w:tc>
        <w:tc>
          <w:tcPr>
            <w:tcBorders>
              <w:top w:val="single" w:color="000000" w:sz="4" w:space="0"/>
              <w:left w:val="single" w:color="000000" w:sz="4" w:space="0"/>
              <w:bottom w:val="single" w:color="000000" w:sz="4" w:space="0"/>
              <w:right w:val="single" w:color="000000" w:sz="4" w:space="0"/>
            </w:tcBorders>
            <w:vAlign w:val="center"/>
          </w:tcPr>
          <w:p w14:paraId="42150C59">
            <w:pPr>
              <w:pStyle w:val="25"/>
              <w:jc w:val="center"/>
            </w:pPr>
            <w:r>
              <w:rPr>
                <w:b/>
                <w:bCs/>
              </w:rPr>
              <w:t>时序</w:t>
            </w:r>
          </w:p>
        </w:tc>
      </w:tr>
      <w:tr w14:paraId="7A28CDE7">
        <w:tblPrEx>
          <w:tblCellMar>
            <w:top w:w="0" w:type="dxa"/>
            <w:left w:w="108" w:type="dxa"/>
            <w:bottom w:w="0" w:type="dxa"/>
            <w:right w:w="108" w:type="dxa"/>
          </w:tblCellMar>
        </w:tblPrEx>
        <w:trPr>
          <w:jc w:val="center"/>
        </w:trPr>
        <w:tc>
          <w:tcPr>
            <w:tcW w:w="885" w:type="dxa"/>
            <w:tcBorders>
              <w:top w:val="single" w:color="000000" w:sz="4" w:space="0"/>
              <w:left w:val="single" w:color="000000" w:sz="4" w:space="0"/>
              <w:bottom w:val="single" w:color="000000" w:sz="4" w:space="0"/>
              <w:right w:val="single" w:color="000000" w:sz="4" w:space="0"/>
            </w:tcBorders>
            <w:vAlign w:val="center"/>
          </w:tcPr>
          <w:p w14:paraId="2BF8A6C5">
            <w:pPr>
              <w:pStyle w:val="27"/>
              <w:jc w:val="center"/>
            </w:pPr>
            <w:r>
              <w:t>位图并行</w:t>
            </w:r>
          </w:p>
        </w:tc>
        <w:tc>
          <w:tcPr>
            <w:tcW w:w="856" w:type="dxa"/>
            <w:tcBorders>
              <w:top w:val="single" w:color="000000" w:sz="4" w:space="0"/>
              <w:left w:val="single" w:color="000000" w:sz="4" w:space="0"/>
              <w:bottom w:val="single" w:color="000000" w:sz="4" w:space="0"/>
              <w:right w:val="single" w:color="000000" w:sz="4" w:space="0"/>
            </w:tcBorders>
            <w:vAlign w:val="center"/>
          </w:tcPr>
          <w:p w14:paraId="216BD657">
            <w:pPr>
              <w:pStyle w:val="27"/>
              <w:jc w:val="center"/>
            </w:pPr>
            <w:r>
              <w:t>6,357,983</w:t>
            </w:r>
          </w:p>
        </w:tc>
        <w:tc>
          <w:tcPr>
            <w:tcBorders>
              <w:top w:val="single" w:color="000000" w:sz="4" w:space="0"/>
              <w:left w:val="single" w:color="000000" w:sz="4" w:space="0"/>
              <w:bottom w:val="single" w:color="000000" w:sz="4" w:space="0"/>
              <w:right w:val="single" w:color="000000" w:sz="4" w:space="0"/>
            </w:tcBorders>
            <w:vAlign w:val="center"/>
          </w:tcPr>
          <w:p w14:paraId="7EAB59D7">
            <w:pPr>
              <w:pStyle w:val="27"/>
              <w:jc w:val="center"/>
            </w:pPr>
            <w:r>
              <w:t>70,101</w:t>
            </w:r>
          </w:p>
        </w:tc>
        <w:tc>
          <w:tcPr>
            <w:tcBorders>
              <w:top w:val="single" w:color="000000" w:sz="4" w:space="0"/>
              <w:left w:val="single" w:color="000000" w:sz="4" w:space="0"/>
              <w:bottom w:val="single" w:color="000000" w:sz="4" w:space="0"/>
              <w:right w:val="single" w:color="000000" w:sz="4" w:space="0"/>
            </w:tcBorders>
            <w:vAlign w:val="center"/>
          </w:tcPr>
          <w:p w14:paraId="18242F24">
            <w:pPr>
              <w:pStyle w:val="27"/>
              <w:jc w:val="center"/>
            </w:pPr>
            <w:r>
              <w:t>5,417</w:t>
            </w:r>
          </w:p>
        </w:tc>
        <w:tc>
          <w:tcPr>
            <w:tcBorders>
              <w:top w:val="single" w:color="000000" w:sz="4" w:space="0"/>
              <w:left w:val="single" w:color="000000" w:sz="4" w:space="0"/>
              <w:bottom w:val="single" w:color="000000" w:sz="4" w:space="0"/>
              <w:right w:val="single" w:color="000000" w:sz="4" w:space="0"/>
            </w:tcBorders>
            <w:vAlign w:val="center"/>
          </w:tcPr>
          <w:p w14:paraId="501D45C7">
            <w:pPr>
              <w:pStyle w:val="27"/>
              <w:jc w:val="center"/>
            </w:pPr>
            <w:r>
              <w:t>121.5</w:t>
            </w:r>
          </w:p>
        </w:tc>
        <w:tc>
          <w:tcPr>
            <w:tcBorders>
              <w:top w:val="single" w:color="000000" w:sz="4" w:space="0"/>
              <w:left w:val="single" w:color="000000" w:sz="4" w:space="0"/>
              <w:bottom w:val="single" w:color="000000" w:sz="4" w:space="0"/>
              <w:right w:val="single" w:color="000000" w:sz="4" w:space="0"/>
            </w:tcBorders>
            <w:vAlign w:val="center"/>
          </w:tcPr>
          <w:p w14:paraId="7528145E">
            <w:pPr>
              <w:pStyle w:val="27"/>
              <w:jc w:val="center"/>
            </w:pPr>
            <w:r>
              <w:t>WNS=−3.572 ns（违例）</w:t>
            </w:r>
          </w:p>
        </w:tc>
      </w:tr>
      <w:tr w14:paraId="6CEF715D">
        <w:tblPrEx>
          <w:tblCellMar>
            <w:top w:w="0" w:type="dxa"/>
            <w:left w:w="108" w:type="dxa"/>
            <w:bottom w:w="0" w:type="dxa"/>
            <w:right w:w="108" w:type="dxa"/>
          </w:tblCellMar>
        </w:tblPrEx>
        <w:trPr>
          <w:jc w:val="center"/>
        </w:trPr>
        <w:tc>
          <w:tcPr>
            <w:tcBorders>
              <w:top w:val="single" w:color="000000" w:sz="4" w:space="0"/>
              <w:left w:val="single" w:color="000000" w:sz="4" w:space="0"/>
              <w:bottom w:val="single" w:color="000000" w:sz="4" w:space="0"/>
              <w:right w:val="single" w:color="000000" w:sz="4" w:space="0"/>
            </w:tcBorders>
            <w:vAlign w:val="center"/>
          </w:tcPr>
          <w:p w14:paraId="401BA1F5">
            <w:pPr>
              <w:pStyle w:val="27"/>
              <w:jc w:val="center"/>
            </w:pPr>
            <w:r>
              <w:t>稠密 PE</w:t>
            </w:r>
          </w:p>
        </w:tc>
        <w:tc>
          <w:tcPr>
            <w:tcBorders>
              <w:top w:val="single" w:color="000000" w:sz="4" w:space="0"/>
              <w:left w:val="single" w:color="000000" w:sz="4" w:space="0"/>
              <w:bottom w:val="single" w:color="000000" w:sz="4" w:space="0"/>
              <w:right w:val="single" w:color="000000" w:sz="4" w:space="0"/>
            </w:tcBorders>
            <w:vAlign w:val="center"/>
          </w:tcPr>
          <w:p w14:paraId="3BD9175A">
            <w:pPr>
              <w:pStyle w:val="27"/>
              <w:jc w:val="center"/>
            </w:pPr>
            <w:r>
              <w:t>273,073</w:t>
            </w:r>
          </w:p>
        </w:tc>
        <w:tc>
          <w:tcPr>
            <w:tcBorders>
              <w:top w:val="single" w:color="000000" w:sz="4" w:space="0"/>
              <w:left w:val="single" w:color="000000" w:sz="4" w:space="0"/>
              <w:bottom w:val="single" w:color="000000" w:sz="4" w:space="0"/>
              <w:right w:val="single" w:color="000000" w:sz="4" w:space="0"/>
            </w:tcBorders>
            <w:vAlign w:val="center"/>
          </w:tcPr>
          <w:p w14:paraId="619E5BF3">
            <w:pPr>
              <w:pStyle w:val="27"/>
              <w:jc w:val="center"/>
            </w:pPr>
            <w:r>
              <w:t>28,212</w:t>
            </w:r>
          </w:p>
        </w:tc>
        <w:tc>
          <w:tcPr>
            <w:tcBorders>
              <w:top w:val="single" w:color="000000" w:sz="4" w:space="0"/>
              <w:left w:val="single" w:color="000000" w:sz="4" w:space="0"/>
              <w:bottom w:val="single" w:color="000000" w:sz="4" w:space="0"/>
              <w:right w:val="single" w:color="000000" w:sz="4" w:space="0"/>
            </w:tcBorders>
            <w:vAlign w:val="center"/>
          </w:tcPr>
          <w:p w14:paraId="352B91DF">
            <w:pPr>
              <w:pStyle w:val="27"/>
              <w:jc w:val="center"/>
            </w:pPr>
            <w:r>
              <w:t>8,996</w:t>
            </w:r>
          </w:p>
        </w:tc>
        <w:tc>
          <w:tcPr>
            <w:tcBorders>
              <w:top w:val="single" w:color="000000" w:sz="4" w:space="0"/>
              <w:left w:val="single" w:color="000000" w:sz="4" w:space="0"/>
              <w:bottom w:val="single" w:color="000000" w:sz="4" w:space="0"/>
              <w:right w:val="single" w:color="000000" w:sz="4" w:space="0"/>
            </w:tcBorders>
            <w:vAlign w:val="center"/>
          </w:tcPr>
          <w:p w14:paraId="04DD0A3D">
            <w:pPr>
              <w:pStyle w:val="27"/>
              <w:jc w:val="center"/>
            </w:pPr>
            <w:r>
              <w:t>192</w:t>
            </w:r>
          </w:p>
        </w:tc>
        <w:tc>
          <w:tcPr>
            <w:tcBorders>
              <w:top w:val="single" w:color="000000" w:sz="4" w:space="0"/>
              <w:left w:val="single" w:color="000000" w:sz="4" w:space="0"/>
              <w:bottom w:val="single" w:color="000000" w:sz="4" w:space="0"/>
              <w:right w:val="single" w:color="000000" w:sz="4" w:space="0"/>
            </w:tcBorders>
            <w:vAlign w:val="center"/>
          </w:tcPr>
          <w:p w14:paraId="3FAEC16A">
            <w:pPr>
              <w:pStyle w:val="27"/>
              <w:jc w:val="center"/>
            </w:pPr>
            <w:r>
              <w:t>WNS=+4.353 ns（收敛）</w:t>
            </w:r>
          </w:p>
        </w:tc>
      </w:tr>
    </w:tbl>
    <w:p w14:paraId="3F96489A">
      <w:pPr>
        <w:pStyle w:val="29"/>
        <w:jc w:val="center"/>
      </w:pPr>
      <w:r>
        <w:t>与位图并行方案的对比</w:t>
      </w:r>
    </w:p>
    <w:p w14:paraId="64E50E92">
      <w:pPr>
        <w:pStyle w:val="7"/>
      </w:pPr>
      <w:r>
        <w:t>对比可见，本文方案在周期上较位图并行方案降低约 95.7%，且 LUT 从 70,101 降到 28,212，更重要的是把 100 MHz 下的时序从违例转为收敛</w:t>
      </w:r>
      <w:r>
        <w:rPr>
          <w:rFonts w:hint="eastAsia"/>
          <w:lang w:eastAsia="zh-CN"/>
        </w:rPr>
        <w:t>，</w:t>
      </w:r>
      <w:r>
        <w:rPr>
          <w:rFonts w:hint="eastAsia"/>
          <w:lang w:val="en-US" w:eastAsia="zh-CN"/>
        </w:rPr>
        <w:t>并且有充足的时序裕值</w:t>
      </w:r>
      <w:r>
        <w:t>。BRAM 由 121.5 升至 192，是用一块宽权</w:t>
      </w:r>
      <w:bookmarkStart w:id="0" w:name="_GoBack"/>
      <w:bookmarkEnd w:id="0"/>
      <w:r>
        <w:t>重存储换取无交叉开关并行累加所付出的代价，但综合权衡后性能指标显著优于</w:t>
      </w:r>
      <w:r>
        <w:rPr>
          <w:rFonts w:hint="eastAsia"/>
          <w:lang w:val="en-US" w:eastAsia="zh-CN"/>
        </w:rPr>
        <w:t>位图并行方案</w:t>
      </w:r>
      <w:r>
        <w:t>。</w:t>
      </w:r>
    </w:p>
    <w:p w14:paraId="54B82F48">
      <w:pPr>
        <w:pStyle w:val="2"/>
        <w:rPr>
          <w:b/>
          <w:bCs/>
          <w:sz w:val="24"/>
          <w:szCs w:val="24"/>
        </w:rPr>
      </w:pPr>
      <w:r>
        <w:rPr>
          <w:b/>
          <w:bCs/>
          <w:sz w:val="24"/>
          <w:szCs w:val="24"/>
        </w:rPr>
        <w:t>分析与讨论</w:t>
      </w:r>
    </w:p>
    <w:p w14:paraId="54FBCC0E">
      <w:pPr>
        <w:pStyle w:val="3"/>
        <w:rPr>
          <w:b/>
          <w:bCs/>
          <w:i w:val="0"/>
          <w:iCs w:val="0"/>
        </w:rPr>
      </w:pPr>
      <w:r>
        <w:rPr>
          <w:b/>
          <w:bCs/>
          <w:i w:val="0"/>
          <w:iCs w:val="0"/>
        </w:rPr>
        <w:t>时序与资源折衷</w:t>
      </w:r>
    </w:p>
    <w:p w14:paraId="09A8599C">
      <w:pPr>
        <w:pStyle w:val="7"/>
      </w:pPr>
      <w:r>
        <w:t>位图并行</w:t>
      </w:r>
      <w:r>
        <w:rPr>
          <w:rFonts w:hint="eastAsia"/>
          <w:lang w:val="en-US" w:eastAsia="zh-CN"/>
        </w:rPr>
        <w:t>方案</w:t>
      </w:r>
      <w:r>
        <w:t>的根本问题在于把高并行度堆叠在单个组合更新状态内：16 个 lane 同时对 128 深累加器堆变址读改写，综合器需要为之构造庞大的多路选择与写仲裁网络，既抬高 LUT 又拉长关键路径。本文用“固定 PE + 独立累加器 + 流水线”将并行度沿时间展开而非沿组合逻辑展开，使每一级的组合深度仅为一次乘加，因而在保持高吞吐的同时获得正的时序裕量。</w:t>
      </w:r>
    </w:p>
    <w:p w14:paraId="39ABD716">
      <w:pPr>
        <w:pStyle w:val="3"/>
        <w:rPr>
          <w:b/>
          <w:bCs/>
          <w:i w:val="0"/>
          <w:iCs w:val="0"/>
        </w:rPr>
      </w:pPr>
      <w:r>
        <w:rPr>
          <w:b/>
          <w:bCs/>
          <w:i w:val="0"/>
          <w:iCs w:val="0"/>
        </w:rPr>
        <w:t>工作负载敏感性</w:t>
      </w:r>
    </w:p>
    <w:p w14:paraId="258954F5">
      <w:pPr>
        <w:pStyle w:val="7"/>
      </w:pPr>
      <w:r>
        <w:t>稀疏加速器的利用率依赖工作负载分布。本数据集各输出列的非零激活数不均，但由于流水线稳态吞吐与列内非零数线性相关，且双缓冲吸收了输出延迟，整体周期主要由总非零数 262,575 与流水填充、列指针读取等固定开销共同决定。对更稀疏的负载，可进一步增大每周期消费的非零数 (width&gt;1) 以摊薄固定开销；对更稠密的负载，当前 width=1 已能保持较高的 PE 利用率。</w:t>
      </w:r>
    </w:p>
    <w:p w14:paraId="1874765C">
      <w:pPr>
        <w:pStyle w:val="3"/>
        <w:rPr>
          <w:b/>
          <w:bCs/>
          <w:i w:val="0"/>
          <w:iCs w:val="0"/>
        </w:rPr>
      </w:pPr>
      <w:r>
        <w:rPr>
          <w:b/>
          <w:bCs/>
          <w:i w:val="0"/>
          <w:iCs w:val="0"/>
        </w:rPr>
        <w:t>与其他方案对比</w:t>
      </w:r>
    </w:p>
    <w:p w14:paraId="5D4F1646">
      <w:pPr>
        <w:pStyle w:val="7"/>
      </w:pPr>
      <w:r>
        <w:t>与逐输出点 intersection 匹配方案相比，外积方案避免了对同一激活列的重复扫描，更适合本实验 128 个输出行的场景。与完全展开的稀疏乘法阵列相比，本文方案对输出存储的访问集中于 128 个本地累加器，规避了同周期向多个随机地址写回的带宽冲突；代价是需在列内维护累加状态，并为每个输出行配备 PE。综合来看，本文在资源、频率与周期三者之间取得了更均衡的折衷。</w:t>
      </w:r>
    </w:p>
    <w:p w14:paraId="48F0AEEB">
      <w:pPr>
        <w:pStyle w:val="2"/>
        <w:rPr>
          <w:b/>
          <w:bCs/>
          <w:sz w:val="24"/>
          <w:szCs w:val="24"/>
        </w:rPr>
      </w:pPr>
      <w:r>
        <w:rPr>
          <w:b/>
          <w:bCs/>
          <w:sz w:val="24"/>
          <w:szCs w:val="24"/>
        </w:rPr>
        <w:t>结论</w:t>
      </w:r>
    </w:p>
    <w:p w14:paraId="39A638EB">
      <w:pPr>
        <w:pStyle w:val="7"/>
      </w:pPr>
      <w:r>
        <w:t>本文针对 VGG-16 第三卷积层的稀疏矩阵乘法，设计并验证了一种基于稠密权重与固定 PE 阵列的外积加速器。通过让每个输出行独占累加器，本文消除了前一版位图并行方案中导致 70k LUT 与时序违例的累加器交叉开关；通过四级流水线与 ping-pong 双缓冲，实现稳态每周期一个非零激活的吞吐并隐藏输出延迟；通过 LUT 乘法器满足 DSP 约束。全量 1024 列仿真输出 131,072 个结果全部正确，总周期 273,073；综合后 LUT 28,212、FF 8,996、BRAM 192、DSP 1，1</w:t>
      </w:r>
      <w:r>
        <w:rPr>
          <w:rFonts w:hint="eastAsia"/>
          <w:lang w:val="en-US" w:eastAsia="zh-CN"/>
        </w:rPr>
        <w:t>77</w:t>
      </w:r>
      <w:r>
        <w:t xml:space="preserve"> MHz 时序收敛，性能指标约 0.01</w:t>
      </w:r>
      <w:r>
        <w:rPr>
          <w:rFonts w:hint="eastAsia"/>
          <w:lang w:val="en-US" w:eastAsia="zh-CN"/>
        </w:rPr>
        <w:t>84</w:t>
      </w:r>
      <w:r>
        <w:t>。结果表明，稀疏加速的关键不仅在于减少乘法次数，更在于选择与数据流相匹配的存储组织与并行展开方式，从而在资源、频率与周期之间取得良好平衡。</w:t>
      </w:r>
    </w:p>
    <w:p w14:paraId="3B5407FF">
      <w:pPr>
        <w:pStyle w:val="6"/>
        <w:rPr>
          <w:b/>
          <w:bCs/>
          <w:sz w:val="24"/>
          <w:szCs w:val="24"/>
        </w:rPr>
      </w:pPr>
      <w:r>
        <w:rPr>
          <w:b/>
          <w:bCs/>
          <w:sz w:val="24"/>
          <w:szCs w:val="24"/>
        </w:rPr>
        <w:t>致谢</w:t>
      </w:r>
    </w:p>
    <w:p w14:paraId="400945B9">
      <w:pPr>
        <w:pStyle w:val="7"/>
      </w:pPr>
      <w:r>
        <w:rPr>
          <w:rFonts w:hint="eastAsia"/>
          <w:lang w:val="en-US" w:eastAsia="zh-CN"/>
        </w:rPr>
        <w:t>非常</w:t>
      </w:r>
      <w:r>
        <w:t>感谢</w:t>
      </w:r>
      <w:r>
        <w:rPr>
          <w:rFonts w:hint="eastAsia"/>
          <w:lang w:eastAsia="zh-CN"/>
        </w:rPr>
        <w:t>《</w:t>
      </w:r>
      <w:r>
        <w:t>数字系统设计</w:t>
      </w:r>
      <w:r>
        <w:rPr>
          <w:rFonts w:hint="eastAsia"/>
          <w:lang w:eastAsia="zh-CN"/>
        </w:rPr>
        <w:t>》</w:t>
      </w:r>
      <w:r>
        <w:rPr>
          <w:rFonts w:hint="eastAsia"/>
          <w:lang w:val="en-US" w:eastAsia="zh-CN"/>
        </w:rPr>
        <w:t>的两位任课老师：贾弘洋、刘勇攀老师对课程的精彩讲解，以及</w:t>
      </w:r>
      <w:r>
        <w:t>助教在实验讲解、Vivado 使用与论文写作方面提供的帮助。</w:t>
      </w:r>
    </w:p>
    <w:p w14:paraId="21E978A1">
      <w:pPr>
        <w:pStyle w:val="6"/>
        <w:rPr>
          <w:b/>
          <w:bCs/>
          <w:sz w:val="24"/>
          <w:szCs w:val="24"/>
        </w:rPr>
      </w:pPr>
      <w:r>
        <w:rPr>
          <w:b/>
          <w:bCs/>
          <w:sz w:val="24"/>
          <w:szCs w:val="24"/>
        </w:rPr>
        <w:t>参考文献</w:t>
      </w:r>
    </w:p>
    <w:p w14:paraId="47603C01">
      <w:pPr>
        <w:pStyle w:val="23"/>
      </w:pPr>
      <w:r>
        <w:t>K. Chellapilla, S. Puri, and P. Simard, “High performance convolutional neural networks for document processing,” in Proc. ICFHR, 2006.</w:t>
      </w:r>
    </w:p>
    <w:p w14:paraId="6F4D479A">
      <w:pPr>
        <w:pStyle w:val="23"/>
      </w:pPr>
      <w:r>
        <w:t>S. Han, J. Pool, J. Tran, and W. J. Dally, “Learning both weights and connections for efficient neural networks,” in Proc. NeurIPS, 2015.</w:t>
      </w:r>
    </w:p>
    <w:p w14:paraId="00AECDE7">
      <w:pPr>
        <w:pStyle w:val="23"/>
      </w:pPr>
      <w:r>
        <w:t>S. Han et al., “EIE: Efficient inference engine on compressed deep neural network,” in Proc. ISCA, 2016.</w:t>
      </w:r>
    </w:p>
    <w:p w14:paraId="681D5936">
      <w:pPr>
        <w:pStyle w:val="23"/>
      </w:pPr>
      <w:r>
        <w:t>J.-F. Zhang et al., “SNAP: An efficient sparse neural acceleration processor for unstructured sparse deep neural network inference,” IEEE J. Solid-State Circuits, 2021.</w:t>
      </w:r>
    </w:p>
    <w:p w14:paraId="5834331E">
      <w:pPr>
        <w:pStyle w:val="23"/>
      </w:pPr>
      <w:r>
        <w:t>AMD Xilinx, “Block Memory Generator v8.4 Product Guide (PG058),” 2021.</w:t>
      </w:r>
    </w:p>
    <w:p w14:paraId="77A022CA">
      <w:pPr>
        <w:pStyle w:val="23"/>
        <w:numPr>
          <w:numId w:val="0"/>
        </w:numPr>
        <w:ind w:leftChars="0"/>
      </w:pPr>
    </w:p>
    <w:sectPr>
      <w:type w:val="continuous"/>
      <w:pgSz w:w="12240" w:h="15840"/>
      <w:pgMar w:top="1080" w:right="893" w:bottom="1440" w:left="893"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0"/>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7"/>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val="0"/>
        <w:iCs w:val="0"/>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8"/>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3"/>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9"/>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 w:val="098F1CD1"/>
    <w:rsid w:val="43544E16"/>
    <w:rsid w:val="53083527"/>
    <w:rsid w:val="5B0D2022"/>
    <w:rsid w:val="61251748"/>
    <w:rsid w:val="63367C3C"/>
    <w:rsid w:val="64740A1C"/>
    <w:rsid w:val="6A554E4C"/>
    <w:rsid w:val="6CAB7C6F"/>
    <w:rsid w:val="6F832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Body Text"/>
    <w:basedOn w:val="1"/>
    <w:link w:val="16"/>
    <w:uiPriority w:val="0"/>
    <w:pPr>
      <w:tabs>
        <w:tab w:val="left" w:pos="288"/>
      </w:tabs>
      <w:spacing w:after="120" w:line="228" w:lineRule="auto"/>
      <w:ind w:firstLine="288"/>
      <w:jc w:val="both"/>
    </w:pPr>
    <w:rPr>
      <w:spacing w:val="-1"/>
      <w:lang w:val="zh-CN" w:eastAsia="zh-CN"/>
    </w:rPr>
  </w:style>
  <w:style w:type="paragraph" w:styleId="8">
    <w:name w:val="footer"/>
    <w:basedOn w:val="1"/>
    <w:link w:val="32"/>
    <w:uiPriority w:val="0"/>
    <w:pPr>
      <w:tabs>
        <w:tab w:val="center" w:pos="4680"/>
        <w:tab w:val="right" w:pos="9360"/>
      </w:tabs>
    </w:pPr>
  </w:style>
  <w:style w:type="paragraph" w:styleId="9">
    <w:name w:val="header"/>
    <w:basedOn w:val="1"/>
    <w:link w:val="31"/>
    <w:uiPriority w:val="0"/>
    <w:pPr>
      <w:tabs>
        <w:tab w:val="center" w:pos="4680"/>
        <w:tab w:val="right" w:pos="9360"/>
      </w:tabs>
    </w:pPr>
  </w:style>
  <w:style w:type="character" w:styleId="12">
    <w:name w:val="Hyperlink"/>
    <w:basedOn w:val="11"/>
    <w:uiPriority w:val="0"/>
    <w:rPr>
      <w:color w:val="0000FF"/>
      <w:u w:val="single"/>
    </w:rPr>
  </w:style>
  <w:style w:type="paragraph" w:customStyle="1" w:styleId="13">
    <w:name w:val="Abstract"/>
    <w:qForma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4">
    <w:name w:val="Affiliation"/>
    <w:uiPriority w:val="0"/>
    <w:pPr>
      <w:jc w:val="center"/>
    </w:pPr>
    <w:rPr>
      <w:rFonts w:ascii="Times New Roman" w:hAnsi="Times New Roman" w:eastAsia="宋体" w:cs="Times New Roman"/>
      <w:lang w:val="en-US" w:eastAsia="en-US" w:bidi="ar-SA"/>
    </w:rPr>
  </w:style>
  <w:style w:type="paragraph" w:customStyle="1" w:styleId="15">
    <w:name w:val="Author"/>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6">
    <w:name w:val="Body Text Char"/>
    <w:link w:val="7"/>
    <w:uiPriority w:val="0"/>
    <w:rPr>
      <w:spacing w:val="-1"/>
      <w:lang w:val="zh-CN" w:eastAsia="zh-CN"/>
    </w:rPr>
  </w:style>
  <w:style w:type="paragraph" w:customStyle="1" w:styleId="17">
    <w:name w:val="bullet list"/>
    <w:basedOn w:val="7"/>
    <w:uiPriority w:val="0"/>
    <w:pPr>
      <w:numPr>
        <w:ilvl w:val="0"/>
        <w:numId w:val="2"/>
      </w:numPr>
      <w:tabs>
        <w:tab w:val="clear" w:pos="648"/>
      </w:tabs>
      <w:ind w:left="576" w:hanging="288"/>
    </w:pPr>
  </w:style>
  <w:style w:type="paragraph" w:customStyle="1" w:styleId="18">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9">
    <w:name w:val="figure caption"/>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20">
    <w:name w:val="footnote"/>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1">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2">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3">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4">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5">
    <w:name w:val="table col head"/>
    <w:basedOn w:val="1"/>
    <w:uiPriority w:val="0"/>
    <w:rPr>
      <w:b/>
      <w:bCs/>
      <w:sz w:val="16"/>
      <w:szCs w:val="16"/>
    </w:rPr>
  </w:style>
  <w:style w:type="paragraph" w:customStyle="1" w:styleId="26">
    <w:name w:val="table col subhead"/>
    <w:basedOn w:val="25"/>
    <w:uiPriority w:val="0"/>
    <w:rPr>
      <w:i/>
      <w:iCs/>
      <w:sz w:val="15"/>
      <w:szCs w:val="15"/>
    </w:rPr>
  </w:style>
  <w:style w:type="paragraph" w:customStyle="1" w:styleId="27">
    <w:name w:val="table copy"/>
    <w:uiPriority w:val="0"/>
    <w:pPr>
      <w:jc w:val="both"/>
    </w:pPr>
    <w:rPr>
      <w:rFonts w:ascii="Times New Roman" w:hAnsi="Times New Roman" w:eastAsia="宋体" w:cs="Times New Roman"/>
      <w:sz w:val="16"/>
      <w:szCs w:val="16"/>
      <w:lang w:val="en-US" w:eastAsia="en-US" w:bidi="ar-SA"/>
    </w:rPr>
  </w:style>
  <w:style w:type="paragraph" w:customStyle="1" w:styleId="28">
    <w:name w:val="table footnote"/>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9">
    <w:name w:val="table head"/>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30">
    <w:name w:val="Keywords"/>
    <w:basedOn w:val="13"/>
    <w:qFormat/>
    <w:uiPriority w:val="0"/>
    <w:pPr>
      <w:spacing w:after="120"/>
      <w:ind w:firstLine="274"/>
    </w:pPr>
    <w:rPr>
      <w:i/>
    </w:rPr>
  </w:style>
  <w:style w:type="character" w:customStyle="1" w:styleId="31">
    <w:name w:val="Header Char"/>
    <w:basedOn w:val="11"/>
    <w:link w:val="9"/>
    <w:uiPriority w:val="0"/>
  </w:style>
  <w:style w:type="character" w:customStyle="1" w:styleId="32">
    <w:name w:val="Footer Char"/>
    <w:basedOn w:val="11"/>
    <w:link w:val="8"/>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Public copy</Company>
  <Pages>3</Pages>
  <Words>3903</Words>
  <Characters>5781</Characters>
  <Lines>102</Lines>
  <Paragraphs>28</Paragraphs>
  <TotalTime>2</TotalTime>
  <ScaleCrop>false</ScaleCrop>
  <LinksUpToDate>false</LinksUpToDate>
  <CharactersWithSpaces>6304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Public copy</dc:creator>
  <cp:lastModifiedBy>Public copy</cp:lastModifiedBy>
  <dcterms:modified xsi:type="dcterms:W3CDTF">2026-06-19T16:41:21Z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eyJoZGlkIjoiZDUxNzZiNTEzZWNkOTY1Zjc5ZTQ4ZTMwZmE4ZWUyMDgiLCJ1c2VySWQiOiI0MzM1OTY5NzcifQ==</vt:lpwstr>
  </property>
  <property fmtid="{D5CDD505-2E9C-101B-9397-08002B2CF9AE}" pid="3" name="KSOProductBuildVer">
    <vt:lpwstr>2052-12.1.0.26895</vt:lpwstr>
  </property>
  <property fmtid="{D5CDD505-2E9C-101B-9397-08002B2CF9AE}" pid="4" name="ICV">
    <vt:lpwstr>621C8552B0EB4C448AFEBAFEB39CF48C_12</vt:lpwstr>
  </property>
</Properties>
</file>