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81DFB">
      <w:pPr>
        <w:spacing w:line="480" w:lineRule="auto"/>
        <w:jc w:val="center"/>
        <w:rPr>
          <w:rFonts w:hint="eastAsia" w:ascii="黑体" w:hAnsi="黑体" w:eastAsia="黑体" w:cs="黑体"/>
          <w:sz w:val="30"/>
          <w:szCs w:val="30"/>
          <w:lang w:val="en-US" w:eastAsia="zh-CN"/>
        </w:rPr>
      </w:pPr>
      <w:bookmarkStart w:id="0" w:name="_GoBack"/>
      <w:r>
        <w:rPr>
          <w:rFonts w:hint="eastAsia" w:ascii="黑体" w:hAnsi="黑体" w:eastAsia="黑体" w:cs="黑体"/>
          <w:sz w:val="30"/>
          <w:szCs w:val="30"/>
          <w:lang w:val="en-US" w:eastAsia="zh-CN"/>
        </w:rPr>
        <w:t>在高质量发展的土壤里播种全新的当代价值</w:t>
      </w:r>
    </w:p>
    <w:bookmarkEnd w:id="0"/>
    <w:p w14:paraId="49B75408">
      <w:pPr>
        <w:spacing w:line="480" w:lineRule="auto"/>
        <w:jc w:val="right"/>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w:t>
      </w:r>
      <w:r>
        <w:rPr>
          <w:rFonts w:hint="eastAsia" w:ascii="黑体" w:hAnsi="黑体" w:eastAsia="黑体" w:cs="黑体"/>
          <w:sz w:val="30"/>
          <w:szCs w:val="30"/>
          <w:lang w:eastAsia="zh-CN"/>
        </w:rPr>
        <w:t>《</w:t>
      </w:r>
      <w:r>
        <w:rPr>
          <w:rFonts w:hint="eastAsia" w:ascii="黑体" w:hAnsi="黑体" w:eastAsia="黑体" w:cs="黑体"/>
          <w:sz w:val="30"/>
          <w:szCs w:val="30"/>
          <w:lang w:val="en-US" w:eastAsia="zh-CN"/>
        </w:rPr>
        <w:t>论十大关系》读书报告</w:t>
      </w:r>
    </w:p>
    <w:p w14:paraId="4F39116A">
      <w:pPr>
        <w:spacing w:line="360" w:lineRule="auto"/>
        <w:jc w:val="cente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陈天乐 [removed]</w:t>
      </w:r>
    </w:p>
    <w:p w14:paraId="72404C49">
      <w:pPr>
        <w:spacing w:line="360" w:lineRule="auto"/>
        <w:jc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fldChar w:fldCharType="begin"/>
      </w:r>
      <w:r>
        <w:rPr>
          <w:rFonts w:hint="default" w:ascii="Times New Roman" w:hAnsi="Times New Roman" w:eastAsia="黑体" w:cs="Times New Roman"/>
          <w:sz w:val="24"/>
          <w:szCs w:val="24"/>
          <w:lang w:val="en-US" w:eastAsia="zh-CN"/>
        </w:rPr>
        <w:instrText xml:space="preserve"> HYPERLINK "mailto:ctl22@mails.tsinghua.edu.cn" </w:instrText>
      </w:r>
      <w:r>
        <w:rPr>
          <w:rFonts w:hint="default" w:ascii="Times New Roman" w:hAnsi="Times New Roman" w:eastAsia="黑体" w:cs="Times New Roman"/>
          <w:sz w:val="24"/>
          <w:szCs w:val="24"/>
          <w:lang w:val="en-US" w:eastAsia="zh-CN"/>
        </w:rPr>
        <w:fldChar w:fldCharType="separate"/>
      </w:r>
      <w:r>
        <w:rPr>
          <w:rStyle w:val="5"/>
          <w:rFonts w:hint="default" w:ascii="Times New Roman" w:hAnsi="Times New Roman" w:eastAsia="黑体" w:cs="Times New Roman"/>
          <w:sz w:val="24"/>
          <w:szCs w:val="24"/>
          <w:lang w:val="en-US" w:eastAsia="zh-CN"/>
        </w:rPr>
        <w:t>ctl22@mails.tsinghua.edu.cn</w:t>
      </w:r>
      <w:r>
        <w:rPr>
          <w:rFonts w:hint="default" w:ascii="Times New Roman" w:hAnsi="Times New Roman" w:eastAsia="黑体" w:cs="Times New Roman"/>
          <w:sz w:val="24"/>
          <w:szCs w:val="24"/>
          <w:lang w:val="en-US" w:eastAsia="zh-CN"/>
        </w:rPr>
        <w:fldChar w:fldCharType="end"/>
      </w:r>
    </w:p>
    <w:p w14:paraId="3FBF1953">
      <w:pPr>
        <w:spacing w:line="360" w:lineRule="auto"/>
        <w:jc w:val="center"/>
        <w:rPr>
          <w:rFonts w:hint="default" w:ascii="Times New Roman" w:hAnsi="Times New Roman" w:eastAsia="黑体" w:cs="Times New Roman"/>
          <w:sz w:val="24"/>
          <w:szCs w:val="24"/>
          <w:lang w:val="en-US" w:eastAsia="zh-CN"/>
        </w:rPr>
      </w:pPr>
    </w:p>
    <w:p w14:paraId="6755FB29">
      <w:pPr>
        <w:spacing w:line="480" w:lineRule="auto"/>
        <w:ind w:firstLine="420" w:firstLineChars="0"/>
        <w:jc w:val="both"/>
        <w:rPr>
          <w:rFonts w:hint="eastAsia" w:ascii="宋体" w:hAnsi="宋体" w:eastAsia="宋体" w:cs="宋体"/>
          <w:i w:val="0"/>
          <w:iCs w:val="0"/>
          <w:sz w:val="24"/>
          <w:szCs w:val="24"/>
          <w:lang w:val="en-US" w:eastAsia="zh-CN"/>
        </w:rPr>
      </w:pPr>
      <w:r>
        <w:rPr>
          <w:rFonts w:ascii="宋体" w:hAnsi="宋体" w:eastAsia="宋体" w:cs="宋体"/>
          <w:i w:val="0"/>
          <w:iCs w:val="0"/>
          <w:sz w:val="24"/>
          <w:szCs w:val="24"/>
        </w:rPr>
        <w:t>《论十大关系》是毛泽东探索适合中国国情的社会主义建设道路的伟大著作</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lang w:val="en-US" w:eastAsia="zh-CN"/>
        </w:rPr>
        <w:t>文中从十个方面辩证地论述了当时我国进行社会主义建设需要重点关注的一系列重大关系。鄙以为可以从三大方面总结这十大关系针对的建设领域，分别是：经济建设和工业发展方向、生产关系和党政社会结构建设、对内对外关系。下从其提出这十大关系的社会背景、思维逻辑以及这篇对社会主义建设有巨大引领性的开山之作在目前全新的发展阶段有着怎样的指导作用。</w:t>
      </w:r>
      <w:r>
        <w:rPr>
          <w:rFonts w:hint="eastAsia" w:ascii="宋体" w:hAnsi="宋体" w:eastAsia="宋体" w:cs="宋体"/>
          <w:i w:val="0"/>
          <w:iCs w:val="0"/>
          <w:sz w:val="24"/>
          <w:szCs w:val="24"/>
          <w:lang w:val="en-US" w:eastAsia="zh-CN"/>
        </w:rPr>
        <w:br w:type="textWrapping"/>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《论十大关系》是毛泽东在中共中央政治局扩大会议上发表的讲话。正如原文所指出，在经历过朝鲜战争后，新的世界大战短时间还打不起来，可能有十年或者更长时间留给新中国进行大规模建设的和平时期</w:t>
      </w:r>
      <w:r>
        <w:rPr>
          <w:rStyle w:val="6"/>
          <w:rFonts w:hint="eastAsia" w:ascii="宋体" w:hAnsi="宋体" w:eastAsia="宋体" w:cs="宋体"/>
          <w:i w:val="0"/>
          <w:iCs w:val="0"/>
          <w:sz w:val="24"/>
          <w:szCs w:val="24"/>
          <w:lang w:val="en-US" w:eastAsia="zh-CN"/>
        </w:rPr>
        <w:footnoteReference w:id="0"/>
      </w:r>
      <w:r>
        <w:rPr>
          <w:rFonts w:hint="eastAsia" w:ascii="宋体" w:hAnsi="宋体" w:eastAsia="宋体" w:cs="宋体"/>
          <w:i w:val="0"/>
          <w:iCs w:val="0"/>
          <w:sz w:val="24"/>
          <w:szCs w:val="24"/>
          <w:lang w:val="en-US" w:eastAsia="zh-CN"/>
        </w:rPr>
        <w:t>，需要在建设工作开展前期把当下冲突矛盾最明显的关系指出；另外一方面，苏共二十大暴露出苏联目前建设社会主义社会出现的各种问题</w:t>
      </w:r>
      <w:r>
        <w:rPr>
          <w:rStyle w:val="6"/>
          <w:rFonts w:hint="eastAsia" w:ascii="宋体" w:hAnsi="宋体" w:eastAsia="宋体" w:cs="宋体"/>
          <w:i w:val="0"/>
          <w:iCs w:val="0"/>
          <w:sz w:val="24"/>
          <w:szCs w:val="24"/>
          <w:lang w:val="en-US" w:eastAsia="zh-CN"/>
        </w:rPr>
        <w:footnoteReference w:id="1"/>
      </w:r>
      <w:r>
        <w:rPr>
          <w:rFonts w:hint="eastAsia" w:ascii="宋体" w:hAnsi="宋体" w:eastAsia="宋体" w:cs="宋体"/>
          <w:i w:val="0"/>
          <w:iCs w:val="0"/>
          <w:sz w:val="24"/>
          <w:szCs w:val="24"/>
          <w:lang w:val="en-US" w:eastAsia="zh-CN"/>
        </w:rPr>
        <w:t>，学习苏联应当“取其精华，去其糟泊”，盲目照搬并不是长久之计，应当结合国内实情发展有中国特色的社会主义建设道路；同时，经过第一个五年计划，经济建设和社会生产关系等都出现了很明显的问题，如经济结构、经济发展重心、发展方式等，可能是由于建设经验不足，对经济发展规律不了解，整体规划出现了“急躁冒进”的现象</w:t>
      </w:r>
      <w:r>
        <w:rPr>
          <w:rStyle w:val="6"/>
          <w:rFonts w:hint="eastAsia" w:ascii="宋体" w:hAnsi="宋体" w:eastAsia="宋体" w:cs="宋体"/>
          <w:i w:val="0"/>
          <w:iCs w:val="0"/>
          <w:sz w:val="24"/>
          <w:szCs w:val="24"/>
          <w:lang w:val="en-US" w:eastAsia="zh-CN"/>
        </w:rPr>
        <w:footnoteReference w:id="2"/>
      </w:r>
      <w:r>
        <w:rPr>
          <w:rFonts w:hint="eastAsia" w:ascii="宋体" w:hAnsi="宋体" w:eastAsia="宋体" w:cs="宋体"/>
          <w:i w:val="0"/>
          <w:iCs w:val="0"/>
          <w:sz w:val="24"/>
          <w:szCs w:val="24"/>
          <w:lang w:val="en-US" w:eastAsia="zh-CN"/>
        </w:rPr>
        <w:t>。</w:t>
      </w:r>
    </w:p>
    <w:p w14:paraId="22C87956">
      <w:pPr>
        <w:spacing w:line="480" w:lineRule="auto"/>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指出这十个问题时，毛泽东之所以每一个关系都分析得“拳拳到肉”，一针见血，是因为毛泽东结合了中国国情，以动态、长远的发展眼光分析中国社会主义建设道路。同时其采用了唯物辩证法中“两点论”和“重点论”分析了当时社会矛盾运动，这种基于矛盾分析法的思考逻辑帮助毛泽东找到了解决建设问题的办法，制定了正确的路线方针。例如，在分析建设重工业和轻工业、农业发展时，毛泽东就将“两点论”与“重点论”所结合，发展重工业是建设重点，但是不是只顾重工业和忽略了轻工业与农业，提高轻工业和农业的发展力度反而可以为重工业发展奠定厚实基础，并非顾此失彼的关系。再比如，谈到向外国学习时，毛泽东指出每个民族都有优点与缺点，是两点并存的，向国外学习的方针是学习一切民族、一切国家的长处，但是是批判地学，而不是盲目照搬，坚持马克思列宁主义地普遍真理同中国革命的具体实践相结合</w:t>
      </w:r>
      <w:r>
        <w:rPr>
          <w:rStyle w:val="6"/>
          <w:rFonts w:hint="eastAsia" w:ascii="宋体" w:hAnsi="宋体" w:eastAsia="宋体" w:cs="宋体"/>
          <w:sz w:val="24"/>
          <w:szCs w:val="24"/>
          <w:lang w:val="en-US" w:eastAsia="zh-CN"/>
        </w:rPr>
        <w:footnoteReference w:id="3"/>
      </w:r>
      <w:r>
        <w:rPr>
          <w:rFonts w:hint="eastAsia" w:ascii="宋体" w:hAnsi="宋体" w:eastAsia="宋体" w:cs="宋体"/>
          <w:sz w:val="24"/>
          <w:szCs w:val="24"/>
          <w:lang w:val="en-US" w:eastAsia="zh-CN"/>
        </w:rPr>
        <w:t>。中国由于长期处于半殖民地、半封建社会，科技水平严重落后，是切切实实的“一穷二白”。但是在毛泽东看来，这既是缺点也是优点。缺点是落后，还需要长时间的发展来追赶当前世界的发达国家，优点是发展空间广，发展动力足，如一张白纸正好写字。这种思维方式将辩证思维体现的淋漓尽致。</w:t>
      </w:r>
    </w:p>
    <w:p w14:paraId="285F0256">
      <w:pPr>
        <w:spacing w:line="48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那或许有人会问，这些观点经过几十年时间的推移，是否已经对当前中国社会主义建设道路起不了指导意义呢？恰恰相反，在目前步入以经济高质量为目标的发展阶段，《论十大关系》迸发出了新的指导意义。同时，毛泽东在发表观点时所采用的唯物辩证法、坚持结合实际的理念等，对我们个人的学习生活也有指导教育意义。</w:t>
      </w:r>
    </w:p>
    <w:p w14:paraId="000AC953">
      <w:pPr>
        <w:spacing w:line="48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在以高质量发展为目标的发展阶段，需要保证质的有效提高的同时促进量的稳步增长。为了实现这一点，首先需要巩固以人民为中心的发展方针</w:t>
      </w:r>
      <w:r>
        <w:rPr>
          <w:rStyle w:val="6"/>
          <w:rFonts w:hint="eastAsia" w:ascii="宋体" w:hAnsi="宋体" w:eastAsia="宋体" w:cs="宋体"/>
          <w:sz w:val="24"/>
          <w:szCs w:val="24"/>
          <w:lang w:val="en-US" w:eastAsia="zh-CN"/>
        </w:rPr>
        <w:footnoteReference w:id="4"/>
      </w:r>
      <w:r>
        <w:rPr>
          <w:rFonts w:hint="eastAsia" w:ascii="宋体" w:hAnsi="宋体" w:eastAsia="宋体" w:cs="宋体"/>
          <w:sz w:val="24"/>
          <w:szCs w:val="24"/>
          <w:lang w:val="en-US" w:eastAsia="zh-CN"/>
        </w:rPr>
        <w:t>，也就是本文中强调生产关系中“不能只顾一头”的理念。为了提高工人的劳动条件和劳动积极性，统筹兼顾的方针应当是坚持以人民为中心，充分激发社会活力，让人民在经济发展中的主人翁地位得到巩固与提高。其次，在发展中坚持中央的领导，坚持党在国家治理中的领导核心地位。尽管马克思理论中认为无产阶级专政只是资本主义社会与共产主义社会的一个过渡时期，未来这种国家形式会逐渐“消亡”，但是现在是“非有不可”的</w:t>
      </w:r>
      <w:r>
        <w:rPr>
          <w:rStyle w:val="6"/>
          <w:rFonts w:hint="eastAsia" w:ascii="宋体" w:hAnsi="宋体" w:eastAsia="宋体" w:cs="宋体"/>
          <w:sz w:val="24"/>
          <w:szCs w:val="24"/>
          <w:lang w:val="en-US" w:eastAsia="zh-CN"/>
        </w:rPr>
        <w:footnoteReference w:id="5"/>
      </w:r>
      <w:r>
        <w:rPr>
          <w:rFonts w:hint="eastAsia" w:ascii="宋体" w:hAnsi="宋体" w:eastAsia="宋体" w:cs="宋体"/>
          <w:sz w:val="24"/>
          <w:szCs w:val="24"/>
          <w:lang w:val="en-US" w:eastAsia="zh-CN"/>
        </w:rPr>
        <w:t>，是无产阶级政党理论的内禀要求。所以习总书记多次强调中共领导是中国特色社会主义发展的最本质特征。再者，毛泽东无时不刻在强调将马列主义同中国国情相结合，每个国家的发展由于其历史传承、文化传统、经济基础等因素影响，是殊途同归的。几十年前毛泽东强调要大力发展重工业，而现在的新型工业（如数字经济、人工智能）可以看作和当时的重工业相当的地位，这很自然的可以将文中提到的发展方法论迁移到当今对新型工业的发展。</w:t>
      </w:r>
    </w:p>
    <w:p w14:paraId="0D9368B7">
      <w:pPr>
        <w:spacing w:line="480" w:lineRule="auto"/>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在日常学习、科研生活中，本文体现的思想与价值观也有积极的指导意义。在讨论到党与非党关系的时候，毛泽东希望其他民主党派可以多提意见，有道理的吸取、改进，没道理的批评、反驳</w:t>
      </w:r>
      <w:r>
        <w:rPr>
          <w:rStyle w:val="6"/>
          <w:rFonts w:hint="eastAsia" w:ascii="宋体" w:hAnsi="宋体" w:eastAsia="宋体" w:cs="宋体"/>
          <w:sz w:val="24"/>
          <w:szCs w:val="24"/>
          <w:lang w:val="en-US" w:eastAsia="zh-CN"/>
        </w:rPr>
        <w:footnoteReference w:id="6"/>
      </w:r>
      <w:r>
        <w:rPr>
          <w:rFonts w:hint="eastAsia" w:ascii="宋体" w:hAnsi="宋体" w:eastAsia="宋体" w:cs="宋体"/>
          <w:sz w:val="24"/>
          <w:szCs w:val="24"/>
          <w:lang w:val="en-US" w:eastAsia="zh-CN"/>
        </w:rPr>
        <w:t>，在日常学习时遇到大家各抒己见时正是需要这种态度。不仅如此，毛泽东对待犯错误的同志采取“惩前毖后，治病救人”的态度</w:t>
      </w:r>
      <w:r>
        <w:rPr>
          <w:rStyle w:val="6"/>
          <w:rFonts w:hint="eastAsia" w:ascii="宋体" w:hAnsi="宋体" w:eastAsia="宋体" w:cs="宋体"/>
          <w:sz w:val="24"/>
          <w:szCs w:val="24"/>
          <w:lang w:val="en-US" w:eastAsia="zh-CN"/>
        </w:rPr>
        <w:footnoteReference w:id="7"/>
      </w:r>
      <w:r>
        <w:rPr>
          <w:rFonts w:hint="eastAsia" w:ascii="宋体" w:hAnsi="宋体" w:eastAsia="宋体" w:cs="宋体"/>
          <w:sz w:val="24"/>
          <w:szCs w:val="24"/>
          <w:lang w:val="en-US" w:eastAsia="zh-CN"/>
        </w:rPr>
        <w:t>。没有不会犯错的人，不犯错的人反而会为了少犯错误而蹑手蹑脚，无法从错误中汲取宝贵的教训。在科研和学习中经常会遇到犯错与挫折，对于自身的错误与挫折，不应该过度沉湎丧志，“过去山川实不平，将来道路终须达”，应当及时改正、吸取经验；对于他人的错误，我们应当包容，积极伸出援手，方能得人心。</w:t>
      </w:r>
    </w:p>
    <w:p w14:paraId="62414835">
      <w:pPr>
        <w:spacing w:line="480" w:lineRule="auto"/>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总而言之，《论十大关系》是一篇经典的社会主义建设治理著作，在当今不同的新时代背景下，重新阅读这篇佳作仍然能汲取丰富的思想养分，对个人的学习生活、对</w:t>
      </w:r>
      <w:r>
        <w:rPr>
          <w:rFonts w:ascii="宋体" w:hAnsi="宋体" w:eastAsia="宋体" w:cs="宋体"/>
          <w:sz w:val="24"/>
          <w:szCs w:val="24"/>
        </w:rPr>
        <w:t>全面建设社会主义现代化国家</w:t>
      </w:r>
      <w:r>
        <w:rPr>
          <w:rFonts w:hint="eastAsia" w:ascii="宋体" w:hAnsi="宋体" w:eastAsia="宋体" w:cs="宋体"/>
          <w:sz w:val="24"/>
          <w:szCs w:val="24"/>
          <w:lang w:val="en-US" w:eastAsia="zh-CN"/>
        </w:rPr>
        <w:t>提供有力的理论指导与思想支撑。</w:t>
      </w:r>
    </w:p>
    <w:p w14:paraId="20E3D151">
      <w:pPr>
        <w:spacing w:line="360" w:lineRule="auto"/>
        <w:jc w:val="both"/>
        <w:rPr>
          <w:rFonts w:hint="default" w:ascii="宋体" w:hAnsi="宋体" w:eastAsia="宋体" w:cs="宋体"/>
          <w:sz w:val="24"/>
          <w:szCs w:val="24"/>
          <w:lang w:val="en-US" w:eastAsia="zh-CN"/>
        </w:rPr>
      </w:pPr>
    </w:p>
    <w:p w14:paraId="0B0CD926">
      <w:pPr>
        <w:spacing w:line="360" w:lineRule="auto"/>
        <w:jc w:val="both"/>
        <w:rPr>
          <w:rFonts w:hint="default" w:ascii="宋体" w:hAnsi="宋体" w:eastAsia="宋体" w:cs="宋体"/>
          <w:sz w:val="24"/>
          <w:szCs w:val="24"/>
          <w:lang w:val="en-US" w:eastAsia="zh-CN"/>
        </w:rPr>
      </w:pPr>
    </w:p>
    <w:p w14:paraId="5E74F7B5">
      <w:pPr>
        <w:spacing w:line="360" w:lineRule="auto"/>
        <w:jc w:val="both"/>
        <w:rPr>
          <w:rFonts w:hint="default" w:ascii="宋体" w:hAnsi="宋体" w:eastAsia="宋体" w:cs="宋体"/>
          <w:sz w:val="24"/>
          <w:szCs w:val="24"/>
          <w:lang w:val="en-US" w:eastAsia="zh-CN"/>
        </w:rPr>
      </w:pPr>
    </w:p>
    <w:p w14:paraId="39754035">
      <w:pPr>
        <w:spacing w:line="360" w:lineRule="auto"/>
        <w:ind w:firstLine="0" w:firstLineChars="0"/>
        <w:jc w:val="left"/>
        <w:rPr>
          <w:rFonts w:hint="eastAsia" w:ascii="Times New Roman" w:hAnsi="Times New Roman" w:eastAsia="黑体" w:cs="Times New Roman"/>
          <w:sz w:val="30"/>
          <w:szCs w:val="30"/>
          <w:lang w:val="en-US" w:eastAsia="zh-CN"/>
        </w:rPr>
      </w:pPr>
      <w:r>
        <w:rPr>
          <w:rFonts w:hint="eastAsia" w:ascii="Times New Roman" w:hAnsi="Times New Roman" w:eastAsia="黑体" w:cs="Times New Roman"/>
          <w:sz w:val="30"/>
          <w:szCs w:val="30"/>
          <w:lang w:val="en-US" w:eastAsia="zh-CN"/>
        </w:rPr>
        <w:t>参考文献</w:t>
      </w:r>
    </w:p>
    <w:p w14:paraId="3AF06BBF">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ascii="宋体" w:hAnsi="宋体" w:eastAsia="宋体" w:cs="宋体"/>
          <w:sz w:val="21"/>
          <w:szCs w:val="21"/>
        </w:rPr>
        <w:t>《毛泽东文集》第7卷</w:t>
      </w:r>
      <w:r>
        <w:rPr>
          <w:rFonts w:hint="eastAsia" w:ascii="宋体" w:hAnsi="宋体" w:eastAsia="宋体" w:cs="宋体"/>
          <w:sz w:val="21"/>
          <w:szCs w:val="21"/>
          <w:lang w:val="en-US" w:eastAsia="zh-CN"/>
        </w:rPr>
        <w:t>[M].</w:t>
      </w:r>
      <w:r>
        <w:rPr>
          <w:rFonts w:ascii="宋体" w:hAnsi="宋体" w:eastAsia="宋体" w:cs="宋体"/>
          <w:sz w:val="21"/>
          <w:szCs w:val="21"/>
        </w:rPr>
        <w:t>北京：人民出版社，1999年</w:t>
      </w:r>
      <w:r>
        <w:rPr>
          <w:rFonts w:hint="eastAsia" w:ascii="宋体" w:hAnsi="宋体" w:eastAsia="宋体" w:cs="宋体"/>
          <w:sz w:val="21"/>
          <w:szCs w:val="21"/>
          <w:lang w:val="en-US" w:eastAsia="zh-CN"/>
        </w:rPr>
        <w:t>.</w:t>
      </w:r>
    </w:p>
    <w:p w14:paraId="1A5AA59D">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ascii="宋体" w:hAnsi="宋体" w:eastAsia="宋体" w:cs="宋体"/>
          <w:sz w:val="21"/>
          <w:szCs w:val="21"/>
        </w:rPr>
        <w:t>《马克思恩格斯选集》第3卷</w:t>
      </w:r>
      <w:r>
        <w:rPr>
          <w:rFonts w:hint="eastAsia" w:ascii="宋体" w:hAnsi="宋体" w:eastAsia="宋体" w:cs="宋体"/>
          <w:sz w:val="21"/>
          <w:szCs w:val="21"/>
          <w:lang w:val="en-US" w:eastAsia="zh-CN"/>
        </w:rPr>
        <w:t>[M].北京：</w:t>
      </w:r>
      <w:r>
        <w:rPr>
          <w:rFonts w:ascii="宋体" w:hAnsi="宋体" w:eastAsia="宋体" w:cs="宋体"/>
          <w:sz w:val="21"/>
          <w:szCs w:val="21"/>
        </w:rPr>
        <w:t>人民出版社</w:t>
      </w:r>
      <w:r>
        <w:rPr>
          <w:rFonts w:hint="eastAsia" w:ascii="宋体" w:hAnsi="宋体" w:eastAsia="宋体" w:cs="宋体"/>
          <w:sz w:val="21"/>
          <w:szCs w:val="21"/>
          <w:lang w:eastAsia="zh-CN"/>
        </w:rPr>
        <w:t>，</w:t>
      </w:r>
      <w:r>
        <w:rPr>
          <w:rFonts w:ascii="宋体" w:hAnsi="宋体" w:eastAsia="宋体" w:cs="宋体"/>
          <w:sz w:val="21"/>
          <w:szCs w:val="21"/>
        </w:rPr>
        <w:t>1995年</w:t>
      </w:r>
      <w:r>
        <w:rPr>
          <w:rFonts w:hint="eastAsia" w:ascii="宋体" w:hAnsi="宋体" w:eastAsia="宋体" w:cs="宋体"/>
          <w:sz w:val="21"/>
          <w:szCs w:val="21"/>
          <w:lang w:val="en-US" w:eastAsia="zh-CN"/>
        </w:rPr>
        <w:t>.</w:t>
      </w:r>
    </w:p>
    <w:p w14:paraId="6C604F25">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李齐：《毛泽东&lt;论十大关系&gt;的深刻内涵及其当代价值》，《学习月刊》2025年第3期。</w:t>
      </w:r>
    </w:p>
    <w:p w14:paraId="3179187B">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陈仪：《毛泽东社会主义现代化话语体系的建构逻辑及当代价值——基于&lt;论十大关系&gt;的文本考察》，《中共南京市委党校学报》2024年第6期。</w:t>
      </w:r>
    </w:p>
    <w:p w14:paraId="55BB7B3E">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杨戏戏,王辉：《&lt;论十大关系&gt;对推进经济高质量发展的启示》，《求知》2024年第3期。</w:t>
      </w:r>
    </w:p>
    <w:p w14:paraId="776577EC">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马晓星,屈爱静：《论习近平对毛泽东国家治理思想的创新发展——基于&lt;论十大关系&gt;的一种理解》，《中共银川市委党校学报》2023年第1期。</w:t>
      </w:r>
    </w:p>
    <w:p w14:paraId="21C8BB5C">
      <w:pPr>
        <w:numPr>
          <w:ilvl w:val="0"/>
          <w:numId w:val="0"/>
        </w:numPr>
        <w:spacing w:line="360" w:lineRule="auto"/>
        <w:jc w:val="left"/>
        <w:rPr>
          <w:rFonts w:hint="eastAsia" w:ascii="宋体" w:hAnsi="宋体" w:eastAsia="宋体" w:cs="宋体"/>
          <w:sz w:val="24"/>
          <w:szCs w:val="24"/>
          <w:lang w:val="en-US" w:eastAsia="zh-CN"/>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r>
        <w:separator/>
      </w:r>
    </w:p>
  </w:footnote>
  <w:footnote w:type="continuationSeparator" w:id="17">
    <w:p>
      <w:r>
        <w:continuationSeparator/>
      </w:r>
    </w:p>
  </w:footnote>
  <w:footnote w:id="0">
    <w:p w14:paraId="4C4FA029">
      <w:pPr>
        <w:pStyle w:val="2"/>
        <w:snapToGrid w:val="0"/>
        <w:rPr>
          <w:rFonts w:hint="default" w:eastAsia="宋体"/>
          <w:sz w:val="21"/>
          <w:szCs w:val="21"/>
          <w:lang w:val="en-US" w:eastAsia="zh-CN"/>
        </w:rPr>
      </w:pPr>
      <w:r>
        <w:rPr>
          <w:rStyle w:val="6"/>
        </w:rPr>
        <w:footnoteRef/>
      </w:r>
      <w:r>
        <w:t xml:space="preserve"> </w:t>
      </w:r>
      <w:r>
        <w:rPr>
          <w:rFonts w:hint="eastAsia"/>
          <w:sz w:val="21"/>
          <w:szCs w:val="21"/>
          <w:lang w:eastAsia="zh-CN"/>
        </w:rPr>
        <w:t>《</w:t>
      </w:r>
      <w:r>
        <w:rPr>
          <w:rFonts w:ascii="宋体" w:hAnsi="宋体" w:eastAsia="宋体" w:cs="宋体"/>
          <w:sz w:val="21"/>
          <w:szCs w:val="21"/>
        </w:rPr>
        <w:t>毛泽东文集》第7卷，北京：人民出版社，1999年</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第26页。</w:t>
      </w:r>
    </w:p>
  </w:footnote>
  <w:footnote w:id="1">
    <w:p w14:paraId="21629A1A">
      <w:pPr>
        <w:pStyle w:val="2"/>
        <w:snapToGrid w:val="0"/>
      </w:pPr>
      <w:r>
        <w:rPr>
          <w:rStyle w:val="6"/>
        </w:rPr>
        <w:footnoteRef/>
      </w:r>
      <w:r>
        <w:t xml:space="preserve"> </w:t>
      </w:r>
      <w:r>
        <w:rPr>
          <w:rFonts w:hint="eastAsia"/>
          <w:sz w:val="21"/>
          <w:szCs w:val="21"/>
          <w:lang w:eastAsia="zh-CN"/>
        </w:rPr>
        <w:t>《</w:t>
      </w:r>
      <w:r>
        <w:rPr>
          <w:rFonts w:ascii="宋体" w:hAnsi="宋体" w:eastAsia="宋体" w:cs="宋体"/>
          <w:sz w:val="21"/>
          <w:szCs w:val="21"/>
        </w:rPr>
        <w:t>毛泽东文集》第7卷，北京：人民出版社，1999年</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第23页。</w:t>
      </w:r>
    </w:p>
  </w:footnote>
  <w:footnote w:id="2">
    <w:p w14:paraId="7B1EF156">
      <w:pPr>
        <w:pStyle w:val="2"/>
        <w:snapToGrid w:val="0"/>
        <w:rPr>
          <w:rFonts w:hint="default"/>
          <w:lang w:val="en-US"/>
        </w:rPr>
      </w:pPr>
      <w:r>
        <w:rPr>
          <w:rStyle w:val="6"/>
        </w:rPr>
        <w:footnoteRef/>
      </w:r>
      <w:r>
        <w:t xml:space="preserve"> </w:t>
      </w:r>
      <w:r>
        <w:rPr>
          <w:rFonts w:hint="eastAsia" w:ascii="宋体" w:hAnsi="宋体" w:eastAsia="宋体" w:cs="宋体"/>
          <w:sz w:val="21"/>
          <w:szCs w:val="21"/>
          <w:lang w:val="en-US" w:eastAsia="zh-CN"/>
        </w:rPr>
        <w:t>李齐：《毛泽东&lt;论十大关系&gt;的深刻内涵及其当代价值》，《学习月刊》2025年第3期，第21页。</w:t>
      </w:r>
    </w:p>
  </w:footnote>
  <w:footnote w:id="3">
    <w:p w14:paraId="2093436D">
      <w:pPr>
        <w:pStyle w:val="2"/>
        <w:snapToGrid w:val="0"/>
        <w:rPr>
          <w:rFonts w:hint="default" w:eastAsia="宋体"/>
          <w:sz w:val="21"/>
          <w:szCs w:val="21"/>
          <w:lang w:val="en-US" w:eastAsia="zh-CN"/>
        </w:rPr>
      </w:pPr>
      <w:r>
        <w:rPr>
          <w:rStyle w:val="6"/>
          <w:sz w:val="21"/>
          <w:szCs w:val="21"/>
        </w:rPr>
        <w:footnoteRef/>
      </w:r>
      <w:r>
        <w:t xml:space="preserve"> </w:t>
      </w:r>
      <w:r>
        <w:rPr>
          <w:rFonts w:hint="eastAsia"/>
          <w:sz w:val="21"/>
          <w:szCs w:val="21"/>
          <w:lang w:eastAsia="zh-CN"/>
        </w:rPr>
        <w:t>《</w:t>
      </w:r>
      <w:r>
        <w:rPr>
          <w:rFonts w:ascii="宋体" w:hAnsi="宋体" w:eastAsia="宋体" w:cs="宋体"/>
          <w:sz w:val="21"/>
          <w:szCs w:val="21"/>
        </w:rPr>
        <w:t>毛泽东文集》第7卷，北京：人民出版社，1999年</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第41-44页。</w:t>
      </w:r>
    </w:p>
    <w:p w14:paraId="0B4BD971">
      <w:pPr>
        <w:pStyle w:val="2"/>
        <w:snapToGrid w:val="0"/>
      </w:pPr>
    </w:p>
  </w:footnote>
  <w:footnote w:id="4">
    <w:p w14:paraId="30A8D4F5">
      <w:pPr>
        <w:pStyle w:val="2"/>
        <w:snapToGrid w:val="0"/>
        <w:rPr>
          <w:rFonts w:hint="default" w:ascii="宋体" w:hAnsi="宋体" w:eastAsia="宋体" w:cs="宋体"/>
          <w:sz w:val="21"/>
          <w:szCs w:val="21"/>
          <w:lang w:val="en-US"/>
        </w:rPr>
      </w:pPr>
      <w:r>
        <w:rPr>
          <w:rStyle w:val="6"/>
        </w:rPr>
        <w:footnoteRef/>
      </w:r>
      <w:r>
        <w:t xml:space="preserve"> </w:t>
      </w:r>
      <w:r>
        <w:rPr>
          <w:rFonts w:hint="eastAsia" w:ascii="宋体" w:hAnsi="宋体" w:eastAsia="宋体" w:cs="宋体"/>
          <w:sz w:val="21"/>
          <w:szCs w:val="21"/>
          <w:lang w:val="en-US" w:eastAsia="zh-CN"/>
        </w:rPr>
        <w:t>杨戏戏,王辉：《&lt;论十大关系&gt;对推进经济高质量发展的启示》，《求知》2024年第3期，第59-60页。</w:t>
      </w:r>
    </w:p>
  </w:footnote>
  <w:footnote w:id="5">
    <w:p w14:paraId="1F170367">
      <w:pPr>
        <w:pStyle w:val="2"/>
        <w:snapToGrid w:val="0"/>
      </w:pPr>
      <w:r>
        <w:rPr>
          <w:rStyle w:val="6"/>
        </w:rPr>
        <w:footnoteRef/>
      </w:r>
      <w:r>
        <w:t xml:space="preserve"> </w:t>
      </w:r>
      <w:r>
        <w:rPr>
          <w:rFonts w:hint="eastAsia"/>
          <w:sz w:val="21"/>
          <w:szCs w:val="21"/>
          <w:lang w:eastAsia="zh-CN"/>
        </w:rPr>
        <w:t>《</w:t>
      </w:r>
      <w:r>
        <w:rPr>
          <w:rFonts w:ascii="宋体" w:hAnsi="宋体" w:eastAsia="宋体" w:cs="宋体"/>
          <w:sz w:val="21"/>
          <w:szCs w:val="21"/>
        </w:rPr>
        <w:t>毛泽东文集》第7卷</w:t>
      </w:r>
      <w:r>
        <w:rPr>
          <w:rFonts w:hint="eastAsia" w:ascii="宋体" w:hAnsi="宋体" w:eastAsia="宋体" w:cs="宋体"/>
          <w:sz w:val="21"/>
          <w:szCs w:val="21"/>
          <w:lang w:val="en-US" w:eastAsia="zh-CN"/>
        </w:rPr>
        <w:t>，</w:t>
      </w:r>
      <w:r>
        <w:rPr>
          <w:rFonts w:ascii="宋体" w:hAnsi="宋体" w:eastAsia="宋体" w:cs="宋体"/>
          <w:sz w:val="21"/>
          <w:szCs w:val="21"/>
        </w:rPr>
        <w:t>北京：人民出版社，1999年</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第35-36页。</w:t>
      </w:r>
    </w:p>
  </w:footnote>
  <w:footnote w:id="6">
    <w:p w14:paraId="0BFBA3C6">
      <w:pPr>
        <w:pStyle w:val="2"/>
        <w:snapToGrid w:val="0"/>
      </w:pPr>
      <w:r>
        <w:rPr>
          <w:rStyle w:val="6"/>
        </w:rPr>
        <w:footnoteRef/>
      </w:r>
      <w:r>
        <w:t xml:space="preserve"> </w:t>
      </w:r>
      <w:r>
        <w:rPr>
          <w:rFonts w:hint="eastAsia"/>
          <w:sz w:val="21"/>
          <w:szCs w:val="21"/>
          <w:lang w:eastAsia="zh-CN"/>
        </w:rPr>
        <w:t>《</w:t>
      </w:r>
      <w:r>
        <w:rPr>
          <w:rFonts w:ascii="宋体" w:hAnsi="宋体" w:eastAsia="宋体" w:cs="宋体"/>
          <w:sz w:val="21"/>
          <w:szCs w:val="21"/>
        </w:rPr>
        <w:t>毛泽东文集》第7卷，北京：人民出版社，1999年</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第34-36页。</w:t>
      </w:r>
    </w:p>
  </w:footnote>
  <w:footnote w:id="7">
    <w:p w14:paraId="7BC17A71">
      <w:pPr>
        <w:pStyle w:val="2"/>
        <w:snapToGrid w:val="0"/>
      </w:pPr>
      <w:r>
        <w:rPr>
          <w:rStyle w:val="6"/>
        </w:rPr>
        <w:footnoteRef/>
      </w:r>
      <w:r>
        <w:t xml:space="preserve"> </w:t>
      </w:r>
      <w:r>
        <w:rPr>
          <w:rFonts w:hint="eastAsia"/>
          <w:sz w:val="21"/>
          <w:szCs w:val="21"/>
          <w:lang w:eastAsia="zh-CN"/>
        </w:rPr>
        <w:t>《</w:t>
      </w:r>
      <w:r>
        <w:rPr>
          <w:rFonts w:ascii="宋体" w:hAnsi="宋体" w:eastAsia="宋体" w:cs="宋体"/>
          <w:sz w:val="21"/>
          <w:szCs w:val="21"/>
        </w:rPr>
        <w:t>毛泽东文集》第7卷，北京：人民出版社，1999年</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第39-40页。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450E5D"/>
    <w:multiLevelType w:val="singleLevel"/>
    <w:tmpl w:val="C6450E5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
    <w:footnote w:id="1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43199"/>
    <w:rsid w:val="0A0F3F5C"/>
    <w:rsid w:val="0C8F345D"/>
    <w:rsid w:val="11C56637"/>
    <w:rsid w:val="12CB18A0"/>
    <w:rsid w:val="16D57191"/>
    <w:rsid w:val="1A424B3D"/>
    <w:rsid w:val="215975E6"/>
    <w:rsid w:val="224C2B70"/>
    <w:rsid w:val="38945C20"/>
    <w:rsid w:val="3B6873B4"/>
    <w:rsid w:val="3D8766A9"/>
    <w:rsid w:val="3E79027E"/>
    <w:rsid w:val="43291B47"/>
    <w:rsid w:val="46C37F26"/>
    <w:rsid w:val="543A5532"/>
    <w:rsid w:val="58EF1411"/>
    <w:rsid w:val="59C91E6A"/>
    <w:rsid w:val="63AA42B6"/>
    <w:rsid w:val="64145E6E"/>
    <w:rsid w:val="648A46E4"/>
    <w:rsid w:val="69830D9B"/>
    <w:rsid w:val="6DFF2328"/>
    <w:rsid w:val="7B892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note text"/>
    <w:basedOn w:val="1"/>
    <w:link w:val="7"/>
    <w:uiPriority w:val="0"/>
    <w:pPr>
      <w:snapToGrid w:val="0"/>
      <w:jc w:val="left"/>
    </w:pPr>
    <w:rPr>
      <w:sz w:val="18"/>
    </w:rPr>
  </w:style>
  <w:style w:type="character" w:styleId="5">
    <w:name w:val="Hyperlink"/>
    <w:basedOn w:val="4"/>
    <w:uiPriority w:val="0"/>
    <w:rPr>
      <w:color w:val="0000FF"/>
      <w:u w:val="single"/>
    </w:rPr>
  </w:style>
  <w:style w:type="character" w:styleId="6">
    <w:name w:val="footnote reference"/>
    <w:basedOn w:val="4"/>
    <w:uiPriority w:val="0"/>
    <w:rPr>
      <w:vertAlign w:val="superscript"/>
    </w:rPr>
  </w:style>
  <w:style w:type="character" w:customStyle="1" w:styleId="7">
    <w:name w:val="脚注文本 Char"/>
    <w:link w:val="2"/>
    <w:qFormat/>
    <w:uiPriority w:val="0"/>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2263</Words>
  <Characters>2319</Characters>
  <Lines>0</Lines>
  <Paragraphs>0</Paragraphs>
  <TotalTime>1</TotalTime>
  <ScaleCrop>false</ScaleCrop>
  <LinksUpToDate>false</LinksUpToDate>
  <CharactersWithSpaces>2321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2025-04-27T05:52:00Z</dcterms:created>
  <dc:creator>Public copy</dc:creator>
  <cp:lastModifiedBy>Public copy</cp:lastModifiedBy>
  <dcterms:modified xsi:type="dcterms:W3CDTF">2025-04-27T14:54:07Z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eyJoZGlkIjoiZDUxNzZiNTEzZWNkOTY1Zjc5ZTQ4ZTMwZmE4ZWUyMDgiLCJ1c2VySWQiOiIyNjQ1MjQyMzQifQ==</vt:lpwstr>
  </property>
  <property fmtid="{D5CDD505-2E9C-101B-9397-08002B2CF9AE}" pid="4" name="ICV">
    <vt:lpwstr>4E032B8EC2E146CE8C2B0A363368A627_12</vt:lpwstr>
  </property>
</Properties>
</file>