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Sales Trend and Inventory Optimization Analysis</w:t>
        <w:br/>
        <w:t>of Anand Pharma, Darbhanga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A Mid-Term Project Report | Primary Data Pathway (Jan–June 2026)</w:t>
      </w:r>
    </w:p>
    <w:p/>
    <w:p/>
    <w:p/>
    <w:p/>
    <w:p>
      <w:pPr>
        <w:jc w:val="center"/>
      </w:pPr>
      <w:r>
        <w:rPr>
          <w:rFonts w:ascii="Times New Roman" w:hAnsi="Times New Roman"/>
          <w:sz w:val="22"/>
        </w:rPr>
        <w:t>Submitted by:</w:t>
        <w:br/>
        <w:t>Name: Shudhanshu Kumar Yadav | Roll Number: 23F1000204</w:t>
        <w:br/>
        <w:t>Email: 23f1000204@ds.study.iitm.ac.in</w:t>
        <w:br/>
        <w:br/>
        <w:t>IITM Online BS Degree Program</w:t>
        <w:br/>
        <w:t>Indian Institute of Technology Madras, Chennai</w:t>
        <w:br/>
        <w:t>August 2026</w:t>
      </w:r>
    </w:p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Content / Index Page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Table of contents indicating major report sections, sub-sections, and page numbers: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Section No.</w:t>
            </w:r>
          </w:p>
        </w:tc>
        <w:tc>
          <w:tcPr>
            <w:tcW w:type="dxa" w:w="332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Section Heading</w:t>
            </w:r>
          </w:p>
        </w:tc>
        <w:tc>
          <w:tcPr>
            <w:tcW w:type="dxa" w:w="332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Page No.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1.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Executive Summary and Title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2.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Proof of Data Originality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2.5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Problem Statement and Business Objectives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3.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Metadata and Descriptive Statistics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3.1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Metadata Definition and Dataset Structure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3.2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Descriptive Statistics and Quantitative Summary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4.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Detailed Explanation of Analysis Process / Method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4.1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Data Cleaning and Preprocessing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4.2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Analytical Methodologies and Mathematical Abstractions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5.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Results and Findings (Preliminary Insights)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5.1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ABC Classification &amp; Pareto Analysis Findings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5.2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FSN Inventory Movement &amp; Expiry Risk Findings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5.3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Monthly Sales Trends &amp; Seasonal Demand Fluctuations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5.4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 xml:space="preserve">  Moving Average Demand Forecast Results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6.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Interpretation of Results and Recommendations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</w:tr>
    </w:tbl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1. Executive Summary and Title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Project Title: Sales Trend and Inventory Optimization Analysis of Anand Pharma, Darbhanga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Anand Pharma is a retail B2C pharmacy store established in 2018 and operated by Mr. Krishan Mohan Yadav in Donar, Darbhanga, Bihar (GSTIN: 10AEY3656A1Z4), procuring primarily from M/s. Sonu Pharma, Patna. The store encounters inventory challenges including seasonal demand fluctuations and intuition-based restocking decisions, resulting in stockouts of high-demand items, overstocking, and capital loss from expired medicines.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Primary sales, purchase, and stock data spanning 6 consecutive months (January to June 2026) were collected directly from physical vouchers and sales registers via remote digital transmission. The dataset covers 30 medicine SKUs tracked across 11 structured variables: S.No, Medicine Name, Category, MRP (₹), Purchase Price (₹), Opening Stock, Purchase Qty, Sales Qty, Closing Stock, Total Revenue (₹), and Expiry Date. Key descriptive statistics show mean revenue of ₹43,521.83 per SKU (median ₹41,108.50), total store revenue of ₹13,05,655, and an average gross margin of ~29.8%.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Quantitative techniques — ABC Analysis, FSN Classification, Pareto (80/20) Analysis, and 3-Month Moving Average Demand Forecasting — were executed. Preliminary findings reveal that 14 Category A medicines (46.7% items) generate 69.0% of revenue; 18 SKUs drive 80% cumulative revenue (Pareto cutoff); 5 Non-Moving SKUs carry high expiry risk; and May 2026 recorded peak revenue (₹2,43,998 — a 23.8% surge over April). Moving Average forecasts for July 2026 were generated for all SKUs to guide proactive procurement.</w:t>
      </w:r>
    </w:p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2. Proof of Data Originality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Primary data for 6 consecutive months (January 2026 to June 2026) was collected directly from M/s. Anand Pharma, Donar, Darbhanga, Bihar (GSTIN: 10AEY3656A1Z4; Proprietor: Mr. Krishan Mohan Yadav) through a remote digital pathway (scanned purchase tax invoices and daily sales registers shared via WhatsApp, cross-verified via telephonic calls).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● Primary Sales, Purchase &amp; Inventory Dataset (Jan–June 2026): [Click Here]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● Distributor Purchase Invoices &amp; GST Details (M/s. Sonu Pharma): [Click Here]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● Pharmacy Firm Images &amp; Servicescape Photos: [Click Here]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● Interaction Video (4-minute interaction with Proprietor in Hindi): [Click Here]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● Official Authorization Letterhead (Signed &amp; Stamped): [Click Here]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● Academic Location &amp; Remote Data Collection Clarification Note: [Click Here]</w:t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2.5 Problem Statement and Business Objectives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Problem Statement 1: Minimizing Stockouts of High-Demand Medicines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Intuition-based purchasing causes stockouts of high-demand items (e.g., Ceroxim CV 500, Abzolid 600), leading to lost revenue. Objective: Apply ABC/Pareto classification to maintain 15-day safety buffer stocks for Category A items.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Problem Statement 2: Preventing Capital Loss from Unsold Expired Stock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Slow-moving SKUs risk expiring unsold, causing direct capital loss. Objective: Execute FSN classification to flag Non-Moving SKUs for credit returns to distributors 60 days before expiration.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/>
          <w:i w:val="0"/>
          <w:sz w:val="22"/>
        </w:rPr>
        <w:t>Problem Statement 3: Optimizing Seasonal Procurement via Demand Forecasting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Monthly sales fluctuate seasonally (May 2026 revenue surged 23.8% to ₹2,43,998). Objective: Apply 3-Month Moving Average forecasting to adjust procurement 15-20% in advance of peak seasons.</w:t>
      </w:r>
    </w:p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3. Metadata and Descriptive Statistics</w:t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3.1 Metadata Definition and Dataset Structure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The dataset covers 6 monthly sheets (JAN2026 to JUN2026) across 30 SKUs. Compact metadata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Sheet Name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94"/>
            <w:vMerge w:val="restart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1. 'JAN2026'</w:t>
              <w:br/>
              <w:t>2. 'FEB2026'</w:t>
              <w:br/>
              <w:t>3. 'MAR2026'</w:t>
              <w:br/>
              <w:t>4. 'APR2026'</w:t>
              <w:br/>
              <w:t>5. 'MAY2026'</w:t>
              <w:br/>
              <w:t>6. 'JUN2026'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Medicine Name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Brand / generic name of the medicine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Category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Therapeutic category (Antibiotic, Gastric Care, etc.)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MRP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Rupees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Maximum retail selling price per strip/unit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Purchase Price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Rupees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Wholesale procurement cost per strip/unit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Opening Stock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strips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 of strips in stock at beginning of month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Purchase Quantity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strips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 of strips purchased during the month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Sale Quantity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strips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 of strips sold during the month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Closing Stock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strips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 of strips in stock at end of month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Total Revenue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Rupees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Gross revenue generated (Sale Quantity x MRP)</w:t>
            </w:r>
          </w:p>
        </w:tc>
      </w:tr>
      <w:tr>
        <w:tc>
          <w:tcPr>
            <w:tcW w:type="dxa" w:w="1994"/>
            <w:vMerge/>
          </w:tcPr>
          <w:p/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Expiry Date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MM/YYYY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Expiration date printed on medicine packaging</w:t>
            </w:r>
          </w:p>
        </w:tc>
      </w:tr>
    </w:tbl>
    <w:p>
      <w:pPr>
        <w:spacing w:after="80" w:before="0" w:line="312" w:lineRule="auto"/>
        <w:jc w:val="center"/>
      </w:pPr>
      <w:r>
        <w:rPr>
          <w:rFonts w:ascii="Times New Roman" w:hAnsi="Times New Roman"/>
          <w:b w:val="0"/>
          <w:i/>
          <w:sz w:val="19"/>
        </w:rPr>
        <w:t>Table 1: Metadata Definition — Compact Monthly Dataset Structure</w:t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3.2 Descriptive Statistics and Quantitative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Statistical Metric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MRP (₹)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Purchase Price (₹)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6M Sales Qty (Strips)</w:t>
            </w:r>
          </w:p>
        </w:tc>
        <w:tc>
          <w:tcPr>
            <w:tcW w:type="dxa" w:w="1994"/>
            <w:shd w:fill="1a73e8"/>
          </w:tcPr>
          <w:p>
            <w:pPr>
              <w:spacing w:after="20" w:before="20" w:line="240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6M Total Revenue (₹)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Sample Count (N)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Mean (Average)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₹192.30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₹134.87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223.40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₹43,521.83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Median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₹179.00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₹124.00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225.00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₹41,108.50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Standard Deviation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₹110.75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₹80.00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35.68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₹25,890.82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Minimum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₹45.00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₹28.00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152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₹7,605.00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Maximum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₹480.00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₹340.00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317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₹1,15,680.00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Range (Max - Min)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₹435.00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₹312.00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165</w:t>
            </w:r>
          </w:p>
        </w:tc>
        <w:tc>
          <w:tcPr>
            <w:tcW w:type="dxa" w:w="199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₹1,08,075.00</w:t>
            </w:r>
          </w:p>
        </w:tc>
      </w:tr>
    </w:tbl>
    <w:p>
      <w:pPr>
        <w:spacing w:after="80" w:before="0" w:line="312" w:lineRule="auto"/>
        <w:jc w:val="center"/>
      </w:pPr>
      <w:r>
        <w:rPr>
          <w:rFonts w:ascii="Times New Roman" w:hAnsi="Times New Roman"/>
          <w:b w:val="0"/>
          <w:i/>
          <w:sz w:val="19"/>
        </w:rPr>
        <w:t>Table 2: Descriptive Statistics — 30 Medicine SKUs (Jan–June 2026)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/>
          <w:sz w:val="22"/>
        </w:rPr>
        <w:t>Key Insights: 1. Mean revenue (₹43,521.83) &gt; Median (₹41,108.50) confirms right-skewed revenue distribution where top SKUs drive majority sales. 2. Sales volume ranges from 152 to 317 strips (SD: 35.68), justifying FSN velocity segmentation. 3. Average gross profit margin per strip is ₹57.43 (~29.8%).</w:t>
      </w:r>
    </w:p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4. Detailed Explanation of Analysis Process / Method</w:t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4.1 Data Cleaning and Preprocessing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Product Standardization: Variant brand strings across monthly bills (e.g., "Ceroxim CV", "CEROXIM-500") were merged into unified standard SKU identifiers.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Wholesale Rate Imputation: Missing purchase rates were backfilled using master distributor tax invoices from M/s. Sonu Pharma, Patna.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3. Mathematical Balance Reconciliation: Every row verified via Closing Stock = Opening Stock + Purchase Qty - Sales Qty.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4. Expiry Date Standardization: Dates formatted to MM/YYYY objects for shelf-life countdown modeling.</w:t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4.2 Analytical Methodologies and Mathematical Abstractions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Method 1: ABC Analysis — Periodic Consumption Value PCV = Sales Qty x Purchase Price. Ranked by cumulative revenue: Category A (top 70%), Category B (next 20%), Category C (bottom 10%). Linkage: Identifies priority buffer SKUs (PS1).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Method 2: FSN Analysis — 6-month sales velocity: Fast (Sales &gt;= 250), Slow (190 &lt;= Sales &lt; 250), Non-Moving (Sales &lt; 190). Linkage: Flags high-risk expiring inventory for returns (PS2).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Method 3: Pareto Analysis (80/20 Rule) — Identifies minimal SKU subset driving 80% revenue. Linkage: Focuses purchasing capital on vital few SKUs.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Method 4: 3-Month Moving Average Demand Forecast — F_(t+1) = (S_t + S_(t-1) + S_(t-2)) / 3. Linkage: Predicts seasonal demand shifts for advance ordering (PS3).</w:t>
      </w:r>
    </w:p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5. Results and Findings (Preliminary Insights)</w:t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5.1 ABC Classification &amp; Pareto Analysis Findings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Total 6-month store revenue reached ₹13,05,655.00 across 30 SKUs. ABC breakdown: Category A (14 SKUs, 46.7% items) = ₹9,00,660.00 (69.0% revenue); Category B (8 SKUs) = ₹2,72,427.00 (20.9%); Category C (8 SKUs) = ₹1,32,568.00 (10.2%). Top 3 SKUs: Ceroxim CV 500 (₹1,15,680), Abzolid 600 (₹92,568), Chyawanprash 2KG (₹98,100).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105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C_Donu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5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1: ABC Revenue &amp; Item Distribution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Pareto 80/20 Cutoff: Exactly 18 out of 30 SKUs (60% items) generate 80% of cumulative store revenue, providing a clear cutoff for inventory capital allocation.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068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reto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68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2: Pareto 80/20 Revenue Contribution</w:t>
      </w:r>
    </w:p>
    <w:p>
      <w:r>
        <w:br w:type="page"/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5.2 FSN Inventory Movement &amp; Expiry Risk Findings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FSN Breakdown: Fast Moving F (5 SKUs, 16.7%), Slow Moving S (20 SKUs, 66.7%), Non-Moving N (5 SKUs, 16.7%). 5 Non-Moving SKUs carrying high expiry risk: Gentalab 30ml Inj (169 units), Dexalife Inj 30ml (208 units), Moxib D Eye Drop (152 units), Alamin Plus Cap (170 units), Dolo Pain Spray (168 units).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1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SN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3: FSN Movement &amp; Expiry Risk Items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ABC-FSN Matrix: Category A - Slow Moving items (10 SKUs) form the largest segment, requiring strict reorder point management to prevent stockouts.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155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ABC_FS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1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4: ABC-FSN Priority Matrix</w:t>
      </w:r>
    </w:p>
    <w:p>
      <w:r>
        <w:br w:type="page"/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5.3 Monthly Sales Trends &amp; Seasonal Demand Fluctuations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Monthly Store Revenue: Jan (₹2,20,925), Feb (₹2,14,824), Mar (₹2,07,518), Apr (₹1,97,038 - lowest), May (₹2,43,998 - 23.8% pre-monsoon surge), Jun (₹2,21,352). Antibiotics (₹2,87,988) and Gastric Care (₹1,63,259) drive &gt;34% of revenue.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01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nthly_Revenue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0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5: Monthly Revenue &amp; Sales Volume Trend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080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ategory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8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6: Revenue by Therapeutic Category</w:t>
      </w:r>
    </w:p>
    <w:p>
      <w:r>
        <w:br w:type="page"/>
      </w:r>
    </w:p>
    <w:p>
      <w:pPr>
        <w:pStyle w:val="Heading2"/>
        <w:spacing w:before="200" w:after="80" w:line="312" w:lineRule="auto"/>
      </w:pPr>
      <w:r>
        <w:rPr>
          <w:rFonts w:ascii="Times New Roman" w:hAnsi="Times New Roman"/>
          <w:color w:val="000000"/>
          <w:sz w:val="24"/>
        </w:rPr>
        <w:t>5.4 Moving Average Demand Forecast Results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July 2026 Demand Forecasts (3-Month SMA): Ceroxim CV 500 (45 strips), Abzolid 600 (37 strips), Chyawanprash 2KG (32 units - seasonal drop), Chymotas Forte (26 strips). SMA provides a conservative, lag-adjusted baseline for advance ordering.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712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ving_Average_Forec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7: 3-Month Moving Average Demand Forecast (Top SKUs)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23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ales_vs_Revenue_Bub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8: Quantity vs Revenue Bubble Chart (Size = MRP)</w:t>
      </w:r>
    </w:p>
    <w:p>
      <w:r>
        <w:br w:type="page"/>
      </w:r>
    </w:p>
    <w:p>
      <w:pPr>
        <w:pStyle w:val="Heading1"/>
        <w:spacing w:before="200" w:after="80" w:line="312" w:lineRule="auto"/>
      </w:pPr>
      <w:r>
        <w:rPr>
          <w:rFonts w:ascii="Times New Roman" w:hAnsi="Times New Roman"/>
          <w:color w:val="000000"/>
          <w:sz w:val="28"/>
        </w:rPr>
        <w:t>6. Interpretation of Results and Recommendations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Category A Safety Buffer Stocking (Addresses PS1): Maintain a 15-day safety buffer for Category A SKUs (Ceroxim CV, Abzolid) using Reorder Point = Avg Daily Sales x Lead Time + Buffer.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Pre-Expiry Credit Returns (Addresses PS2): Implement a 60-day pre-expiry audit to return 5 Non-Moving SKUs (Gentalab Inj, Dexalife Inj) to distributor M/s. Sonu Pharma for credit notes.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3. Seasonal Advance Ordering (Addresses PS3): Increase Antibiotic and Gastric orders by 15-20% in April to capture the May-June pre-monsoon demand surge.</w:t>
      </w:r>
    </w:p>
    <w:p>
      <w:pPr>
        <w:spacing w:after="80" w:before="0" w:line="312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4. Digital Stock Audit Transition: Transition from manual registers to weekly Excel digital tracking for automated low-stock alerts.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102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rofit_Mar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9: Profit Margin Analysis across 30 SKUs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117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tock_Mov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11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center"/>
      </w:pPr>
      <w:r>
        <w:rPr>
          <w:rFonts w:ascii="Times New Roman" w:hAnsi="Times New Roman"/>
          <w:i/>
          <w:sz w:val="19"/>
        </w:rPr>
        <w:t>Figure 10: Stock Movement Pattern (Top 5 SKUs)</w:t>
      </w:r>
    </w:p>
    <w:sectPr w:rsidR="00FC693F" w:rsidRPr="0006063C" w:rsidSect="00034616">
      <w:footerReference w:type="default" r:id="rId1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9"/>
      </w:rPr>
      <w:fldChar w:fldCharType="begin"/>
    </w:r>
    <w:r>
      <w:rPr>
        <w:rFonts w:ascii="Times New Roman" w:hAnsi="Times New Roman"/>
        <w:sz w:val="19"/>
      </w:rPr>
      <w:instrText xml:space="preserve"> PAGE </w:instrText>
    </w:r>
    <w:r>
      <w:rPr>
        <w:rFonts w:ascii="Times New Roman" w:hAnsi="Times New Roman"/>
        <w:sz w:val="19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