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Sales Trend and Inventory Optimization Analysis</w:t>
        <w:br/>
        <w:t>of Anand Pharma, Darbhanga</w:t>
      </w:r>
    </w:p>
    <w:p/>
    <w:p>
      <w:pPr>
        <w:jc w:val="center"/>
      </w:pPr>
      <w:r>
        <w:rPr>
          <w:rFonts w:ascii="Times New Roman" w:hAnsi="Times New Roman"/>
          <w:i/>
          <w:sz w:val="26"/>
        </w:rPr>
        <w:t>A Final Project Report for the BDM Capstone Project</w:t>
        <w:br/>
        <w:t>(Primary Data Pathway — Observation Period: January 2026 to June 2026)</w:t>
      </w:r>
    </w:p>
    <w:p/>
    <w:p/>
    <w:p/>
    <w:p>
      <w:pPr>
        <w:jc w:val="center"/>
      </w:pPr>
      <w:r>
        <w:rPr>
          <w:rFonts w:ascii="Times New Roman" w:hAnsi="Times New Roman"/>
          <w:sz w:val="24"/>
        </w:rPr>
        <w:t>Submitted by:</w:t>
        <w:br/>
        <w:br/>
        <w:t>Name: Shudhanshu Kumar Yadav</w:t>
        <w:br/>
        <w:t>Roll Number: 23F1000204</w:t>
        <w:br/>
        <w:t>Email: 23f1000204@ds.study.iitm.ac.in</w:t>
        <w:br/>
        <w:br/>
        <w:t>IITM Online BS Degree Program</w:t>
        <w:br/>
        <w:t>Indian Institute of Technology Madras, Chennai</w:t>
        <w:br/>
        <w:t>September 2026</w:t>
      </w:r>
    </w:p>
    <w:p>
      <w:r>
        <w:br w:type="page"/>
      </w:r>
    </w:p>
    <w:p>
      <w:pPr>
        <w:tabs>
          <w:tab w:pos="9071" w:val="right"/>
        </w:tabs>
        <w:spacing w:before="240" w:after="320"/>
      </w:pPr>
      <w:r>
        <w:rPr>
          <w:rFonts w:ascii="Times New Roman" w:hAnsi="Times New Roman"/>
          <w:b/>
          <w:color w:val="1A49E8"/>
          <w:sz w:val="32"/>
        </w:rPr>
        <w:t>Contents</w:t>
        <w:tab/>
      </w:r>
      <w:r>
        <w:rPr>
          <w:rFonts w:ascii="Times New Roman" w:hAnsi="Times New Roman"/>
          <w:b/>
          <w:color w:val="1A49E8"/>
          <w:sz w:val="32"/>
        </w:rPr>
        <w:t>Page No.</w:t>
      </w:r>
    </w:p>
    <w:p>
      <w:pPr>
        <w:tabs>
          <w:tab w:pos="9071" w:val="right"/>
        </w:tabs>
        <w:spacing w:before="80" w:after="120" w:line="300" w:lineRule="auto"/>
      </w:pPr>
      <w:r>
        <w:rPr>
          <w:rFonts w:ascii="Times New Roman" w:hAnsi="Times New Roman"/>
          <w:b/>
          <w:sz w:val="23"/>
        </w:rPr>
        <w:t xml:space="preserve">1.    </w:t>
      </w:r>
      <w:r>
        <w:rPr>
          <w:rFonts w:ascii="Times New Roman" w:hAnsi="Times New Roman"/>
          <w:b/>
          <w:sz w:val="23"/>
        </w:rPr>
        <w:t>Executive Summary and Title</w:t>
        <w:tab/>
      </w:r>
      <w:r>
        <w:rPr>
          <w:rFonts w:ascii="Times New Roman" w:hAnsi="Times New Roman"/>
          <w:b/>
          <w:sz w:val="23"/>
        </w:rPr>
        <w:t>3</w:t>
      </w:r>
    </w:p>
    <w:p>
      <w:pPr>
        <w:tabs>
          <w:tab w:pos="9071" w:val="right"/>
        </w:tabs>
        <w:spacing w:before="80" w:after="120" w:line="300" w:lineRule="auto"/>
      </w:pPr>
      <w:r>
        <w:rPr>
          <w:rFonts w:ascii="Times New Roman" w:hAnsi="Times New Roman"/>
          <w:b/>
          <w:sz w:val="23"/>
        </w:rPr>
        <w:t xml:space="preserve">2.    </w:t>
      </w:r>
      <w:r>
        <w:rPr>
          <w:rFonts w:ascii="Times New Roman" w:hAnsi="Times New Roman"/>
          <w:b/>
          <w:sz w:val="23"/>
        </w:rPr>
        <w:t>Detailed Explanation of Analysis Process/Method</w:t>
        <w:tab/>
      </w:r>
      <w:r>
        <w:rPr>
          <w:rFonts w:ascii="Times New Roman" w:hAnsi="Times New Roman"/>
          <w:b/>
          <w:sz w:val="23"/>
        </w:rPr>
        <w:t>4-7</w:t>
      </w:r>
    </w:p>
    <w:p>
      <w:pPr>
        <w:tabs>
          <w:tab w:pos="9071" w:val="right"/>
        </w:tabs>
        <w:spacing w:before="40" w:after="60" w:line="300" w:lineRule="auto"/>
        <w:ind w:left="567"/>
      </w:pPr>
      <w:r>
        <w:rPr>
          <w:rFonts w:ascii="Times New Roman" w:hAnsi="Times New Roman"/>
          <w:b w:val="0"/>
          <w:sz w:val="23"/>
        </w:rPr>
        <w:t xml:space="preserve">2.1    </w:t>
      </w:r>
      <w:r>
        <w:rPr>
          <w:rFonts w:ascii="Times New Roman" w:hAnsi="Times New Roman"/>
          <w:b w:val="0"/>
          <w:sz w:val="23"/>
        </w:rPr>
        <w:t>Data Cleaning and Preprocessing</w:t>
        <w:tab/>
      </w:r>
      <w:r>
        <w:rPr>
          <w:rFonts w:ascii="Times New Roman" w:hAnsi="Times New Roman"/>
          <w:b w:val="0"/>
          <w:sz w:val="23"/>
        </w:rPr>
        <w:t>4-5</w:t>
      </w:r>
    </w:p>
    <w:p>
      <w:pPr>
        <w:tabs>
          <w:tab w:pos="9071" w:val="right"/>
        </w:tabs>
        <w:spacing w:before="40" w:after="60" w:line="300" w:lineRule="auto"/>
        <w:ind w:left="567"/>
      </w:pPr>
      <w:r>
        <w:rPr>
          <w:rFonts w:ascii="Times New Roman" w:hAnsi="Times New Roman"/>
          <w:b w:val="0"/>
          <w:sz w:val="23"/>
        </w:rPr>
        <w:t xml:space="preserve">2.2    </w:t>
      </w:r>
      <w:r>
        <w:rPr>
          <w:rFonts w:ascii="Times New Roman" w:hAnsi="Times New Roman"/>
          <w:b w:val="0"/>
          <w:sz w:val="23"/>
        </w:rPr>
        <w:t>Explanation of Method/Analysis Used</w:t>
        <w:tab/>
      </w:r>
      <w:r>
        <w:rPr>
          <w:rFonts w:ascii="Times New Roman" w:hAnsi="Times New Roman"/>
          <w:b w:val="0"/>
          <w:sz w:val="23"/>
        </w:rPr>
        <w:t>5-7</w:t>
      </w:r>
    </w:p>
    <w:p>
      <w:pPr>
        <w:tabs>
          <w:tab w:pos="9071" w:val="right"/>
        </w:tabs>
        <w:spacing w:before="80" w:after="120" w:line="300" w:lineRule="auto"/>
      </w:pPr>
      <w:r>
        <w:rPr>
          <w:rFonts w:ascii="Times New Roman" w:hAnsi="Times New Roman"/>
          <w:b/>
          <w:sz w:val="23"/>
        </w:rPr>
        <w:t xml:space="preserve">3.    </w:t>
      </w:r>
      <w:r>
        <w:rPr>
          <w:rFonts w:ascii="Times New Roman" w:hAnsi="Times New Roman"/>
          <w:b/>
          <w:sz w:val="23"/>
        </w:rPr>
        <w:t>Results and Findings</w:t>
        <w:tab/>
      </w:r>
      <w:r>
        <w:rPr>
          <w:rFonts w:ascii="Times New Roman" w:hAnsi="Times New Roman"/>
          <w:b/>
          <w:sz w:val="23"/>
        </w:rPr>
        <w:t>8-15</w:t>
      </w:r>
    </w:p>
    <w:p>
      <w:pPr>
        <w:tabs>
          <w:tab w:pos="9071" w:val="right"/>
        </w:tabs>
        <w:spacing w:before="40" w:after="60" w:line="300" w:lineRule="auto"/>
        <w:ind w:left="567"/>
      </w:pPr>
      <w:r>
        <w:rPr>
          <w:rFonts w:ascii="Times New Roman" w:hAnsi="Times New Roman"/>
          <w:b w:val="0"/>
          <w:sz w:val="23"/>
        </w:rPr>
        <w:t xml:space="preserve">3.1    </w:t>
      </w:r>
      <w:r>
        <w:rPr>
          <w:rFonts w:ascii="Times New Roman" w:hAnsi="Times New Roman"/>
          <w:b w:val="0"/>
          <w:sz w:val="23"/>
        </w:rPr>
        <w:t>ABC Consumption Value &amp; Pareto (80/20) Revenue Analysis</w:t>
        <w:tab/>
      </w:r>
      <w:r>
        <w:rPr>
          <w:rFonts w:ascii="Times New Roman" w:hAnsi="Times New Roman"/>
          <w:b w:val="0"/>
          <w:sz w:val="23"/>
        </w:rPr>
        <w:t>8-9</w:t>
      </w:r>
    </w:p>
    <w:p>
      <w:pPr>
        <w:tabs>
          <w:tab w:pos="9071" w:val="right"/>
        </w:tabs>
        <w:spacing w:before="40" w:after="60" w:line="300" w:lineRule="auto"/>
        <w:ind w:left="567"/>
      </w:pPr>
      <w:r>
        <w:rPr>
          <w:rFonts w:ascii="Times New Roman" w:hAnsi="Times New Roman"/>
          <w:b w:val="0"/>
          <w:sz w:val="23"/>
        </w:rPr>
        <w:t xml:space="preserve">3.2    </w:t>
      </w:r>
      <w:r>
        <w:rPr>
          <w:rFonts w:ascii="Times New Roman" w:hAnsi="Times New Roman"/>
          <w:b w:val="0"/>
          <w:sz w:val="23"/>
        </w:rPr>
        <w:t>FSN Inventory Movement Velocity &amp; Expiry Risk Analysis</w:t>
        <w:tab/>
      </w:r>
      <w:r>
        <w:rPr>
          <w:rFonts w:ascii="Times New Roman" w:hAnsi="Times New Roman"/>
          <w:b w:val="0"/>
          <w:sz w:val="23"/>
        </w:rPr>
        <w:t>9-11</w:t>
      </w:r>
    </w:p>
    <w:p>
      <w:pPr>
        <w:tabs>
          <w:tab w:pos="9071" w:val="right"/>
        </w:tabs>
        <w:spacing w:before="40" w:after="60" w:line="300" w:lineRule="auto"/>
        <w:ind w:left="567"/>
      </w:pPr>
      <w:r>
        <w:rPr>
          <w:rFonts w:ascii="Times New Roman" w:hAnsi="Times New Roman"/>
          <w:b w:val="0"/>
          <w:sz w:val="23"/>
        </w:rPr>
        <w:t xml:space="preserve">3.3    </w:t>
      </w:r>
      <w:r>
        <w:rPr>
          <w:rFonts w:ascii="Times New Roman" w:hAnsi="Times New Roman"/>
          <w:b w:val="0"/>
          <w:sz w:val="23"/>
        </w:rPr>
        <w:t>Monthly Sales Trends &amp; Category Revenue Distribution</w:t>
        <w:tab/>
      </w:r>
      <w:r>
        <w:rPr>
          <w:rFonts w:ascii="Times New Roman" w:hAnsi="Times New Roman"/>
          <w:b w:val="0"/>
          <w:sz w:val="23"/>
        </w:rPr>
        <w:t>11-13</w:t>
      </w:r>
    </w:p>
    <w:p>
      <w:pPr>
        <w:tabs>
          <w:tab w:pos="9071" w:val="right"/>
        </w:tabs>
        <w:spacing w:before="40" w:after="60" w:line="300" w:lineRule="auto"/>
        <w:ind w:left="567"/>
      </w:pPr>
      <w:r>
        <w:rPr>
          <w:rFonts w:ascii="Times New Roman" w:hAnsi="Times New Roman"/>
          <w:b w:val="0"/>
          <w:sz w:val="23"/>
        </w:rPr>
        <w:t xml:space="preserve">3.4    </w:t>
      </w:r>
      <w:r>
        <w:rPr>
          <w:rFonts w:ascii="Times New Roman" w:hAnsi="Times New Roman"/>
          <w:b w:val="0"/>
          <w:sz w:val="23"/>
        </w:rPr>
        <w:t>Multi-Model Demand Forecasting (SMA &amp; Exp. Smoothing)</w:t>
        <w:tab/>
      </w:r>
      <w:r>
        <w:rPr>
          <w:rFonts w:ascii="Times New Roman" w:hAnsi="Times New Roman"/>
          <w:b w:val="0"/>
          <w:sz w:val="23"/>
        </w:rPr>
        <w:t>13-15</w:t>
      </w:r>
    </w:p>
    <w:p>
      <w:pPr>
        <w:tabs>
          <w:tab w:pos="9071" w:val="right"/>
        </w:tabs>
        <w:spacing w:before="80" w:after="120" w:line="300" w:lineRule="auto"/>
      </w:pPr>
      <w:r>
        <w:rPr>
          <w:rFonts w:ascii="Times New Roman" w:hAnsi="Times New Roman"/>
          <w:b/>
          <w:sz w:val="23"/>
        </w:rPr>
        <w:t xml:space="preserve">4.    </w:t>
      </w:r>
      <w:r>
        <w:rPr>
          <w:rFonts w:ascii="Times New Roman" w:hAnsi="Times New Roman"/>
          <w:b/>
          <w:sz w:val="23"/>
        </w:rPr>
        <w:t>Interpretation of Results and Recommendations</w:t>
        <w:tab/>
      </w:r>
      <w:r>
        <w:rPr>
          <w:rFonts w:ascii="Times New Roman" w:hAnsi="Times New Roman"/>
          <w:b/>
          <w:sz w:val="23"/>
        </w:rPr>
        <w:t>16-18</w:t>
      </w:r>
    </w:p>
    <w:p>
      <w:pPr>
        <w:tabs>
          <w:tab w:pos="9071" w:val="right"/>
        </w:tabs>
        <w:spacing w:before="40" w:after="60" w:line="300" w:lineRule="auto"/>
        <w:ind w:left="567"/>
      </w:pPr>
      <w:r>
        <w:rPr>
          <w:rFonts w:ascii="Times New Roman" w:hAnsi="Times New Roman"/>
          <w:b w:val="0"/>
          <w:sz w:val="23"/>
        </w:rPr>
        <w:t xml:space="preserve">4.1    </w:t>
      </w:r>
      <w:r>
        <w:rPr>
          <w:rFonts w:ascii="Times New Roman" w:hAnsi="Times New Roman"/>
          <w:b w:val="0"/>
          <w:sz w:val="23"/>
        </w:rPr>
        <w:t>Actionable Recommendations &amp; Decision Linkage</w:t>
        <w:tab/>
      </w:r>
      <w:r>
        <w:rPr>
          <w:rFonts w:ascii="Times New Roman" w:hAnsi="Times New Roman"/>
          <w:b w:val="0"/>
          <w:sz w:val="23"/>
        </w:rPr>
        <w:t>16-17</w:t>
      </w:r>
    </w:p>
    <w:p>
      <w:pPr>
        <w:tabs>
          <w:tab w:pos="9071" w:val="right"/>
        </w:tabs>
        <w:spacing w:before="40" w:after="60" w:line="300" w:lineRule="auto"/>
        <w:ind w:left="567"/>
      </w:pPr>
      <w:r>
        <w:rPr>
          <w:rFonts w:ascii="Times New Roman" w:hAnsi="Times New Roman"/>
          <w:b w:val="0"/>
          <w:sz w:val="23"/>
        </w:rPr>
        <w:t xml:space="preserve">4.2    </w:t>
      </w:r>
      <w:r>
        <w:rPr>
          <w:rFonts w:ascii="Times New Roman" w:hAnsi="Times New Roman"/>
          <w:b w:val="0"/>
          <w:sz w:val="23"/>
        </w:rPr>
        <w:t>Financial Impact &amp; 38.4% Return on Investment (ROI) Analysis</w:t>
        <w:tab/>
      </w:r>
      <w:r>
        <w:rPr>
          <w:rFonts w:ascii="Times New Roman" w:hAnsi="Times New Roman"/>
          <w:b w:val="0"/>
          <w:sz w:val="23"/>
        </w:rPr>
        <w:t>17-18</w:t>
      </w:r>
    </w:p>
    <w:p>
      <w:pPr>
        <w:tabs>
          <w:tab w:pos="9071" w:val="right"/>
        </w:tabs>
        <w:spacing w:before="80" w:after="120" w:line="300" w:lineRule="auto"/>
      </w:pPr>
      <w:r>
        <w:rPr>
          <w:rFonts w:ascii="Times New Roman" w:hAnsi="Times New Roman"/>
          <w:b/>
          <w:sz w:val="23"/>
        </w:rPr>
        <w:t xml:space="preserve">5.    </w:t>
      </w:r>
      <w:r>
        <w:rPr>
          <w:rFonts w:ascii="Times New Roman" w:hAnsi="Times New Roman"/>
          <w:b/>
          <w:sz w:val="23"/>
        </w:rPr>
        <w:t>Presentation, Legibility &amp; Master Appendix</w:t>
        <w:tab/>
      </w:r>
      <w:r>
        <w:rPr>
          <w:rFonts w:ascii="Times New Roman" w:hAnsi="Times New Roman"/>
          <w:b/>
          <w:sz w:val="23"/>
        </w:rPr>
        <w:t>19-20</w:t>
      </w:r>
    </w:p>
    <w:p>
      <w:pPr>
        <w:tabs>
          <w:tab w:pos="9071" w:val="right"/>
        </w:tabs>
        <w:spacing w:before="40" w:after="60" w:line="300" w:lineRule="auto"/>
        <w:ind w:left="567"/>
      </w:pPr>
      <w:r>
        <w:rPr>
          <w:rFonts w:ascii="Times New Roman" w:hAnsi="Times New Roman"/>
          <w:b w:val="0"/>
          <w:sz w:val="23"/>
        </w:rPr>
        <w:t xml:space="preserve">5.1    </w:t>
      </w:r>
      <w:r>
        <w:rPr>
          <w:rFonts w:ascii="Times New Roman" w:hAnsi="Times New Roman"/>
          <w:b w:val="0"/>
          <w:sz w:val="23"/>
        </w:rPr>
        <w:t>Primary Dataset &amp; Analysis Repository Links</w:t>
        <w:tab/>
      </w:r>
      <w:r>
        <w:rPr>
          <w:rFonts w:ascii="Times New Roman" w:hAnsi="Times New Roman"/>
          <w:b w:val="0"/>
          <w:sz w:val="23"/>
        </w:rPr>
        <w:t>19</w:t>
      </w:r>
    </w:p>
    <w:p>
      <w:pPr>
        <w:tabs>
          <w:tab w:pos="9071" w:val="right"/>
        </w:tabs>
        <w:spacing w:before="40" w:after="60" w:line="300" w:lineRule="auto"/>
        <w:ind w:left="567"/>
      </w:pPr>
      <w:r>
        <w:rPr>
          <w:rFonts w:ascii="Times New Roman" w:hAnsi="Times New Roman"/>
          <w:b w:val="0"/>
          <w:sz w:val="23"/>
        </w:rPr>
        <w:t xml:space="preserve">5.2    </w:t>
      </w:r>
      <w:r>
        <w:rPr>
          <w:rFonts w:ascii="Times New Roman" w:hAnsi="Times New Roman"/>
          <w:b w:val="0"/>
          <w:sz w:val="23"/>
        </w:rPr>
        <w:t>Complete SKU Master Inventory Ledger (30 Medicines)</w:t>
        <w:tab/>
      </w:r>
      <w:r>
        <w:rPr>
          <w:rFonts w:ascii="Times New Roman" w:hAnsi="Times New Roman"/>
          <w:b w:val="0"/>
          <w:sz w:val="23"/>
        </w:rPr>
        <w:t>19-20</w:t>
      </w:r>
    </w:p>
    <w:p>
      <w:r>
        <w:br w:type="page"/>
      </w:r>
    </w:p>
    <w:p>
      <w:pPr>
        <w:pStyle w:val="Heading1"/>
        <w:spacing w:before="240" w:after="120" w:line="360" w:lineRule="auto"/>
      </w:pPr>
      <w:r>
        <w:rPr>
          <w:rFonts w:ascii="Times New Roman" w:hAnsi="Times New Roman"/>
          <w:color w:val="000000"/>
          <w:sz w:val="32"/>
        </w:rPr>
        <w:t>1. Executive Summary and Title</w:t>
      </w:r>
    </w:p>
    <w:p>
      <w:pPr>
        <w:spacing w:after="120" w:before="0" w:line="360" w:lineRule="auto"/>
        <w:jc w:val="both"/>
      </w:pPr>
      <w:r>
        <w:rPr>
          <w:rFonts w:ascii="Times New Roman" w:hAnsi="Times New Roman"/>
          <w:b/>
          <w:i w:val="0"/>
          <w:sz w:val="24"/>
        </w:rPr>
        <w:t>Project Title: Sales Trend and Inventory Optimization Analysis of Anand Pharma, Darbhanga</w:t>
      </w:r>
    </w:p>
    <w:p>
      <w:pPr>
        <w:spacing w:after="120" w:before="0" w:line="360" w:lineRule="auto"/>
        <w:jc w:val="both"/>
      </w:pPr>
      <w:r>
        <w:rPr>
          <w:rFonts w:ascii="Times New Roman" w:hAnsi="Times New Roman"/>
          <w:b w:val="0"/>
          <w:i w:val="0"/>
          <w:sz w:val="24"/>
        </w:rPr>
        <w:t>Anand Pharma is a retail B2C pharmacy store established in 2020 and operated by Mr. Krishan Mohan Yadav and located in Donar, Darbhanga, Bihar. The store provides prescription medicines and essential healthcare products to local customers. The store serves the local community with prescription drugs, OTC medicines, antibiotics, gastric care, pediatric syrups, dermatology creams, and immunity supplements, procuring wholesale supplies primarily from M/s. Sonu Pharma, Patna. The store encounters three interconnected inventory management challenges: frequent stockouts of high demand medicines, capital blocked in slow moving stock, and financial loss from unsold expired medicines all stemming from manual, intuition Based restocking decisions rather than data driven inventory control.</w:t>
      </w:r>
    </w:p>
    <w:p>
      <w:pPr>
        <w:spacing w:after="120" w:before="0" w:line="360" w:lineRule="auto"/>
        <w:jc w:val="both"/>
      </w:pPr>
      <w:r>
        <w:rPr>
          <w:rFonts w:ascii="Times New Roman" w:hAnsi="Times New Roman"/>
          <w:b w:val="0"/>
          <w:i w:val="0"/>
          <w:sz w:val="24"/>
        </w:rPr>
        <w:t>Primary sales, purchase, and stock data spanning 6 consecutive months (January 2026 to June 2026) were collected directly from sales registers, and inventory inspection sheets of M/s. Anand Pharma via remote digital channels (scanned invoices over WhatsApp and periodic telephonic/video verification calls with the proprietor). The dataset covers 30 medicine SKUs tracked across 11 structured variables: S.No, Medicine Name, Category, MRP (₹), Purchase Price (₹), Opening Stock, Purchase Qty, Sales Qty, Closing Stock, Total Sales Revenue (₹), and Expiry Date. Key descriptive statistics indicate a mean revenue of ₹43,521.83 per SKU (median ₹41,108.50), total 6-month store revenue of ₹13,05,655, and average profit margin of ~29.8%. Quantitative methods - ABC Analysis, FSN Classification, Pareto (80/20) Analysis, Three Month Simple Moving Average Demand Forecasting, Exponential Smoothing, and Inventory Turnover Ratio (ITR) Analysis were executed.</w:t>
      </w:r>
    </w:p>
    <w:p>
      <w:pPr>
        <w:spacing w:after="120" w:before="0" w:line="360" w:lineRule="auto"/>
        <w:jc w:val="both"/>
      </w:pPr>
      <w:r>
        <w:rPr>
          <w:rFonts w:ascii="Times New Roman" w:hAnsi="Times New Roman"/>
          <w:b w:val="0"/>
          <w:i w:val="0"/>
          <w:sz w:val="24"/>
        </w:rPr>
        <w:t>Key analytical findings show that 14 Category A medicines (46.7% of items) generate 69.0% of total revenue (₹9,00,660.00), led by Ceroxim CV 500 Tab (₹1,15,680.00) and Abzolid 600 Tab (₹92,568.00). Exactly 18 out of 30 SKUs drive 80% of cumulative revenue (Pareto cutoff). FSN movement analysis identified 5 Non - Moving SKUs (Gentalab 30ml Inj, Dexalife Inj 30ml, Moxib D Eye Drop, Alamin Plus Cap, Dolo Pain Spray) carrying severe expiry risks. Monthly sales trend analysis identified a peak in May 2026 (₹2,43,998.00 - a 23.8% surge over April), driven by pre monsoon gastric and antibiotic demand surges.</w:t>
      </w:r>
    </w:p>
    <w:p>
      <w:pPr>
        <w:spacing w:after="120" w:before="0" w:line="360" w:lineRule="auto"/>
        <w:jc w:val="both"/>
      </w:pPr>
      <w:r>
        <w:rPr>
          <w:rFonts w:ascii="Times New Roman" w:hAnsi="Times New Roman"/>
          <w:b w:val="0"/>
          <w:i w:val="0"/>
          <w:sz w:val="24"/>
        </w:rPr>
        <w:t>Four data driven recommendations formulated: (1) Maintain a mandatory 15 - day safety buffer stock for Category A SKUs; (2) Execute a 60 - day pre expiry credit return protocol for Non Moving SKUs to distributor M/s. Sonu Pharma; (3) Adjust seasonal procurement 15 – 20% in advance of peak months; and (4) Transition to a weekly digital Excel audit ledger. Implementation of these strategies frees up approximately ₹65,000.00 in blocked working capital, eliminates customer loss from stockouts, and projects a 38.4% return on inventory investment (ROI), significantly improving Anand Pharma’s operational efficiency.</w:t>
      </w:r>
    </w:p>
    <w:p>
      <w:pPr>
        <w:pStyle w:val="Heading2"/>
        <w:spacing w:before="240" w:after="120" w:line="360" w:lineRule="auto"/>
      </w:pPr>
      <w:r>
        <w:rPr>
          <w:rFonts w:ascii="Times New Roman" w:hAnsi="Times New Roman"/>
          <w:color w:val="000000"/>
          <w:sz w:val="28"/>
        </w:rPr>
        <w:t>1.1 Proof of Data Originality Artifacts Summary</w:t>
      </w:r>
    </w:p>
    <w:p>
      <w:pPr>
        <w:spacing w:after="120" w:before="0" w:line="360" w:lineRule="auto"/>
        <w:jc w:val="both"/>
      </w:pPr>
      <w:r>
        <w:rPr>
          <w:rFonts w:ascii="Times New Roman" w:hAnsi="Times New Roman"/>
          <w:b w:val="0"/>
          <w:i w:val="0"/>
          <w:sz w:val="24"/>
        </w:rPr>
        <w:t>To establish the credibility and primary nature of data collected from Anand Pharma, Darbhanga, the tangible evidence artifacts are detailed below in accordance with BDM Capstone Project rubrics: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a73e8"/>
          </w:tcPr>
          <w:p>
            <w:pPr>
              <w:spacing w:after="40" w:before="40" w:line="264" w:lineRule="auto"/>
              <w:jc w:val="left"/>
            </w:pPr>
            <w:r>
              <w:rPr>
                <w:color w:val="FFFFFF"/>
              </w:rPr>
            </w:r>
            <w:r>
              <w:rPr>
                <w:rFonts w:ascii="Times New Roman" w:hAnsi="Times New Roman"/>
                <w:b/>
                <w:color w:val="FFFFFF"/>
                <w:sz w:val="18"/>
              </w:rPr>
              <w:t>Evidence Type</w:t>
            </w:r>
          </w:p>
        </w:tc>
        <w:tc>
          <w:tcPr>
            <w:tcW w:type="dxa" w:w="3120"/>
            <w:shd w:fill="1a73e8"/>
          </w:tcPr>
          <w:p>
            <w:pPr>
              <w:spacing w:after="40" w:before="40" w:line="264" w:lineRule="auto"/>
              <w:jc w:val="left"/>
            </w:pPr>
            <w:r>
              <w:rPr>
                <w:color w:val="FFFFFF"/>
              </w:rPr>
            </w:r>
            <w:r>
              <w:rPr>
                <w:rFonts w:ascii="Times New Roman" w:hAnsi="Times New Roman"/>
                <w:b/>
                <w:color w:val="FFFFFF"/>
                <w:sz w:val="18"/>
              </w:rPr>
              <w:t>Details / Reference Link</w:t>
            </w:r>
          </w:p>
        </w:tc>
        <w:tc>
          <w:tcPr>
            <w:tcW w:type="dxa" w:w="3120"/>
            <w:shd w:fill="1a73e8"/>
          </w:tcPr>
          <w:p>
            <w:pPr>
              <w:spacing w:after="40" w:before="40" w:line="264" w:lineRule="auto"/>
              <w:jc w:val="left"/>
            </w:pPr>
            <w:r>
              <w:rPr>
                <w:color w:val="FFFFFF"/>
              </w:rPr>
            </w:r>
            <w:r>
              <w:rPr>
                <w:rFonts w:ascii="Times New Roman" w:hAnsi="Times New Roman"/>
                <w:b/>
                <w:color w:val="FFFFFF"/>
                <w:sz w:val="18"/>
              </w:rPr>
              <w:t>Description &amp; Verification Purpose</w:t>
            </w:r>
          </w:p>
        </w:tc>
      </w:tr>
      <w:tr>
        <w:tc>
          <w:tcPr>
            <w:tcW w:type="dxa" w:w="3120"/>
          </w:tcPr>
          <w:p>
            <w:pPr>
              <w:spacing w:after="40" w:before="40" w:line="264" w:lineRule="auto"/>
              <w:jc w:val="left"/>
            </w:pPr>
            <w:r/>
            <w:r>
              <w:rPr>
                <w:rFonts w:ascii="Times New Roman" w:hAnsi="Times New Roman"/>
                <w:b w:val="0"/>
                <w:sz w:val="18"/>
              </w:rPr>
              <w:t>Primary Dataset</w:t>
              <w:br/>
              <w:t>Repository Link</w:t>
            </w:r>
          </w:p>
        </w:tc>
        <w:tc>
          <w:tcPr>
            <w:tcW w:type="dxa" w:w="3120"/>
          </w:tcPr>
          <w:p>
            <w:pPr>
              <w:spacing w:after="40" w:before="40" w:line="264" w:lineRule="auto"/>
              <w:jc w:val="left"/>
            </w:pPr>
            <w:r/>
            <w:r>
              <w:rPr>
                <w:rFonts w:ascii="Times New Roman" w:hAnsi="Times New Roman"/>
                <w:b w:val="0"/>
                <w:sz w:val="18"/>
              </w:rPr>
              <w:t>Anand_Pharma_Primary_Dataset_</w:t>
              <w:br/>
              <w:t>Jan_June_2026.xlsx</w:t>
            </w:r>
          </w:p>
        </w:tc>
        <w:tc>
          <w:tcPr>
            <w:tcW w:type="dxa" w:w="3120"/>
          </w:tcPr>
          <w:p>
            <w:pPr>
              <w:spacing w:after="40" w:before="40" w:line="264" w:lineRule="auto"/>
              <w:jc w:val="left"/>
            </w:pPr>
            <w:r/>
            <w:r>
              <w:rPr>
                <w:rFonts w:ascii="Times New Roman" w:hAnsi="Times New Roman"/>
                <w:b w:val="0"/>
                <w:sz w:val="18"/>
              </w:rPr>
              <w:t>Complete 6-month primary sales &amp; inventory Excel dataset containing 30 medicines × 6 monthly sheets + ABC/FSN Analysis + Descriptive Stats.</w:t>
            </w:r>
          </w:p>
        </w:tc>
      </w:tr>
      <w:tr>
        <w:tc>
          <w:tcPr>
            <w:tcW w:type="dxa" w:w="3120"/>
          </w:tcPr>
          <w:p>
            <w:pPr>
              <w:spacing w:after="40" w:before="40" w:line="264" w:lineRule="auto"/>
              <w:jc w:val="left"/>
            </w:pPr>
            <w:r/>
            <w:r>
              <w:rPr>
                <w:rFonts w:ascii="Times New Roman" w:hAnsi="Times New Roman"/>
                <w:b w:val="0"/>
                <w:sz w:val="18"/>
              </w:rPr>
              <w:t>Official Store</w:t>
              <w:br/>
              <w:t>Details</w:t>
            </w:r>
          </w:p>
        </w:tc>
        <w:tc>
          <w:tcPr>
            <w:tcW w:type="dxa" w:w="3120"/>
          </w:tcPr>
          <w:p>
            <w:pPr>
              <w:spacing w:after="40" w:before="40" w:line="264" w:lineRule="auto"/>
              <w:jc w:val="left"/>
            </w:pPr>
            <w:r/>
            <w:r>
              <w:rPr>
                <w:rFonts w:ascii="Times New Roman" w:hAnsi="Times New Roman"/>
                <w:b w:val="0"/>
                <w:sz w:val="18"/>
              </w:rPr>
              <w:t>M/s. ANAND PHARMA</w:t>
              <w:br/>
              <w:t>V.J. Road, Allalpatti, Donar,</w:t>
              <w:br/>
              <w:t>Darbhanga, Bihar (GSTIN: 10AEY3656A1Z4)</w:t>
            </w:r>
          </w:p>
        </w:tc>
        <w:tc>
          <w:tcPr>
            <w:tcW w:type="dxa" w:w="3120"/>
          </w:tcPr>
          <w:p>
            <w:pPr>
              <w:spacing w:after="40" w:before="40" w:line="264" w:lineRule="auto"/>
              <w:jc w:val="left"/>
            </w:pPr>
            <w:r/>
            <w:r>
              <w:rPr>
                <w:rFonts w:ascii="Times New Roman" w:hAnsi="Times New Roman"/>
                <w:b w:val="0"/>
                <w:sz w:val="18"/>
              </w:rPr>
              <w:t>Registered retail pharmacy operating in Darbhanga, Bihar. GSTIN confirms official business registration.</w:t>
            </w:r>
          </w:p>
        </w:tc>
      </w:tr>
      <w:tr>
        <w:tc>
          <w:tcPr>
            <w:tcW w:type="dxa" w:w="3120"/>
          </w:tcPr>
          <w:p>
            <w:pPr>
              <w:spacing w:after="40" w:before="40" w:line="264" w:lineRule="auto"/>
              <w:jc w:val="left"/>
            </w:pPr>
            <w:r/>
            <w:r>
              <w:rPr>
                <w:rFonts w:ascii="Times New Roman" w:hAnsi="Times New Roman"/>
                <w:b w:val="0"/>
                <w:sz w:val="18"/>
              </w:rPr>
              <w:t>Letter from</w:t>
              <w:br/>
              <w:t>Organization</w:t>
            </w:r>
          </w:p>
        </w:tc>
        <w:tc>
          <w:tcPr>
            <w:tcW w:type="dxa" w:w="3120"/>
          </w:tcPr>
          <w:p>
            <w:pPr>
              <w:spacing w:after="40" w:before="40" w:line="264" w:lineRule="auto"/>
              <w:jc w:val="left"/>
            </w:pPr>
            <w:r/>
            <w:r>
              <w:rPr>
                <w:rFonts w:ascii="Times New Roman" w:hAnsi="Times New Roman"/>
                <w:b w:val="0"/>
                <w:sz w:val="18"/>
              </w:rPr>
              <w:t>Official Letterhead signed &amp;</w:t>
              <w:br/>
              <w:t>stamped by Mr. Krishan Mohan</w:t>
              <w:br/>
              <w:t>Yadav (Proprietor)</w:t>
            </w:r>
          </w:p>
        </w:tc>
        <w:tc>
          <w:tcPr>
            <w:tcW w:type="dxa" w:w="3120"/>
          </w:tcPr>
          <w:p>
            <w:pPr>
              <w:spacing w:after="40" w:before="40" w:line="264" w:lineRule="auto"/>
              <w:jc w:val="left"/>
            </w:pPr>
            <w:r/>
            <w:r>
              <w:rPr>
                <w:rFonts w:ascii="Times New Roman" w:hAnsi="Times New Roman"/>
                <w:b w:val="0"/>
                <w:sz w:val="18"/>
              </w:rPr>
              <w:t>Confirms formal authorization for primary data collection and use for academic study.</w:t>
            </w:r>
          </w:p>
        </w:tc>
      </w:tr>
      <w:tr>
        <w:tc>
          <w:tcPr>
            <w:tcW w:type="dxa" w:w="3120"/>
          </w:tcPr>
          <w:p>
            <w:pPr>
              <w:spacing w:after="40" w:before="40" w:line="264" w:lineRule="auto"/>
              <w:jc w:val="left"/>
            </w:pPr>
            <w:r/>
            <w:r>
              <w:rPr>
                <w:rFonts w:ascii="Times New Roman" w:hAnsi="Times New Roman"/>
                <w:b w:val="0"/>
                <w:sz w:val="18"/>
              </w:rPr>
              <w:t>Store Servicescape</w:t>
              <w:br/>
              <w:t>Images</w:t>
            </w:r>
          </w:p>
        </w:tc>
        <w:tc>
          <w:tcPr>
            <w:tcW w:type="dxa" w:w="3120"/>
          </w:tcPr>
          <w:p>
            <w:pPr>
              <w:spacing w:after="40" w:before="40" w:line="264" w:lineRule="auto"/>
              <w:jc w:val="left"/>
            </w:pPr>
            <w:r/>
            <w:r>
              <w:rPr>
                <w:rFonts w:ascii="Times New Roman" w:hAnsi="Times New Roman"/>
                <w:b w:val="0"/>
                <w:sz w:val="18"/>
              </w:rPr>
              <w:t>4 High-Resolution Photographs</w:t>
              <w:br/>
              <w:t>attached in portal &amp; Drive</w:t>
            </w:r>
          </w:p>
        </w:tc>
        <w:tc>
          <w:tcPr>
            <w:tcW w:type="dxa" w:w="3120"/>
          </w:tcPr>
          <w:p>
            <w:pPr>
              <w:spacing w:after="40" w:before="40" w:line="264" w:lineRule="auto"/>
              <w:jc w:val="left"/>
            </w:pPr>
            <w:r/>
            <w:r>
              <w:rPr>
                <w:rFonts w:ascii="Times New Roman" w:hAnsi="Times New Roman"/>
                <w:b w:val="0"/>
                <w:sz w:val="18"/>
              </w:rPr>
              <w:t>Displays store storefront, medicine racks, counter, and stock register for visual verification.</w:t>
            </w:r>
          </w:p>
        </w:tc>
      </w:tr>
      <w:tr>
        <w:tc>
          <w:tcPr>
            <w:tcW w:type="dxa" w:w="3120"/>
          </w:tcPr>
          <w:p>
            <w:pPr>
              <w:spacing w:after="40" w:before="40" w:line="264" w:lineRule="auto"/>
              <w:jc w:val="left"/>
            </w:pPr>
            <w:r/>
            <w:r>
              <w:rPr>
                <w:rFonts w:ascii="Times New Roman" w:hAnsi="Times New Roman"/>
                <w:b w:val="0"/>
                <w:sz w:val="18"/>
              </w:rPr>
              <w:t>Video Interaction</w:t>
            </w:r>
          </w:p>
        </w:tc>
        <w:tc>
          <w:tcPr>
            <w:tcW w:type="dxa" w:w="3120"/>
          </w:tcPr>
          <w:p>
            <w:pPr>
              <w:spacing w:after="40" w:before="40" w:line="264" w:lineRule="auto"/>
              <w:jc w:val="left"/>
            </w:pPr>
            <w:r/>
            <w:r>
              <w:rPr>
                <w:rFonts w:ascii="Times New Roman" w:hAnsi="Times New Roman"/>
                <w:b w:val="0"/>
                <w:sz w:val="18"/>
              </w:rPr>
              <w:t>4-Minute Video Call Recording</w:t>
              <w:br/>
              <w:t>(Hindi with Transcript)</w:t>
            </w:r>
          </w:p>
        </w:tc>
        <w:tc>
          <w:tcPr>
            <w:tcW w:type="dxa" w:w="3120"/>
          </w:tcPr>
          <w:p>
            <w:pPr>
              <w:spacing w:after="40" w:before="40" w:line="264" w:lineRule="auto"/>
              <w:jc w:val="left"/>
            </w:pPr>
            <w:r/>
            <w:r>
              <w:rPr>
                <w:rFonts w:ascii="Times New Roman" w:hAnsi="Times New Roman"/>
                <w:b w:val="0"/>
                <w:sz w:val="18"/>
              </w:rPr>
              <w:t>Recorded video call interaction with Mr. Krishan Mohan Yadav confirming data authenticity and discussing store operations.</w:t>
            </w:r>
          </w:p>
        </w:tc>
      </w:tr>
      <w:tr>
        <w:tc>
          <w:tcPr>
            <w:tcW w:type="dxa" w:w="3120"/>
          </w:tcPr>
          <w:p>
            <w:pPr>
              <w:spacing w:after="40" w:before="40" w:line="264" w:lineRule="auto"/>
              <w:jc w:val="left"/>
            </w:pPr>
            <w:r/>
            <w:r>
              <w:rPr>
                <w:rFonts w:ascii="Times New Roman" w:hAnsi="Times New Roman"/>
                <w:b w:val="0"/>
                <w:sz w:val="18"/>
              </w:rPr>
              <w:t>Location Clarification</w:t>
            </w:r>
          </w:p>
        </w:tc>
        <w:tc>
          <w:tcPr>
            <w:tcW w:type="dxa" w:w="3120"/>
          </w:tcPr>
          <w:p>
            <w:pPr>
              <w:spacing w:after="40" w:before="40" w:line="264" w:lineRule="auto"/>
              <w:jc w:val="left"/>
            </w:pPr>
            <w:r/>
            <w:r>
              <w:rPr>
                <w:rFonts w:ascii="Times New Roman" w:hAnsi="Times New Roman"/>
                <w:b w:val="0"/>
                <w:sz w:val="18"/>
              </w:rPr>
              <w:t>Anand_Pharma_Location_Clarification.pdf</w:t>
            </w:r>
          </w:p>
        </w:tc>
        <w:tc>
          <w:tcPr>
            <w:tcW w:type="dxa" w:w="3120"/>
          </w:tcPr>
          <w:p>
            <w:pPr>
              <w:spacing w:after="40" w:before="40" w:line="264" w:lineRule="auto"/>
              <w:jc w:val="left"/>
            </w:pPr>
            <w:r/>
            <w:r>
              <w:rPr>
                <w:rFonts w:ascii="Times New Roman" w:hAnsi="Times New Roman"/>
                <w:b w:val="0"/>
                <w:sz w:val="18"/>
              </w:rPr>
              <w:t>Clarification note explaining remote data collection from Andhra Pradesh (due to Dual Degree) to Bihar.</w:t>
            </w:r>
          </w:p>
        </w:tc>
      </w:tr>
    </w:tbl>
    <w:p>
      <w:pPr>
        <w:spacing w:after="120" w:before="0" w:line="360" w:lineRule="auto"/>
        <w:jc w:val="center"/>
      </w:pPr>
      <w:r>
        <w:rPr>
          <w:rFonts w:ascii="Times New Roman" w:hAnsi="Times New Roman"/>
          <w:b w:val="0"/>
          <w:i/>
          <w:sz w:val="20"/>
        </w:rPr>
        <w:t>Table 1: Summary of Primary Data Proof of Originality Artifacts</w:t>
      </w:r>
    </w:p>
    <w:p>
      <w:pPr>
        <w:pStyle w:val="Heading2"/>
        <w:spacing w:before="240" w:after="120" w:line="360" w:lineRule="auto"/>
      </w:pPr>
      <w:r>
        <w:rPr>
          <w:rFonts w:ascii="Times New Roman" w:hAnsi="Times New Roman"/>
          <w:color w:val="000000"/>
          <w:sz w:val="28"/>
        </w:rPr>
        <w:t>1.2 Problem Statements Formulated as Business Objectives</w:t>
      </w:r>
    </w:p>
    <w:p>
      <w:pPr>
        <w:spacing w:after="120" w:before="0" w:line="360" w:lineRule="auto"/>
        <w:jc w:val="both"/>
      </w:pPr>
      <w:r>
        <w:rPr>
          <w:rFonts w:ascii="Times New Roman" w:hAnsi="Times New Roman"/>
          <w:b w:val="0"/>
          <w:i w:val="0"/>
          <w:sz w:val="24"/>
        </w:rPr>
        <w:t>• Objective 1 (Stockout Prevention): Apply ABC/Pareto principles to establish mandatory 15-day safety buffer stocks for Category A SKUs, eliminating lost sales revenue from stockouts of core drivers.</w:t>
      </w:r>
    </w:p>
    <w:p>
      <w:pPr>
        <w:spacing w:after="120" w:before="0" w:line="360" w:lineRule="auto"/>
        <w:jc w:val="both"/>
      </w:pPr>
      <w:r>
        <w:rPr>
          <w:rFonts w:ascii="Times New Roman" w:hAnsi="Times New Roman"/>
          <w:b w:val="0"/>
          <w:i w:val="0"/>
          <w:sz w:val="24"/>
        </w:rPr>
        <w:t>• Objective 2 (Expiry Loss Prevention): Execute FSN velocity classification to flag Non-Moving SKUs (&lt;190 strips/6M) for 60-day pre-expiry credit returns, salvaging ₹65,000.00 in working capital.</w:t>
      </w:r>
    </w:p>
    <w:p>
      <w:pPr>
        <w:spacing w:after="120" w:before="0" w:line="360" w:lineRule="auto"/>
        <w:jc w:val="both"/>
      </w:pPr>
      <w:r>
        <w:rPr>
          <w:rFonts w:ascii="Times New Roman" w:hAnsi="Times New Roman"/>
          <w:b w:val="0"/>
          <w:i w:val="0"/>
          <w:sz w:val="24"/>
        </w:rPr>
        <w:t>• Objective 3 (Seasonal Forecasting): Apply Moving Average &amp; Exponential Smoothing models to forecast monthly demand and adjust April procurement orders 15–20% ahead of May peak surges.</w:t>
      </w:r>
    </w:p>
    <w:p>
      <w:pPr>
        <w:pStyle w:val="Heading2"/>
        <w:spacing w:before="240" w:after="120" w:line="360" w:lineRule="auto"/>
      </w:pPr>
      <w:r>
        <w:rPr>
          <w:rFonts w:ascii="Times New Roman" w:hAnsi="Times New Roman"/>
          <w:color w:val="000000"/>
          <w:sz w:val="28"/>
        </w:rPr>
        <w:t>1.3 Metadata Definition and Descriptive Statistics Summary</w:t>
      </w:r>
    </w:p>
    <w:p>
      <w:pPr>
        <w:spacing w:after="120" w:before="0" w:line="360" w:lineRule="auto"/>
        <w:jc w:val="both"/>
      </w:pPr>
      <w:r>
        <w:rPr>
          <w:rFonts w:ascii="Times New Roman" w:hAnsi="Times New Roman"/>
          <w:b w:val="0"/>
          <w:i w:val="0"/>
          <w:sz w:val="24"/>
        </w:rPr>
        <w:t>Multi-Sheet Structure Note: All 11 structured variables apply identically to every single monthly sheet from JAN2026 to JUN2026 across all 30 tracked medicine SKUs: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73e8"/>
          </w:tcPr>
          <w:p>
            <w:pPr>
              <w:spacing w:after="40" w:before="40" w:line="264" w:lineRule="auto"/>
              <w:jc w:val="left"/>
            </w:pPr>
            <w:r>
              <w:rPr>
                <w:color w:val="FFFFFF"/>
              </w:rPr>
            </w:r>
            <w:r>
              <w:rPr>
                <w:rFonts w:ascii="Times New Roman" w:hAnsi="Times New Roman"/>
                <w:b/>
                <w:color w:val="FFFFFF"/>
                <w:sz w:val="18"/>
              </w:rPr>
              <w:t>Sheet Name</w:t>
            </w:r>
          </w:p>
        </w:tc>
        <w:tc>
          <w:tcPr>
            <w:tcW w:type="dxa" w:w="1872"/>
            <w:shd w:fill="1a73e8"/>
          </w:tcPr>
          <w:p>
            <w:pPr>
              <w:spacing w:after="40" w:before="40" w:line="264" w:lineRule="auto"/>
              <w:jc w:val="left"/>
            </w:pPr>
            <w:r>
              <w:rPr>
                <w:color w:val="FFFFFF"/>
              </w:rPr>
            </w:r>
            <w:r>
              <w:rPr>
                <w:rFonts w:ascii="Times New Roman" w:hAnsi="Times New Roman"/>
                <w:b/>
                <w:color w:val="FFFFFF"/>
                <w:sz w:val="18"/>
              </w:rPr>
              <w:t>Columns</w:t>
            </w:r>
          </w:p>
        </w:tc>
        <w:tc>
          <w:tcPr>
            <w:tcW w:type="dxa" w:w="1872"/>
            <w:shd w:fill="1a73e8"/>
          </w:tcPr>
          <w:p>
            <w:pPr>
              <w:spacing w:after="40" w:before="40" w:line="264" w:lineRule="auto"/>
              <w:jc w:val="left"/>
            </w:pPr>
            <w:r>
              <w:rPr>
                <w:color w:val="FFFFFF"/>
              </w:rPr>
            </w:r>
            <w:r>
              <w:rPr>
                <w:rFonts w:ascii="Times New Roman" w:hAnsi="Times New Roman"/>
                <w:b/>
                <w:color w:val="FFFFFF"/>
                <w:sz w:val="18"/>
              </w:rPr>
              <w:t>Data Type</w:t>
            </w:r>
          </w:p>
        </w:tc>
        <w:tc>
          <w:tcPr>
            <w:tcW w:type="dxa" w:w="1872"/>
            <w:shd w:fill="1a73e8"/>
          </w:tcPr>
          <w:p>
            <w:pPr>
              <w:spacing w:after="40" w:before="40" w:line="264" w:lineRule="auto"/>
              <w:jc w:val="left"/>
            </w:pPr>
            <w:r>
              <w:rPr>
                <w:color w:val="FFFFFF"/>
              </w:rPr>
            </w:r>
            <w:r>
              <w:rPr>
                <w:rFonts w:ascii="Times New Roman" w:hAnsi="Times New Roman"/>
                <w:b/>
                <w:color w:val="FFFFFF"/>
                <w:sz w:val="18"/>
              </w:rPr>
              <w:t>Units</w:t>
            </w:r>
          </w:p>
        </w:tc>
        <w:tc>
          <w:tcPr>
            <w:tcW w:type="dxa" w:w="1872"/>
            <w:shd w:fill="1a73e8"/>
          </w:tcPr>
          <w:p>
            <w:pPr>
              <w:spacing w:after="40" w:before="40" w:line="264" w:lineRule="auto"/>
              <w:jc w:val="left"/>
            </w:pPr>
            <w:r>
              <w:rPr>
                <w:color w:val="FFFFFF"/>
              </w:rPr>
            </w:r>
            <w:r>
              <w:rPr>
                <w:rFonts w:ascii="Times New Roman" w:hAnsi="Times New Roman"/>
                <w:b/>
                <w:color w:val="FFFFFF"/>
                <w:sz w:val="18"/>
              </w:rPr>
              <w:t>Description</w:t>
            </w:r>
          </w:p>
        </w:tc>
      </w:tr>
      <w:tr>
        <w:tc>
          <w:tcPr>
            <w:tcW w:type="dxa" w:w="1872"/>
            <w:vMerge w:val="restart"/>
          </w:tcPr>
          <w:p>
            <w:pPr>
              <w:jc w:val="center"/>
            </w:pPr>
            <w:r/>
            <w:r>
              <w:rPr>
                <w:rFonts w:ascii="Times New Roman" w:hAnsi="Times New Roman"/>
                <w:sz w:val="17"/>
              </w:rPr>
              <w:t>1. 'JAN2026'</w:t>
              <w:br/>
              <w:t>2. 'FEB2026'</w:t>
              <w:br/>
              <w:t>3. 'MAR2026'</w:t>
              <w:br/>
              <w:t>4. 'APR2026'</w:t>
              <w:br/>
              <w:t>5. 'MAY2026'</w:t>
              <w:br/>
              <w:t>6. 'JUN2026'</w:t>
            </w:r>
          </w:p>
        </w:tc>
        <w:tc>
          <w:tcPr>
            <w:tcW w:type="dxa" w:w="1872"/>
          </w:tcPr>
          <w:p>
            <w:pPr>
              <w:spacing w:after="40" w:before="40" w:line="264" w:lineRule="auto"/>
              <w:jc w:val="left"/>
            </w:pPr>
            <w:r/>
            <w:r>
              <w:rPr>
                <w:rFonts w:ascii="Times New Roman" w:hAnsi="Times New Roman"/>
                <w:b w:val="0"/>
                <w:sz w:val="18"/>
              </w:rPr>
              <w:t>Medicine Name</w:t>
            </w:r>
          </w:p>
        </w:tc>
        <w:tc>
          <w:tcPr>
            <w:tcW w:type="dxa" w:w="1872"/>
          </w:tcPr>
          <w:p>
            <w:pPr>
              <w:spacing w:after="40" w:before="40" w:line="264" w:lineRule="auto"/>
              <w:jc w:val="left"/>
            </w:pPr>
            <w:r/>
            <w:r>
              <w:rPr>
                <w:rFonts w:ascii="Times New Roman" w:hAnsi="Times New Roman"/>
                <w:b w:val="0"/>
                <w:sz w:val="18"/>
              </w:rPr>
              <w:t>string</w:t>
            </w:r>
          </w:p>
        </w:tc>
        <w:tc>
          <w:tcPr>
            <w:tcW w:type="dxa" w:w="1872"/>
          </w:tcPr>
          <w:p>
            <w:pPr>
              <w:spacing w:after="40" w:before="40" w:line="264" w:lineRule="auto"/>
              <w:jc w:val="left"/>
            </w:pPr>
            <w:r/>
            <w:r>
              <w:rPr>
                <w:rFonts w:ascii="Times New Roman" w:hAnsi="Times New Roman"/>
                <w:b w:val="0"/>
                <w:sz w:val="18"/>
              </w:rPr>
              <w:t>-</w:t>
            </w:r>
          </w:p>
        </w:tc>
        <w:tc>
          <w:tcPr>
            <w:tcW w:type="dxa" w:w="1872"/>
          </w:tcPr>
          <w:p>
            <w:pPr>
              <w:spacing w:after="40" w:before="40" w:line="264" w:lineRule="auto"/>
              <w:jc w:val="left"/>
            </w:pPr>
            <w:r/>
            <w:r>
              <w:rPr>
                <w:rFonts w:ascii="Times New Roman" w:hAnsi="Times New Roman"/>
                <w:b w:val="0"/>
                <w:sz w:val="18"/>
              </w:rPr>
              <w:t>Brand / generic name of the medicine</w:t>
            </w:r>
          </w:p>
        </w:tc>
      </w:tr>
      <w:tr>
        <w:tc>
          <w:tcPr>
            <w:tcW w:type="dxa" w:w="1872"/>
            <w:vMerge/>
          </w:tcPr>
          <w:p/>
        </w:tc>
        <w:tc>
          <w:tcPr>
            <w:tcW w:type="dxa" w:w="1872"/>
          </w:tcPr>
          <w:p>
            <w:pPr>
              <w:spacing w:after="40" w:before="40" w:line="264" w:lineRule="auto"/>
              <w:jc w:val="left"/>
            </w:pPr>
            <w:r/>
            <w:r>
              <w:rPr>
                <w:rFonts w:ascii="Times New Roman" w:hAnsi="Times New Roman"/>
                <w:b w:val="0"/>
                <w:sz w:val="18"/>
              </w:rPr>
              <w:t>Category</w:t>
            </w:r>
          </w:p>
        </w:tc>
        <w:tc>
          <w:tcPr>
            <w:tcW w:type="dxa" w:w="1872"/>
          </w:tcPr>
          <w:p>
            <w:pPr>
              <w:spacing w:after="40" w:before="40" w:line="264" w:lineRule="auto"/>
              <w:jc w:val="left"/>
            </w:pPr>
            <w:r/>
            <w:r>
              <w:rPr>
                <w:rFonts w:ascii="Times New Roman" w:hAnsi="Times New Roman"/>
                <w:b w:val="0"/>
                <w:sz w:val="18"/>
              </w:rPr>
              <w:t>string</w:t>
            </w:r>
          </w:p>
        </w:tc>
        <w:tc>
          <w:tcPr>
            <w:tcW w:type="dxa" w:w="1872"/>
          </w:tcPr>
          <w:p>
            <w:pPr>
              <w:spacing w:after="40" w:before="40" w:line="264" w:lineRule="auto"/>
              <w:jc w:val="left"/>
            </w:pPr>
            <w:r/>
            <w:r>
              <w:rPr>
                <w:rFonts w:ascii="Times New Roman" w:hAnsi="Times New Roman"/>
                <w:b w:val="0"/>
                <w:sz w:val="18"/>
              </w:rPr>
              <w:t>-</w:t>
            </w:r>
          </w:p>
        </w:tc>
        <w:tc>
          <w:tcPr>
            <w:tcW w:type="dxa" w:w="1872"/>
          </w:tcPr>
          <w:p>
            <w:pPr>
              <w:spacing w:after="40" w:before="40" w:line="264" w:lineRule="auto"/>
              <w:jc w:val="left"/>
            </w:pPr>
            <w:r/>
            <w:r>
              <w:rPr>
                <w:rFonts w:ascii="Times New Roman" w:hAnsi="Times New Roman"/>
                <w:b w:val="0"/>
                <w:sz w:val="18"/>
              </w:rPr>
              <w:t>Therapeutic category (Antibiotic, Gastric Care, etc.)</w:t>
            </w:r>
          </w:p>
        </w:tc>
      </w:tr>
      <w:tr>
        <w:tc>
          <w:tcPr>
            <w:tcW w:type="dxa" w:w="1872"/>
            <w:vMerge/>
          </w:tcPr>
          <w:p/>
        </w:tc>
        <w:tc>
          <w:tcPr>
            <w:tcW w:type="dxa" w:w="1872"/>
          </w:tcPr>
          <w:p>
            <w:pPr>
              <w:spacing w:after="40" w:before="40" w:line="264" w:lineRule="auto"/>
              <w:jc w:val="left"/>
            </w:pPr>
            <w:r/>
            <w:r>
              <w:rPr>
                <w:rFonts w:ascii="Times New Roman" w:hAnsi="Times New Roman"/>
                <w:b w:val="0"/>
                <w:sz w:val="18"/>
              </w:rPr>
              <w:t>MRP</w:t>
            </w:r>
          </w:p>
        </w:tc>
        <w:tc>
          <w:tcPr>
            <w:tcW w:type="dxa" w:w="1872"/>
          </w:tcPr>
          <w:p>
            <w:pPr>
              <w:spacing w:after="40" w:before="40" w:line="264" w:lineRule="auto"/>
              <w:jc w:val="left"/>
            </w:pPr>
            <w:r/>
            <w:r>
              <w:rPr>
                <w:rFonts w:ascii="Times New Roman" w:hAnsi="Times New Roman"/>
                <w:b w:val="0"/>
                <w:sz w:val="18"/>
              </w:rPr>
              <w:t>float</w:t>
            </w:r>
          </w:p>
        </w:tc>
        <w:tc>
          <w:tcPr>
            <w:tcW w:type="dxa" w:w="1872"/>
          </w:tcPr>
          <w:p>
            <w:pPr>
              <w:spacing w:after="40" w:before="40" w:line="264" w:lineRule="auto"/>
              <w:jc w:val="left"/>
            </w:pPr>
            <w:r/>
            <w:r>
              <w:rPr>
                <w:rFonts w:ascii="Times New Roman" w:hAnsi="Times New Roman"/>
                <w:b w:val="0"/>
                <w:sz w:val="18"/>
              </w:rPr>
              <w:t>Rupees</w:t>
            </w:r>
          </w:p>
        </w:tc>
        <w:tc>
          <w:tcPr>
            <w:tcW w:type="dxa" w:w="1872"/>
          </w:tcPr>
          <w:p>
            <w:pPr>
              <w:spacing w:after="40" w:before="40" w:line="264" w:lineRule="auto"/>
              <w:jc w:val="left"/>
            </w:pPr>
            <w:r/>
            <w:r>
              <w:rPr>
                <w:rFonts w:ascii="Times New Roman" w:hAnsi="Times New Roman"/>
                <w:b w:val="0"/>
                <w:sz w:val="18"/>
              </w:rPr>
              <w:t>Maximum retail selling price per strip/unit</w:t>
            </w:r>
          </w:p>
        </w:tc>
      </w:tr>
      <w:tr>
        <w:tc>
          <w:tcPr>
            <w:tcW w:type="dxa" w:w="1872"/>
            <w:vMerge/>
          </w:tcPr>
          <w:p/>
        </w:tc>
        <w:tc>
          <w:tcPr>
            <w:tcW w:type="dxa" w:w="1872"/>
          </w:tcPr>
          <w:p>
            <w:pPr>
              <w:spacing w:after="40" w:before="40" w:line="264" w:lineRule="auto"/>
              <w:jc w:val="left"/>
            </w:pPr>
            <w:r/>
            <w:r>
              <w:rPr>
                <w:rFonts w:ascii="Times New Roman" w:hAnsi="Times New Roman"/>
                <w:b w:val="0"/>
                <w:sz w:val="18"/>
              </w:rPr>
              <w:t>Purchase Price</w:t>
            </w:r>
          </w:p>
        </w:tc>
        <w:tc>
          <w:tcPr>
            <w:tcW w:type="dxa" w:w="1872"/>
          </w:tcPr>
          <w:p>
            <w:pPr>
              <w:spacing w:after="40" w:before="40" w:line="264" w:lineRule="auto"/>
              <w:jc w:val="left"/>
            </w:pPr>
            <w:r/>
            <w:r>
              <w:rPr>
                <w:rFonts w:ascii="Times New Roman" w:hAnsi="Times New Roman"/>
                <w:b w:val="0"/>
                <w:sz w:val="18"/>
              </w:rPr>
              <w:t>float</w:t>
            </w:r>
          </w:p>
        </w:tc>
        <w:tc>
          <w:tcPr>
            <w:tcW w:type="dxa" w:w="1872"/>
          </w:tcPr>
          <w:p>
            <w:pPr>
              <w:spacing w:after="40" w:before="40" w:line="264" w:lineRule="auto"/>
              <w:jc w:val="left"/>
            </w:pPr>
            <w:r/>
            <w:r>
              <w:rPr>
                <w:rFonts w:ascii="Times New Roman" w:hAnsi="Times New Roman"/>
                <w:b w:val="0"/>
                <w:sz w:val="18"/>
              </w:rPr>
              <w:t>Rupees</w:t>
            </w:r>
          </w:p>
        </w:tc>
        <w:tc>
          <w:tcPr>
            <w:tcW w:type="dxa" w:w="1872"/>
          </w:tcPr>
          <w:p>
            <w:pPr>
              <w:spacing w:after="40" w:before="40" w:line="264" w:lineRule="auto"/>
              <w:jc w:val="left"/>
            </w:pPr>
            <w:r/>
            <w:r>
              <w:rPr>
                <w:rFonts w:ascii="Times New Roman" w:hAnsi="Times New Roman"/>
                <w:b w:val="0"/>
                <w:sz w:val="18"/>
              </w:rPr>
              <w:t>Wholesale procurement cost per strip/unit</w:t>
            </w:r>
          </w:p>
        </w:tc>
      </w:tr>
      <w:tr>
        <w:tc>
          <w:tcPr>
            <w:tcW w:type="dxa" w:w="1872"/>
            <w:vMerge/>
          </w:tcPr>
          <w:p/>
        </w:tc>
        <w:tc>
          <w:tcPr>
            <w:tcW w:type="dxa" w:w="1872"/>
          </w:tcPr>
          <w:p>
            <w:pPr>
              <w:spacing w:after="40" w:before="40" w:line="264" w:lineRule="auto"/>
              <w:jc w:val="left"/>
            </w:pPr>
            <w:r/>
            <w:r>
              <w:rPr>
                <w:rFonts w:ascii="Times New Roman" w:hAnsi="Times New Roman"/>
                <w:b w:val="0"/>
                <w:sz w:val="18"/>
              </w:rPr>
              <w:t>Opening Stock</w:t>
            </w:r>
          </w:p>
        </w:tc>
        <w:tc>
          <w:tcPr>
            <w:tcW w:type="dxa" w:w="1872"/>
          </w:tcPr>
          <w:p>
            <w:pPr>
              <w:spacing w:after="40" w:before="40" w:line="264" w:lineRule="auto"/>
              <w:jc w:val="left"/>
            </w:pPr>
            <w:r/>
            <w:r>
              <w:rPr>
                <w:rFonts w:ascii="Times New Roman" w:hAnsi="Times New Roman"/>
                <w:b w:val="0"/>
                <w:sz w:val="18"/>
              </w:rPr>
              <w:t>integer</w:t>
            </w:r>
          </w:p>
        </w:tc>
        <w:tc>
          <w:tcPr>
            <w:tcW w:type="dxa" w:w="1872"/>
          </w:tcPr>
          <w:p>
            <w:pPr>
              <w:spacing w:after="40" w:before="40" w:line="264" w:lineRule="auto"/>
              <w:jc w:val="left"/>
            </w:pPr>
            <w:r/>
            <w:r>
              <w:rPr>
                <w:rFonts w:ascii="Times New Roman" w:hAnsi="Times New Roman"/>
                <w:b w:val="0"/>
                <w:sz w:val="18"/>
              </w:rPr>
              <w:t>strips</w:t>
            </w:r>
          </w:p>
        </w:tc>
        <w:tc>
          <w:tcPr>
            <w:tcW w:type="dxa" w:w="1872"/>
          </w:tcPr>
          <w:p>
            <w:pPr>
              <w:spacing w:after="40" w:before="40" w:line="264" w:lineRule="auto"/>
              <w:jc w:val="left"/>
            </w:pPr>
            <w:r/>
            <w:r>
              <w:rPr>
                <w:rFonts w:ascii="Times New Roman" w:hAnsi="Times New Roman"/>
                <w:b w:val="0"/>
                <w:sz w:val="18"/>
              </w:rPr>
              <w:t>Number of strips in stock at beginning of month</w:t>
            </w:r>
          </w:p>
        </w:tc>
      </w:tr>
      <w:tr>
        <w:tc>
          <w:tcPr>
            <w:tcW w:type="dxa" w:w="1872"/>
            <w:vMerge/>
          </w:tcPr>
          <w:p/>
        </w:tc>
        <w:tc>
          <w:tcPr>
            <w:tcW w:type="dxa" w:w="1872"/>
          </w:tcPr>
          <w:p>
            <w:pPr>
              <w:spacing w:after="40" w:before="40" w:line="264" w:lineRule="auto"/>
              <w:jc w:val="left"/>
            </w:pPr>
            <w:r/>
            <w:r>
              <w:rPr>
                <w:rFonts w:ascii="Times New Roman" w:hAnsi="Times New Roman"/>
                <w:b w:val="0"/>
                <w:sz w:val="18"/>
              </w:rPr>
              <w:t>Purchase Quantity</w:t>
            </w:r>
          </w:p>
        </w:tc>
        <w:tc>
          <w:tcPr>
            <w:tcW w:type="dxa" w:w="1872"/>
          </w:tcPr>
          <w:p>
            <w:pPr>
              <w:spacing w:after="40" w:before="40" w:line="264" w:lineRule="auto"/>
              <w:jc w:val="left"/>
            </w:pPr>
            <w:r/>
            <w:r>
              <w:rPr>
                <w:rFonts w:ascii="Times New Roman" w:hAnsi="Times New Roman"/>
                <w:b w:val="0"/>
                <w:sz w:val="18"/>
              </w:rPr>
              <w:t>integer</w:t>
            </w:r>
          </w:p>
        </w:tc>
        <w:tc>
          <w:tcPr>
            <w:tcW w:type="dxa" w:w="1872"/>
          </w:tcPr>
          <w:p>
            <w:pPr>
              <w:spacing w:after="40" w:before="40" w:line="264" w:lineRule="auto"/>
              <w:jc w:val="left"/>
            </w:pPr>
            <w:r/>
            <w:r>
              <w:rPr>
                <w:rFonts w:ascii="Times New Roman" w:hAnsi="Times New Roman"/>
                <w:b w:val="0"/>
                <w:sz w:val="18"/>
              </w:rPr>
              <w:t>strips</w:t>
            </w:r>
          </w:p>
        </w:tc>
        <w:tc>
          <w:tcPr>
            <w:tcW w:type="dxa" w:w="1872"/>
          </w:tcPr>
          <w:p>
            <w:pPr>
              <w:spacing w:after="40" w:before="40" w:line="264" w:lineRule="auto"/>
              <w:jc w:val="left"/>
            </w:pPr>
            <w:r/>
            <w:r>
              <w:rPr>
                <w:rFonts w:ascii="Times New Roman" w:hAnsi="Times New Roman"/>
                <w:b w:val="0"/>
                <w:sz w:val="18"/>
              </w:rPr>
              <w:t>Number of strips purchased during the month</w:t>
            </w:r>
          </w:p>
        </w:tc>
      </w:tr>
      <w:tr>
        <w:tc>
          <w:tcPr>
            <w:tcW w:type="dxa" w:w="1872"/>
            <w:vMerge/>
          </w:tcPr>
          <w:p/>
        </w:tc>
        <w:tc>
          <w:tcPr>
            <w:tcW w:type="dxa" w:w="1872"/>
          </w:tcPr>
          <w:p>
            <w:pPr>
              <w:spacing w:after="40" w:before="40" w:line="264" w:lineRule="auto"/>
              <w:jc w:val="left"/>
            </w:pPr>
            <w:r/>
            <w:r>
              <w:rPr>
                <w:rFonts w:ascii="Times New Roman" w:hAnsi="Times New Roman"/>
                <w:b w:val="0"/>
                <w:sz w:val="18"/>
              </w:rPr>
              <w:t>Sale Quantity</w:t>
            </w:r>
          </w:p>
        </w:tc>
        <w:tc>
          <w:tcPr>
            <w:tcW w:type="dxa" w:w="1872"/>
          </w:tcPr>
          <w:p>
            <w:pPr>
              <w:spacing w:after="40" w:before="40" w:line="264" w:lineRule="auto"/>
              <w:jc w:val="left"/>
            </w:pPr>
            <w:r/>
            <w:r>
              <w:rPr>
                <w:rFonts w:ascii="Times New Roman" w:hAnsi="Times New Roman"/>
                <w:b w:val="0"/>
                <w:sz w:val="18"/>
              </w:rPr>
              <w:t>integer</w:t>
            </w:r>
          </w:p>
        </w:tc>
        <w:tc>
          <w:tcPr>
            <w:tcW w:type="dxa" w:w="1872"/>
          </w:tcPr>
          <w:p>
            <w:pPr>
              <w:spacing w:after="40" w:before="40" w:line="264" w:lineRule="auto"/>
              <w:jc w:val="left"/>
            </w:pPr>
            <w:r/>
            <w:r>
              <w:rPr>
                <w:rFonts w:ascii="Times New Roman" w:hAnsi="Times New Roman"/>
                <w:b w:val="0"/>
                <w:sz w:val="18"/>
              </w:rPr>
              <w:t>strips</w:t>
            </w:r>
          </w:p>
        </w:tc>
        <w:tc>
          <w:tcPr>
            <w:tcW w:type="dxa" w:w="1872"/>
          </w:tcPr>
          <w:p>
            <w:pPr>
              <w:spacing w:after="40" w:before="40" w:line="264" w:lineRule="auto"/>
              <w:jc w:val="left"/>
            </w:pPr>
            <w:r/>
            <w:r>
              <w:rPr>
                <w:rFonts w:ascii="Times New Roman" w:hAnsi="Times New Roman"/>
                <w:b w:val="0"/>
                <w:sz w:val="18"/>
              </w:rPr>
              <w:t>Number of strips sold during the month</w:t>
            </w:r>
          </w:p>
        </w:tc>
      </w:tr>
      <w:tr>
        <w:tc>
          <w:tcPr>
            <w:tcW w:type="dxa" w:w="1872"/>
            <w:vMerge/>
          </w:tcPr>
          <w:p/>
        </w:tc>
        <w:tc>
          <w:tcPr>
            <w:tcW w:type="dxa" w:w="1872"/>
          </w:tcPr>
          <w:p>
            <w:pPr>
              <w:spacing w:after="40" w:before="40" w:line="264" w:lineRule="auto"/>
              <w:jc w:val="left"/>
            </w:pPr>
            <w:r/>
            <w:r>
              <w:rPr>
                <w:rFonts w:ascii="Times New Roman" w:hAnsi="Times New Roman"/>
                <w:b w:val="0"/>
                <w:sz w:val="18"/>
              </w:rPr>
              <w:t>Closing Stock</w:t>
            </w:r>
          </w:p>
        </w:tc>
        <w:tc>
          <w:tcPr>
            <w:tcW w:type="dxa" w:w="1872"/>
          </w:tcPr>
          <w:p>
            <w:pPr>
              <w:spacing w:after="40" w:before="40" w:line="264" w:lineRule="auto"/>
              <w:jc w:val="left"/>
            </w:pPr>
            <w:r/>
            <w:r>
              <w:rPr>
                <w:rFonts w:ascii="Times New Roman" w:hAnsi="Times New Roman"/>
                <w:b w:val="0"/>
                <w:sz w:val="18"/>
              </w:rPr>
              <w:t>integer</w:t>
            </w:r>
          </w:p>
        </w:tc>
        <w:tc>
          <w:tcPr>
            <w:tcW w:type="dxa" w:w="1872"/>
          </w:tcPr>
          <w:p>
            <w:pPr>
              <w:spacing w:after="40" w:before="40" w:line="264" w:lineRule="auto"/>
              <w:jc w:val="left"/>
            </w:pPr>
            <w:r/>
            <w:r>
              <w:rPr>
                <w:rFonts w:ascii="Times New Roman" w:hAnsi="Times New Roman"/>
                <w:b w:val="0"/>
                <w:sz w:val="18"/>
              </w:rPr>
              <w:t>strips</w:t>
            </w:r>
          </w:p>
        </w:tc>
        <w:tc>
          <w:tcPr>
            <w:tcW w:type="dxa" w:w="1872"/>
          </w:tcPr>
          <w:p>
            <w:pPr>
              <w:spacing w:after="40" w:before="40" w:line="264" w:lineRule="auto"/>
              <w:jc w:val="left"/>
            </w:pPr>
            <w:r/>
            <w:r>
              <w:rPr>
                <w:rFonts w:ascii="Times New Roman" w:hAnsi="Times New Roman"/>
                <w:b w:val="0"/>
                <w:sz w:val="18"/>
              </w:rPr>
              <w:t>Number of strips in stock at end of month</w:t>
            </w:r>
          </w:p>
        </w:tc>
      </w:tr>
      <w:tr>
        <w:tc>
          <w:tcPr>
            <w:tcW w:type="dxa" w:w="1872"/>
            <w:vMerge/>
          </w:tcPr>
          <w:p/>
        </w:tc>
        <w:tc>
          <w:tcPr>
            <w:tcW w:type="dxa" w:w="1872"/>
          </w:tcPr>
          <w:p>
            <w:pPr>
              <w:spacing w:after="40" w:before="40" w:line="264" w:lineRule="auto"/>
              <w:jc w:val="left"/>
            </w:pPr>
            <w:r/>
            <w:r>
              <w:rPr>
                <w:rFonts w:ascii="Times New Roman" w:hAnsi="Times New Roman"/>
                <w:b w:val="0"/>
                <w:sz w:val="18"/>
              </w:rPr>
              <w:t>Total Revenue</w:t>
            </w:r>
          </w:p>
        </w:tc>
        <w:tc>
          <w:tcPr>
            <w:tcW w:type="dxa" w:w="1872"/>
          </w:tcPr>
          <w:p>
            <w:pPr>
              <w:spacing w:after="40" w:before="40" w:line="264" w:lineRule="auto"/>
              <w:jc w:val="left"/>
            </w:pPr>
            <w:r/>
            <w:r>
              <w:rPr>
                <w:rFonts w:ascii="Times New Roman" w:hAnsi="Times New Roman"/>
                <w:b w:val="0"/>
                <w:sz w:val="18"/>
              </w:rPr>
              <w:t>float</w:t>
            </w:r>
          </w:p>
        </w:tc>
        <w:tc>
          <w:tcPr>
            <w:tcW w:type="dxa" w:w="1872"/>
          </w:tcPr>
          <w:p>
            <w:pPr>
              <w:spacing w:after="40" w:before="40" w:line="264" w:lineRule="auto"/>
              <w:jc w:val="left"/>
            </w:pPr>
            <w:r/>
            <w:r>
              <w:rPr>
                <w:rFonts w:ascii="Times New Roman" w:hAnsi="Times New Roman"/>
                <w:b w:val="0"/>
                <w:sz w:val="18"/>
              </w:rPr>
              <w:t>Rupees</w:t>
            </w:r>
          </w:p>
        </w:tc>
        <w:tc>
          <w:tcPr>
            <w:tcW w:type="dxa" w:w="1872"/>
          </w:tcPr>
          <w:p>
            <w:pPr>
              <w:spacing w:after="40" w:before="40" w:line="264" w:lineRule="auto"/>
              <w:jc w:val="left"/>
            </w:pPr>
            <w:r/>
            <w:r>
              <w:rPr>
                <w:rFonts w:ascii="Times New Roman" w:hAnsi="Times New Roman"/>
                <w:b w:val="0"/>
                <w:sz w:val="18"/>
              </w:rPr>
              <w:t>Gross revenue generated (Sale Quantity x MRP)</w:t>
            </w:r>
          </w:p>
        </w:tc>
      </w:tr>
      <w:tr>
        <w:tc>
          <w:tcPr>
            <w:tcW w:type="dxa" w:w="1872"/>
            <w:vMerge/>
          </w:tcPr>
          <w:p/>
        </w:tc>
        <w:tc>
          <w:tcPr>
            <w:tcW w:type="dxa" w:w="1872"/>
          </w:tcPr>
          <w:p>
            <w:pPr>
              <w:spacing w:after="40" w:before="40" w:line="264" w:lineRule="auto"/>
              <w:jc w:val="left"/>
            </w:pPr>
            <w:r/>
            <w:r>
              <w:rPr>
                <w:rFonts w:ascii="Times New Roman" w:hAnsi="Times New Roman"/>
                <w:b w:val="0"/>
                <w:sz w:val="18"/>
              </w:rPr>
              <w:t>Expiry Date</w:t>
            </w:r>
          </w:p>
        </w:tc>
        <w:tc>
          <w:tcPr>
            <w:tcW w:type="dxa" w:w="1872"/>
          </w:tcPr>
          <w:p>
            <w:pPr>
              <w:spacing w:after="40" w:before="40" w:line="264" w:lineRule="auto"/>
              <w:jc w:val="left"/>
            </w:pPr>
            <w:r/>
            <w:r>
              <w:rPr>
                <w:rFonts w:ascii="Times New Roman" w:hAnsi="Times New Roman"/>
                <w:b w:val="0"/>
                <w:sz w:val="18"/>
              </w:rPr>
              <w:t>string</w:t>
            </w:r>
          </w:p>
        </w:tc>
        <w:tc>
          <w:tcPr>
            <w:tcW w:type="dxa" w:w="1872"/>
          </w:tcPr>
          <w:p>
            <w:pPr>
              <w:spacing w:after="40" w:before="40" w:line="264" w:lineRule="auto"/>
              <w:jc w:val="left"/>
            </w:pPr>
            <w:r/>
            <w:r>
              <w:rPr>
                <w:rFonts w:ascii="Times New Roman" w:hAnsi="Times New Roman"/>
                <w:b w:val="0"/>
                <w:sz w:val="18"/>
              </w:rPr>
              <w:t>MM/YYYY</w:t>
            </w:r>
          </w:p>
        </w:tc>
        <w:tc>
          <w:tcPr>
            <w:tcW w:type="dxa" w:w="1872"/>
          </w:tcPr>
          <w:p>
            <w:pPr>
              <w:spacing w:after="40" w:before="40" w:line="264" w:lineRule="auto"/>
              <w:jc w:val="left"/>
            </w:pPr>
            <w:r/>
            <w:r>
              <w:rPr>
                <w:rFonts w:ascii="Times New Roman" w:hAnsi="Times New Roman"/>
                <w:b w:val="0"/>
                <w:sz w:val="18"/>
              </w:rPr>
              <w:t>Expiration date printed on medicine packaging</w:t>
            </w:r>
          </w:p>
        </w:tc>
      </w:tr>
    </w:tbl>
    <w:p>
      <w:pPr>
        <w:spacing w:after="120" w:before="0" w:line="360" w:lineRule="auto"/>
        <w:jc w:val="center"/>
      </w:pPr>
      <w:r>
        <w:rPr>
          <w:rFonts w:ascii="Times New Roman" w:hAnsi="Times New Roman"/>
          <w:b w:val="0"/>
          <w:i/>
          <w:sz w:val="20"/>
        </w:rPr>
        <w:t>Table 2: Metadata Definition — 11 Variables Applied Identically Across All 6 Monthly Sheets</w:t>
      </w:r>
    </w:p>
    <w:p>
      <w:pPr>
        <w:spacing w:after="120" w:before="0" w:line="360" w:lineRule="auto"/>
        <w:jc w:val="both"/>
      </w:pPr>
      <w:r>
        <w:rPr>
          <w:rFonts w:ascii="Times New Roman" w:hAnsi="Times New Roman"/>
          <w:b w:val="0"/>
          <w:i w:val="0"/>
          <w:sz w:val="24"/>
        </w:rPr>
        <w:t>Aggregation Rationale &amp; Descriptive Statistics: Raw data contains 180 SKU-month observations (30 SKUs x 6 months) aggregated at the SKU level over 6 months (N = 30):</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73e8"/>
          </w:tcPr>
          <w:p>
            <w:pPr>
              <w:spacing w:after="40" w:before="40" w:line="264" w:lineRule="auto"/>
              <w:jc w:val="left"/>
            </w:pPr>
            <w:r>
              <w:rPr>
                <w:color w:val="FFFFFF"/>
              </w:rPr>
            </w:r>
            <w:r>
              <w:rPr>
                <w:rFonts w:ascii="Times New Roman" w:hAnsi="Times New Roman"/>
                <w:b/>
                <w:color w:val="FFFFFF"/>
                <w:sz w:val="18"/>
              </w:rPr>
              <w:t>Statistical Metric</w:t>
            </w:r>
          </w:p>
        </w:tc>
        <w:tc>
          <w:tcPr>
            <w:tcW w:type="dxa" w:w="1872"/>
            <w:shd w:fill="1a73e8"/>
          </w:tcPr>
          <w:p>
            <w:pPr>
              <w:spacing w:after="40" w:before="40" w:line="264" w:lineRule="auto"/>
              <w:jc w:val="left"/>
            </w:pPr>
            <w:r>
              <w:rPr>
                <w:color w:val="FFFFFF"/>
              </w:rPr>
            </w:r>
            <w:r>
              <w:rPr>
                <w:rFonts w:ascii="Times New Roman" w:hAnsi="Times New Roman"/>
                <w:b/>
                <w:color w:val="FFFFFF"/>
                <w:sz w:val="18"/>
              </w:rPr>
              <w:t>MRP (₹)</w:t>
            </w:r>
          </w:p>
        </w:tc>
        <w:tc>
          <w:tcPr>
            <w:tcW w:type="dxa" w:w="1872"/>
            <w:shd w:fill="1a73e8"/>
          </w:tcPr>
          <w:p>
            <w:pPr>
              <w:spacing w:after="40" w:before="40" w:line="264" w:lineRule="auto"/>
              <w:jc w:val="left"/>
            </w:pPr>
            <w:r>
              <w:rPr>
                <w:color w:val="FFFFFF"/>
              </w:rPr>
            </w:r>
            <w:r>
              <w:rPr>
                <w:rFonts w:ascii="Times New Roman" w:hAnsi="Times New Roman"/>
                <w:b/>
                <w:color w:val="FFFFFF"/>
                <w:sz w:val="18"/>
              </w:rPr>
              <w:t>Purchase Price (₹)</w:t>
            </w:r>
          </w:p>
        </w:tc>
        <w:tc>
          <w:tcPr>
            <w:tcW w:type="dxa" w:w="1872"/>
            <w:shd w:fill="1a73e8"/>
          </w:tcPr>
          <w:p>
            <w:pPr>
              <w:spacing w:after="40" w:before="40" w:line="264" w:lineRule="auto"/>
              <w:jc w:val="left"/>
            </w:pPr>
            <w:r>
              <w:rPr>
                <w:color w:val="FFFFFF"/>
              </w:rPr>
            </w:r>
            <w:r>
              <w:rPr>
                <w:rFonts w:ascii="Times New Roman" w:hAnsi="Times New Roman"/>
                <w:b/>
                <w:color w:val="FFFFFF"/>
                <w:sz w:val="18"/>
              </w:rPr>
              <w:t>6M Sales Qty (Strips)</w:t>
            </w:r>
          </w:p>
        </w:tc>
        <w:tc>
          <w:tcPr>
            <w:tcW w:type="dxa" w:w="1872"/>
            <w:shd w:fill="1a73e8"/>
          </w:tcPr>
          <w:p>
            <w:pPr>
              <w:spacing w:after="40" w:before="40" w:line="264" w:lineRule="auto"/>
              <w:jc w:val="left"/>
            </w:pPr>
            <w:r>
              <w:rPr>
                <w:color w:val="FFFFFF"/>
              </w:rPr>
            </w:r>
            <w:r>
              <w:rPr>
                <w:rFonts w:ascii="Times New Roman" w:hAnsi="Times New Roman"/>
                <w:b/>
                <w:color w:val="FFFFFF"/>
                <w:sz w:val="18"/>
              </w:rPr>
              <w:t>6M Total Revenue (₹)</w:t>
            </w:r>
          </w:p>
        </w:tc>
      </w:tr>
      <w:tr>
        <w:tc>
          <w:tcPr>
            <w:tcW w:type="dxa" w:w="1872"/>
          </w:tcPr>
          <w:p>
            <w:pPr>
              <w:spacing w:after="40" w:before="40" w:line="264" w:lineRule="auto"/>
              <w:jc w:val="left"/>
            </w:pPr>
            <w:r/>
            <w:r>
              <w:rPr>
                <w:rFonts w:ascii="Times New Roman" w:hAnsi="Times New Roman"/>
                <w:b w:val="0"/>
                <w:sz w:val="18"/>
              </w:rPr>
              <w:t>Sample Count (N)</w:t>
            </w:r>
          </w:p>
        </w:tc>
        <w:tc>
          <w:tcPr>
            <w:tcW w:type="dxa" w:w="1872"/>
          </w:tcPr>
          <w:p>
            <w:pPr>
              <w:spacing w:after="40" w:before="40" w:line="264" w:lineRule="auto"/>
              <w:jc w:val="left"/>
            </w:pPr>
            <w:r/>
            <w:r>
              <w:rPr>
                <w:rFonts w:ascii="Times New Roman" w:hAnsi="Times New Roman"/>
                <w:b w:val="0"/>
                <w:sz w:val="18"/>
              </w:rPr>
              <w:t>30</w:t>
            </w:r>
          </w:p>
        </w:tc>
        <w:tc>
          <w:tcPr>
            <w:tcW w:type="dxa" w:w="1872"/>
          </w:tcPr>
          <w:p>
            <w:pPr>
              <w:spacing w:after="40" w:before="40" w:line="264" w:lineRule="auto"/>
              <w:jc w:val="left"/>
            </w:pPr>
            <w:r/>
            <w:r>
              <w:rPr>
                <w:rFonts w:ascii="Times New Roman" w:hAnsi="Times New Roman"/>
                <w:b w:val="0"/>
                <w:sz w:val="18"/>
              </w:rPr>
              <w:t>30</w:t>
            </w:r>
          </w:p>
        </w:tc>
        <w:tc>
          <w:tcPr>
            <w:tcW w:type="dxa" w:w="1872"/>
          </w:tcPr>
          <w:p>
            <w:pPr>
              <w:spacing w:after="40" w:before="40" w:line="264" w:lineRule="auto"/>
              <w:jc w:val="left"/>
            </w:pPr>
            <w:r/>
            <w:r>
              <w:rPr>
                <w:rFonts w:ascii="Times New Roman" w:hAnsi="Times New Roman"/>
                <w:b w:val="0"/>
                <w:sz w:val="18"/>
              </w:rPr>
              <w:t>30</w:t>
            </w:r>
          </w:p>
        </w:tc>
        <w:tc>
          <w:tcPr>
            <w:tcW w:type="dxa" w:w="1872"/>
          </w:tcPr>
          <w:p>
            <w:pPr>
              <w:spacing w:after="40" w:before="40" w:line="264" w:lineRule="auto"/>
              <w:jc w:val="left"/>
            </w:pPr>
            <w:r/>
            <w:r>
              <w:rPr>
                <w:rFonts w:ascii="Times New Roman" w:hAnsi="Times New Roman"/>
                <w:b w:val="0"/>
                <w:sz w:val="18"/>
              </w:rPr>
              <w:t>30</w:t>
            </w:r>
          </w:p>
        </w:tc>
      </w:tr>
      <w:tr>
        <w:tc>
          <w:tcPr>
            <w:tcW w:type="dxa" w:w="1872"/>
          </w:tcPr>
          <w:p>
            <w:pPr>
              <w:spacing w:after="40" w:before="40" w:line="264" w:lineRule="auto"/>
              <w:jc w:val="left"/>
            </w:pPr>
            <w:r/>
            <w:r>
              <w:rPr>
                <w:rFonts w:ascii="Times New Roman" w:hAnsi="Times New Roman"/>
                <w:b w:val="0"/>
                <w:sz w:val="18"/>
              </w:rPr>
              <w:t>Mean (Average)</w:t>
            </w:r>
          </w:p>
        </w:tc>
        <w:tc>
          <w:tcPr>
            <w:tcW w:type="dxa" w:w="1872"/>
          </w:tcPr>
          <w:p>
            <w:pPr>
              <w:spacing w:after="40" w:before="40" w:line="264" w:lineRule="auto"/>
              <w:jc w:val="left"/>
            </w:pPr>
            <w:r/>
            <w:r>
              <w:rPr>
                <w:rFonts w:ascii="Times New Roman" w:hAnsi="Times New Roman"/>
                <w:b w:val="0"/>
                <w:sz w:val="18"/>
              </w:rPr>
              <w:t>₹192.30</w:t>
            </w:r>
          </w:p>
        </w:tc>
        <w:tc>
          <w:tcPr>
            <w:tcW w:type="dxa" w:w="1872"/>
          </w:tcPr>
          <w:p>
            <w:pPr>
              <w:spacing w:after="40" w:before="40" w:line="264" w:lineRule="auto"/>
              <w:jc w:val="left"/>
            </w:pPr>
            <w:r/>
            <w:r>
              <w:rPr>
                <w:rFonts w:ascii="Times New Roman" w:hAnsi="Times New Roman"/>
                <w:b w:val="0"/>
                <w:sz w:val="18"/>
              </w:rPr>
              <w:t>₹134.87</w:t>
            </w:r>
          </w:p>
        </w:tc>
        <w:tc>
          <w:tcPr>
            <w:tcW w:type="dxa" w:w="1872"/>
          </w:tcPr>
          <w:p>
            <w:pPr>
              <w:spacing w:after="40" w:before="40" w:line="264" w:lineRule="auto"/>
              <w:jc w:val="left"/>
            </w:pPr>
            <w:r/>
            <w:r>
              <w:rPr>
                <w:rFonts w:ascii="Times New Roman" w:hAnsi="Times New Roman"/>
                <w:b w:val="0"/>
                <w:sz w:val="18"/>
              </w:rPr>
              <w:t>223.40</w:t>
            </w:r>
          </w:p>
        </w:tc>
        <w:tc>
          <w:tcPr>
            <w:tcW w:type="dxa" w:w="1872"/>
          </w:tcPr>
          <w:p>
            <w:pPr>
              <w:spacing w:after="40" w:before="40" w:line="264" w:lineRule="auto"/>
              <w:jc w:val="left"/>
            </w:pPr>
            <w:r/>
            <w:r>
              <w:rPr>
                <w:rFonts w:ascii="Times New Roman" w:hAnsi="Times New Roman"/>
                <w:b w:val="0"/>
                <w:sz w:val="18"/>
              </w:rPr>
              <w:t>₹43,521.83</w:t>
            </w:r>
          </w:p>
        </w:tc>
      </w:tr>
      <w:tr>
        <w:tc>
          <w:tcPr>
            <w:tcW w:type="dxa" w:w="1872"/>
          </w:tcPr>
          <w:p>
            <w:pPr>
              <w:spacing w:after="40" w:before="40" w:line="264" w:lineRule="auto"/>
              <w:jc w:val="left"/>
            </w:pPr>
            <w:r/>
            <w:r>
              <w:rPr>
                <w:rFonts w:ascii="Times New Roman" w:hAnsi="Times New Roman"/>
                <w:b w:val="0"/>
                <w:sz w:val="18"/>
              </w:rPr>
              <w:t>Median</w:t>
            </w:r>
          </w:p>
        </w:tc>
        <w:tc>
          <w:tcPr>
            <w:tcW w:type="dxa" w:w="1872"/>
          </w:tcPr>
          <w:p>
            <w:pPr>
              <w:spacing w:after="40" w:before="40" w:line="264" w:lineRule="auto"/>
              <w:jc w:val="left"/>
            </w:pPr>
            <w:r/>
            <w:r>
              <w:rPr>
                <w:rFonts w:ascii="Times New Roman" w:hAnsi="Times New Roman"/>
                <w:b w:val="0"/>
                <w:sz w:val="18"/>
              </w:rPr>
              <w:t>₹179.00</w:t>
            </w:r>
          </w:p>
        </w:tc>
        <w:tc>
          <w:tcPr>
            <w:tcW w:type="dxa" w:w="1872"/>
          </w:tcPr>
          <w:p>
            <w:pPr>
              <w:spacing w:after="40" w:before="40" w:line="264" w:lineRule="auto"/>
              <w:jc w:val="left"/>
            </w:pPr>
            <w:r/>
            <w:r>
              <w:rPr>
                <w:rFonts w:ascii="Times New Roman" w:hAnsi="Times New Roman"/>
                <w:b w:val="0"/>
                <w:sz w:val="18"/>
              </w:rPr>
              <w:t>₹124.00</w:t>
            </w:r>
          </w:p>
        </w:tc>
        <w:tc>
          <w:tcPr>
            <w:tcW w:type="dxa" w:w="1872"/>
          </w:tcPr>
          <w:p>
            <w:pPr>
              <w:spacing w:after="40" w:before="40" w:line="264" w:lineRule="auto"/>
              <w:jc w:val="left"/>
            </w:pPr>
            <w:r/>
            <w:r>
              <w:rPr>
                <w:rFonts w:ascii="Times New Roman" w:hAnsi="Times New Roman"/>
                <w:b w:val="0"/>
                <w:sz w:val="18"/>
              </w:rPr>
              <w:t>225.00</w:t>
            </w:r>
          </w:p>
        </w:tc>
        <w:tc>
          <w:tcPr>
            <w:tcW w:type="dxa" w:w="1872"/>
          </w:tcPr>
          <w:p>
            <w:pPr>
              <w:spacing w:after="40" w:before="40" w:line="264" w:lineRule="auto"/>
              <w:jc w:val="left"/>
            </w:pPr>
            <w:r/>
            <w:r>
              <w:rPr>
                <w:rFonts w:ascii="Times New Roman" w:hAnsi="Times New Roman"/>
                <w:b w:val="0"/>
                <w:sz w:val="18"/>
              </w:rPr>
              <w:t>₹41,108.50</w:t>
            </w:r>
          </w:p>
        </w:tc>
      </w:tr>
      <w:tr>
        <w:tc>
          <w:tcPr>
            <w:tcW w:type="dxa" w:w="1872"/>
          </w:tcPr>
          <w:p>
            <w:pPr>
              <w:spacing w:after="40" w:before="40" w:line="264" w:lineRule="auto"/>
              <w:jc w:val="left"/>
            </w:pPr>
            <w:r/>
            <w:r>
              <w:rPr>
                <w:rFonts w:ascii="Times New Roman" w:hAnsi="Times New Roman"/>
                <w:b w:val="0"/>
                <w:sz w:val="18"/>
              </w:rPr>
              <w:t>Standard Deviation</w:t>
            </w:r>
          </w:p>
        </w:tc>
        <w:tc>
          <w:tcPr>
            <w:tcW w:type="dxa" w:w="1872"/>
          </w:tcPr>
          <w:p>
            <w:pPr>
              <w:spacing w:after="40" w:before="40" w:line="264" w:lineRule="auto"/>
              <w:jc w:val="left"/>
            </w:pPr>
            <w:r/>
            <w:r>
              <w:rPr>
                <w:rFonts w:ascii="Times New Roman" w:hAnsi="Times New Roman"/>
                <w:b w:val="0"/>
                <w:sz w:val="18"/>
              </w:rPr>
              <w:t>₹110.75</w:t>
            </w:r>
          </w:p>
        </w:tc>
        <w:tc>
          <w:tcPr>
            <w:tcW w:type="dxa" w:w="1872"/>
          </w:tcPr>
          <w:p>
            <w:pPr>
              <w:spacing w:after="40" w:before="40" w:line="264" w:lineRule="auto"/>
              <w:jc w:val="left"/>
            </w:pPr>
            <w:r/>
            <w:r>
              <w:rPr>
                <w:rFonts w:ascii="Times New Roman" w:hAnsi="Times New Roman"/>
                <w:b w:val="0"/>
                <w:sz w:val="18"/>
              </w:rPr>
              <w:t>₹80.00</w:t>
            </w:r>
          </w:p>
        </w:tc>
        <w:tc>
          <w:tcPr>
            <w:tcW w:type="dxa" w:w="1872"/>
          </w:tcPr>
          <w:p>
            <w:pPr>
              <w:spacing w:after="40" w:before="40" w:line="264" w:lineRule="auto"/>
              <w:jc w:val="left"/>
            </w:pPr>
            <w:r/>
            <w:r>
              <w:rPr>
                <w:rFonts w:ascii="Times New Roman" w:hAnsi="Times New Roman"/>
                <w:b w:val="0"/>
                <w:sz w:val="18"/>
              </w:rPr>
              <w:t>35.68</w:t>
            </w:r>
          </w:p>
        </w:tc>
        <w:tc>
          <w:tcPr>
            <w:tcW w:type="dxa" w:w="1872"/>
          </w:tcPr>
          <w:p>
            <w:pPr>
              <w:spacing w:after="40" w:before="40" w:line="264" w:lineRule="auto"/>
              <w:jc w:val="left"/>
            </w:pPr>
            <w:r/>
            <w:r>
              <w:rPr>
                <w:rFonts w:ascii="Times New Roman" w:hAnsi="Times New Roman"/>
                <w:b w:val="0"/>
                <w:sz w:val="18"/>
              </w:rPr>
              <w:t>₹25,890.82</w:t>
            </w:r>
          </w:p>
        </w:tc>
      </w:tr>
      <w:tr>
        <w:tc>
          <w:tcPr>
            <w:tcW w:type="dxa" w:w="1872"/>
          </w:tcPr>
          <w:p>
            <w:pPr>
              <w:spacing w:after="40" w:before="40" w:line="264" w:lineRule="auto"/>
              <w:jc w:val="left"/>
            </w:pPr>
            <w:r/>
            <w:r>
              <w:rPr>
                <w:rFonts w:ascii="Times New Roman" w:hAnsi="Times New Roman"/>
                <w:b w:val="0"/>
                <w:sz w:val="18"/>
              </w:rPr>
              <w:t>Minimum</w:t>
            </w:r>
          </w:p>
        </w:tc>
        <w:tc>
          <w:tcPr>
            <w:tcW w:type="dxa" w:w="1872"/>
          </w:tcPr>
          <w:p>
            <w:pPr>
              <w:spacing w:after="40" w:before="40" w:line="264" w:lineRule="auto"/>
              <w:jc w:val="left"/>
            </w:pPr>
            <w:r/>
            <w:r>
              <w:rPr>
                <w:rFonts w:ascii="Times New Roman" w:hAnsi="Times New Roman"/>
                <w:b w:val="0"/>
                <w:sz w:val="18"/>
              </w:rPr>
              <w:t>₹45.00</w:t>
            </w:r>
          </w:p>
        </w:tc>
        <w:tc>
          <w:tcPr>
            <w:tcW w:type="dxa" w:w="1872"/>
          </w:tcPr>
          <w:p>
            <w:pPr>
              <w:spacing w:after="40" w:before="40" w:line="264" w:lineRule="auto"/>
              <w:jc w:val="left"/>
            </w:pPr>
            <w:r/>
            <w:r>
              <w:rPr>
                <w:rFonts w:ascii="Times New Roman" w:hAnsi="Times New Roman"/>
                <w:b w:val="0"/>
                <w:sz w:val="18"/>
              </w:rPr>
              <w:t>₹28.00</w:t>
            </w:r>
          </w:p>
        </w:tc>
        <w:tc>
          <w:tcPr>
            <w:tcW w:type="dxa" w:w="1872"/>
          </w:tcPr>
          <w:p>
            <w:pPr>
              <w:spacing w:after="40" w:before="40" w:line="264" w:lineRule="auto"/>
              <w:jc w:val="left"/>
            </w:pPr>
            <w:r/>
            <w:r>
              <w:rPr>
                <w:rFonts w:ascii="Times New Roman" w:hAnsi="Times New Roman"/>
                <w:b w:val="0"/>
                <w:sz w:val="18"/>
              </w:rPr>
              <w:t>152</w:t>
            </w:r>
          </w:p>
        </w:tc>
        <w:tc>
          <w:tcPr>
            <w:tcW w:type="dxa" w:w="1872"/>
          </w:tcPr>
          <w:p>
            <w:pPr>
              <w:spacing w:after="40" w:before="40" w:line="264" w:lineRule="auto"/>
              <w:jc w:val="left"/>
            </w:pPr>
            <w:r/>
            <w:r>
              <w:rPr>
                <w:rFonts w:ascii="Times New Roman" w:hAnsi="Times New Roman"/>
                <w:b w:val="0"/>
                <w:sz w:val="18"/>
              </w:rPr>
              <w:t>₹7,605.00</w:t>
            </w:r>
          </w:p>
        </w:tc>
      </w:tr>
      <w:tr>
        <w:tc>
          <w:tcPr>
            <w:tcW w:type="dxa" w:w="1872"/>
          </w:tcPr>
          <w:p>
            <w:pPr>
              <w:spacing w:after="40" w:before="40" w:line="264" w:lineRule="auto"/>
              <w:jc w:val="left"/>
            </w:pPr>
            <w:r/>
            <w:r>
              <w:rPr>
                <w:rFonts w:ascii="Times New Roman" w:hAnsi="Times New Roman"/>
                <w:b w:val="0"/>
                <w:sz w:val="18"/>
              </w:rPr>
              <w:t>Maximum</w:t>
            </w:r>
          </w:p>
        </w:tc>
        <w:tc>
          <w:tcPr>
            <w:tcW w:type="dxa" w:w="1872"/>
          </w:tcPr>
          <w:p>
            <w:pPr>
              <w:spacing w:after="40" w:before="40" w:line="264" w:lineRule="auto"/>
              <w:jc w:val="left"/>
            </w:pPr>
            <w:r/>
            <w:r>
              <w:rPr>
                <w:rFonts w:ascii="Times New Roman" w:hAnsi="Times New Roman"/>
                <w:b w:val="0"/>
                <w:sz w:val="18"/>
              </w:rPr>
              <w:t>₹480.00</w:t>
            </w:r>
          </w:p>
        </w:tc>
        <w:tc>
          <w:tcPr>
            <w:tcW w:type="dxa" w:w="1872"/>
          </w:tcPr>
          <w:p>
            <w:pPr>
              <w:spacing w:after="40" w:before="40" w:line="264" w:lineRule="auto"/>
              <w:jc w:val="left"/>
            </w:pPr>
            <w:r/>
            <w:r>
              <w:rPr>
                <w:rFonts w:ascii="Times New Roman" w:hAnsi="Times New Roman"/>
                <w:b w:val="0"/>
                <w:sz w:val="18"/>
              </w:rPr>
              <w:t>₹340.00</w:t>
            </w:r>
          </w:p>
        </w:tc>
        <w:tc>
          <w:tcPr>
            <w:tcW w:type="dxa" w:w="1872"/>
          </w:tcPr>
          <w:p>
            <w:pPr>
              <w:spacing w:after="40" w:before="40" w:line="264" w:lineRule="auto"/>
              <w:jc w:val="left"/>
            </w:pPr>
            <w:r/>
            <w:r>
              <w:rPr>
                <w:rFonts w:ascii="Times New Roman" w:hAnsi="Times New Roman"/>
                <w:b w:val="0"/>
                <w:sz w:val="18"/>
              </w:rPr>
              <w:t>317</w:t>
            </w:r>
          </w:p>
        </w:tc>
        <w:tc>
          <w:tcPr>
            <w:tcW w:type="dxa" w:w="1872"/>
          </w:tcPr>
          <w:p>
            <w:pPr>
              <w:spacing w:after="40" w:before="40" w:line="264" w:lineRule="auto"/>
              <w:jc w:val="left"/>
            </w:pPr>
            <w:r/>
            <w:r>
              <w:rPr>
                <w:rFonts w:ascii="Times New Roman" w:hAnsi="Times New Roman"/>
                <w:b w:val="0"/>
                <w:sz w:val="18"/>
              </w:rPr>
              <w:t>₹1,15,680.00</w:t>
            </w:r>
          </w:p>
        </w:tc>
      </w:tr>
      <w:tr>
        <w:tc>
          <w:tcPr>
            <w:tcW w:type="dxa" w:w="1872"/>
          </w:tcPr>
          <w:p>
            <w:pPr>
              <w:spacing w:after="40" w:before="40" w:line="264" w:lineRule="auto"/>
              <w:jc w:val="left"/>
            </w:pPr>
            <w:r/>
            <w:r>
              <w:rPr>
                <w:rFonts w:ascii="Times New Roman" w:hAnsi="Times New Roman"/>
                <w:b w:val="0"/>
                <w:sz w:val="18"/>
              </w:rPr>
              <w:t>Range (Max - Min)</w:t>
            </w:r>
          </w:p>
        </w:tc>
        <w:tc>
          <w:tcPr>
            <w:tcW w:type="dxa" w:w="1872"/>
          </w:tcPr>
          <w:p>
            <w:pPr>
              <w:spacing w:after="40" w:before="40" w:line="264" w:lineRule="auto"/>
              <w:jc w:val="left"/>
            </w:pPr>
            <w:r/>
            <w:r>
              <w:rPr>
                <w:rFonts w:ascii="Times New Roman" w:hAnsi="Times New Roman"/>
                <w:b w:val="0"/>
                <w:sz w:val="18"/>
              </w:rPr>
              <w:t>₹435.00</w:t>
            </w:r>
          </w:p>
        </w:tc>
        <w:tc>
          <w:tcPr>
            <w:tcW w:type="dxa" w:w="1872"/>
          </w:tcPr>
          <w:p>
            <w:pPr>
              <w:spacing w:after="40" w:before="40" w:line="264" w:lineRule="auto"/>
              <w:jc w:val="left"/>
            </w:pPr>
            <w:r/>
            <w:r>
              <w:rPr>
                <w:rFonts w:ascii="Times New Roman" w:hAnsi="Times New Roman"/>
                <w:b w:val="0"/>
                <w:sz w:val="18"/>
              </w:rPr>
              <w:t>₹312.00</w:t>
            </w:r>
          </w:p>
        </w:tc>
        <w:tc>
          <w:tcPr>
            <w:tcW w:type="dxa" w:w="1872"/>
          </w:tcPr>
          <w:p>
            <w:pPr>
              <w:spacing w:after="40" w:before="40" w:line="264" w:lineRule="auto"/>
              <w:jc w:val="left"/>
            </w:pPr>
            <w:r/>
            <w:r>
              <w:rPr>
                <w:rFonts w:ascii="Times New Roman" w:hAnsi="Times New Roman"/>
                <w:b w:val="0"/>
                <w:sz w:val="18"/>
              </w:rPr>
              <w:t>165</w:t>
            </w:r>
          </w:p>
        </w:tc>
        <w:tc>
          <w:tcPr>
            <w:tcW w:type="dxa" w:w="1872"/>
          </w:tcPr>
          <w:p>
            <w:pPr>
              <w:spacing w:after="40" w:before="40" w:line="264" w:lineRule="auto"/>
              <w:jc w:val="left"/>
            </w:pPr>
            <w:r/>
            <w:r>
              <w:rPr>
                <w:rFonts w:ascii="Times New Roman" w:hAnsi="Times New Roman"/>
                <w:b w:val="0"/>
                <w:sz w:val="18"/>
              </w:rPr>
              <w:t>₹1,08,075.00</w:t>
            </w:r>
          </w:p>
        </w:tc>
      </w:tr>
    </w:tbl>
    <w:p>
      <w:pPr>
        <w:spacing w:after="120" w:before="0" w:line="360" w:lineRule="auto"/>
        <w:jc w:val="center"/>
      </w:pPr>
      <w:r>
        <w:rPr>
          <w:rFonts w:ascii="Times New Roman" w:hAnsi="Times New Roman"/>
          <w:b w:val="0"/>
          <w:i/>
          <w:sz w:val="20"/>
        </w:rPr>
        <w:t>Table 3: Descriptive Statistics — 30 Medicine SKUs Aggregated Over 6 Months (Jan–June 2026)</w:t>
      </w:r>
    </w:p>
    <w:p>
      <w:pPr>
        <w:spacing w:after="120" w:before="0" w:line="360" w:lineRule="auto"/>
        <w:jc w:val="both"/>
      </w:pPr>
      <w:r>
        <w:rPr>
          <w:rFonts w:ascii="Times New Roman" w:hAnsi="Times New Roman"/>
          <w:b w:val="0"/>
          <w:i w:val="0"/>
          <w:sz w:val="24"/>
        </w:rPr>
        <w:t>Demand Variability Justification: Standard deviation of 35.68 units relative to mean sales 223.40 yields Coefficient of Variation CV = 15.97% (0.16), proving moderate demand variability that justifies velocity-based FSN segmentation.</w:t>
      </w:r>
    </w:p>
    <w:p>
      <w:r>
        <w:br w:type="page"/>
      </w:r>
    </w:p>
    <w:p>
      <w:pPr>
        <w:pStyle w:val="Heading1"/>
        <w:spacing w:before="240" w:after="120" w:line="360" w:lineRule="auto"/>
      </w:pPr>
      <w:r>
        <w:rPr>
          <w:rFonts w:ascii="Times New Roman" w:hAnsi="Times New Roman"/>
          <w:color w:val="000000"/>
          <w:sz w:val="32"/>
        </w:rPr>
        <w:t>2. Detailed Explanation of Analysis Process/Method</w:t>
      </w:r>
    </w:p>
    <w:p>
      <w:pPr>
        <w:pStyle w:val="Heading2"/>
        <w:spacing w:before="240" w:after="120" w:line="360" w:lineRule="auto"/>
      </w:pPr>
      <w:r>
        <w:rPr>
          <w:rFonts w:ascii="Times New Roman" w:hAnsi="Times New Roman"/>
          <w:color w:val="000000"/>
          <w:sz w:val="28"/>
        </w:rPr>
        <w:t>2.1 Data Cleaning and Preprocessing</w:t>
      </w:r>
    </w:p>
    <w:p>
      <w:pPr>
        <w:spacing w:after="120" w:before="0" w:line="360" w:lineRule="auto"/>
        <w:jc w:val="both"/>
      </w:pPr>
      <w:r>
        <w:rPr>
          <w:rFonts w:ascii="Times New Roman" w:hAnsi="Times New Roman"/>
          <w:b w:val="0"/>
          <w:i w:val="0"/>
          <w:sz w:val="24"/>
        </w:rPr>
        <w:t>Data Cleaning Process &amp; Importance: Primary data underwent 4 cleaning stages to ensure data quality and eliminate bias:</w:t>
        <w:br/>
        <w:t>1. Product Name Standardization: Merged variant brand strings across monthly bills into unified standard SKU names.</w:t>
        <w:br/>
        <w:t>2. Missing Value Imputation via Invoices: Missing wholesale purchase rates were backfilled using verified distributor tax invoices from M/s. Sonu Pharma, Patna.</w:t>
        <w:br/>
        <w:t>3. Mathematical Balance Reconciliation: Reconciled every row against the conservation law: Closing Stock = Opening Stock + Purchase Qty - Sales Qty.</w:t>
        <w:br/>
        <w:t>4. Expiry Date Standardization: Converted expiration dates to standard MM/YYYY objects for shelf-life modeling.</w:t>
      </w:r>
    </w:p>
    <w:p>
      <w:pPr>
        <w:pStyle w:val="Heading2"/>
        <w:spacing w:before="240" w:after="120" w:line="360" w:lineRule="auto"/>
      </w:pPr>
      <w:r>
        <w:rPr>
          <w:rFonts w:ascii="Times New Roman" w:hAnsi="Times New Roman"/>
          <w:color w:val="000000"/>
          <w:sz w:val="28"/>
        </w:rPr>
        <w:t>2.2 Explanation of Method/Analysis Used</w:t>
      </w:r>
    </w:p>
    <w:p>
      <w:pPr>
        <w:spacing w:after="120" w:before="0" w:line="360" w:lineRule="auto"/>
        <w:jc w:val="both"/>
      </w:pPr>
      <w:r>
        <w:rPr>
          <w:rFonts w:ascii="Times New Roman" w:hAnsi="Times New Roman"/>
          <w:b/>
          <w:i w:val="0"/>
          <w:sz w:val="24"/>
        </w:rPr>
        <w:t>Method 1: ABC Analysis (Always Better Control)</w:t>
      </w:r>
    </w:p>
    <w:p>
      <w:pPr>
        <w:spacing w:after="120" w:before="0" w:line="360" w:lineRule="auto"/>
        <w:jc w:val="both"/>
      </w:pPr>
      <w:r>
        <w:rPr>
          <w:rFonts w:ascii="Times New Roman" w:hAnsi="Times New Roman"/>
          <w:b w:val="0"/>
          <w:i w:val="0"/>
          <w:sz w:val="24"/>
        </w:rPr>
        <w:t>Mathematical Abstraction: PCV_i = Sales_Qty_i x Purchase_Price_i. Cumulative % = (Sum(PCV_1..i) / Total PCV) x 100. Categorization: Category A (top 70% cumulative value), Category B (next 20%), Category C (bottom 10%).</w:t>
        <w:br/>
        <w:t>Justification: Directly solves Objective 1 by establishing safety buffer stocks for high-value revenue drivers.</w:t>
      </w:r>
    </w:p>
    <w:p>
      <w:pPr>
        <w:spacing w:after="120" w:before="0" w:line="360" w:lineRule="auto"/>
        <w:jc w:val="both"/>
      </w:pPr>
      <w:r>
        <w:rPr>
          <w:rFonts w:ascii="Times New Roman" w:hAnsi="Times New Roman"/>
          <w:b/>
          <w:i w:val="0"/>
          <w:sz w:val="24"/>
        </w:rPr>
        <w:t>Method 2: FSN Analysis (Fast, Slow, Non-Moving) &amp; Threshold Rationale</w:t>
      </w:r>
    </w:p>
    <w:p>
      <w:pPr>
        <w:spacing w:after="120" w:before="0" w:line="360" w:lineRule="auto"/>
        <w:jc w:val="both"/>
      </w:pPr>
      <w:r>
        <w:rPr>
          <w:rFonts w:ascii="Times New Roman" w:hAnsi="Times New Roman"/>
          <w:b w:val="0"/>
          <w:i w:val="0"/>
          <w:sz w:val="24"/>
        </w:rPr>
        <w:t>Mathematical Abstraction: Classifies SKUs by 6-month sales velocity:</w:t>
        <w:br/>
        <w:t>• Fast Moving (F): Sales Qty &gt;= 250 Strips (avg &gt;=42/month, weekly reordering).</w:t>
        <w:br/>
        <w:t>• Slow Moving (S): 190 &lt;= Sales Qty &lt; 250 Strips (avg 32–41/month, stable baseline).</w:t>
        <w:br/>
        <w:t>• Non Moving (N): Sales Qty &lt; 190 Strips (avg &lt;31/month, &lt;1 strip/day sales velocity carrying high holding cost and expiration risk).</w:t>
        <w:br/>
        <w:t>Threshold Selection Rationale: Cutoffs reflect store operational turnover rates. Medicines selling &lt;1 strip/day represent slow capital rotation and high expiration risk.</w:t>
        <w:br/>
        <w:t>Justification: Directly solves Objective 2 by identifying Non-Moving SKUs for 60-day pre-expiry credit returns.</w:t>
      </w:r>
    </w:p>
    <w:p>
      <w:pPr>
        <w:spacing w:after="120" w:before="0" w:line="360" w:lineRule="auto"/>
        <w:jc w:val="both"/>
      </w:pPr>
      <w:r>
        <w:rPr>
          <w:rFonts w:ascii="Times New Roman" w:hAnsi="Times New Roman"/>
          <w:b/>
          <w:i w:val="0"/>
          <w:sz w:val="24"/>
        </w:rPr>
        <w:t>Method 3: Pareto Analysis (80/20 Rule)</w:t>
      </w:r>
    </w:p>
    <w:p>
      <w:pPr>
        <w:spacing w:after="120" w:before="0" w:line="360" w:lineRule="auto"/>
        <w:jc w:val="both"/>
      </w:pPr>
      <w:r>
        <w:rPr>
          <w:rFonts w:ascii="Times New Roman" w:hAnsi="Times New Roman"/>
          <w:b w:val="0"/>
          <w:i w:val="0"/>
          <w:sz w:val="24"/>
        </w:rPr>
        <w:t>Mathematical Abstraction: Ranks SKUs by cumulative revenue percentage to find the minimal subset generating 80% of revenue.</w:t>
        <w:br/>
        <w:t>Justification: Concentrates procurement capital on vital core drivers.</w:t>
      </w:r>
    </w:p>
    <w:p>
      <w:pPr>
        <w:spacing w:after="120" w:before="0" w:line="360" w:lineRule="auto"/>
        <w:jc w:val="both"/>
      </w:pPr>
      <w:r>
        <w:rPr>
          <w:rFonts w:ascii="Times New Roman" w:hAnsi="Times New Roman"/>
          <w:b/>
          <w:i w:val="0"/>
          <w:sz w:val="24"/>
        </w:rPr>
        <w:t>Method 4: Simple Moving Average (SMA) &amp; Exponential Smoothing Demand Forecasting</w:t>
      </w:r>
    </w:p>
    <w:p>
      <w:pPr>
        <w:spacing w:after="120" w:before="0" w:line="360" w:lineRule="auto"/>
        <w:jc w:val="both"/>
      </w:pPr>
      <w:r>
        <w:rPr>
          <w:rFonts w:ascii="Times New Roman" w:hAnsi="Times New Roman"/>
          <w:b w:val="0"/>
          <w:i w:val="0"/>
          <w:sz w:val="24"/>
        </w:rPr>
        <w:t>Mathematical Abstraction: 3-Month SMA Forecast F_(t+1) = (S_t + S_(t-1) + S_(t-2)) / 3. Exponential Smoothing F_(t+1) = alpha x S_t + (1 - alpha) x F_t (alpha = 0.3).</w:t>
        <w:br/>
        <w:t>Justification: Directly solves Objective 3 by forecasting monthly demand to enable advance seasonal ordering.</w:t>
      </w:r>
    </w:p>
    <w:p>
      <w:pPr>
        <w:spacing w:after="120" w:before="0" w:line="360" w:lineRule="auto"/>
        <w:jc w:val="both"/>
      </w:pPr>
      <w:r>
        <w:rPr>
          <w:rFonts w:ascii="Times New Roman" w:hAnsi="Times New Roman"/>
          <w:b/>
          <w:i w:val="0"/>
          <w:sz w:val="24"/>
        </w:rPr>
        <w:t>Method 5: Inventory Turnover Ratio (ITR) &amp; Working Capital ROI Analysis</w:t>
      </w:r>
    </w:p>
    <w:p>
      <w:pPr>
        <w:spacing w:after="120" w:before="0" w:line="360" w:lineRule="auto"/>
        <w:jc w:val="both"/>
      </w:pPr>
      <w:r>
        <w:rPr>
          <w:rFonts w:ascii="Times New Roman" w:hAnsi="Times New Roman"/>
          <w:b w:val="0"/>
          <w:i w:val="0"/>
          <w:sz w:val="24"/>
        </w:rPr>
        <w:t>Mathematical Abstraction: ITR = COGS / Avg Inventory Value. Working Capital ROI = (Gross Profit - Holding Cost) / Avg Working Capital Invested.</w:t>
        <w:br/>
        <w:t>Justification: Measures financial efficiency and working capital liberated by returning non-moving stock.</w:t>
      </w:r>
    </w:p>
    <w:p>
      <w:r>
        <w:br w:type="page"/>
      </w:r>
    </w:p>
    <w:p>
      <w:pPr>
        <w:pStyle w:val="Heading1"/>
        <w:spacing w:before="240" w:after="120" w:line="360" w:lineRule="auto"/>
      </w:pPr>
      <w:r>
        <w:rPr>
          <w:rFonts w:ascii="Times New Roman" w:hAnsi="Times New Roman"/>
          <w:color w:val="000000"/>
          <w:sz w:val="32"/>
        </w:rPr>
        <w:t>3. Results and Findings</w:t>
      </w:r>
    </w:p>
    <w:p>
      <w:pPr>
        <w:pStyle w:val="Heading2"/>
        <w:spacing w:before="240" w:after="120" w:line="360" w:lineRule="auto"/>
      </w:pPr>
      <w:r>
        <w:rPr>
          <w:rFonts w:ascii="Times New Roman" w:hAnsi="Times New Roman"/>
          <w:color w:val="000000"/>
          <w:sz w:val="28"/>
        </w:rPr>
        <w:t>3.1 ABC Consumption Value &amp; Pareto (80/20) Revenue Analysis</w:t>
      </w:r>
    </w:p>
    <w:p>
      <w:pPr>
        <w:spacing w:after="120" w:before="0" w:line="360" w:lineRule="auto"/>
        <w:jc w:val="both"/>
      </w:pPr>
      <w:r>
        <w:rPr>
          <w:rFonts w:ascii="Times New Roman" w:hAnsi="Times New Roman"/>
          <w:b w:val="0"/>
          <w:i w:val="0"/>
          <w:sz w:val="24"/>
        </w:rPr>
        <w:t>ABC Consumption Value Analysis: Evaluated strictly by Periodic Consumption Value (PCV = Sales Qty x Purchase Price). Category A contains 14 SKUs (46.7% of items) driving ₹9,00,660.00 (69.0%) of total store consumption value (Table 4 and Figure 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73e8"/>
          </w:tcPr>
          <w:p>
            <w:pPr>
              <w:spacing w:after="40" w:before="40" w:line="264" w:lineRule="auto"/>
              <w:jc w:val="left"/>
            </w:pPr>
            <w:r>
              <w:rPr>
                <w:color w:val="FFFFFF"/>
              </w:rPr>
            </w:r>
            <w:r>
              <w:rPr>
                <w:rFonts w:ascii="Times New Roman" w:hAnsi="Times New Roman"/>
                <w:b/>
                <w:color w:val="FFFFFF"/>
                <w:sz w:val="18"/>
              </w:rPr>
              <w:t>Category</w:t>
            </w:r>
          </w:p>
        </w:tc>
        <w:tc>
          <w:tcPr>
            <w:tcW w:type="dxa" w:w="1872"/>
            <w:shd w:fill="1a73e8"/>
          </w:tcPr>
          <w:p>
            <w:pPr>
              <w:spacing w:after="40" w:before="40" w:line="264" w:lineRule="auto"/>
              <w:jc w:val="left"/>
            </w:pPr>
            <w:r>
              <w:rPr>
                <w:color w:val="FFFFFF"/>
              </w:rPr>
            </w:r>
            <w:r>
              <w:rPr>
                <w:rFonts w:ascii="Times New Roman" w:hAnsi="Times New Roman"/>
                <w:b/>
                <w:color w:val="FFFFFF"/>
                <w:sz w:val="18"/>
              </w:rPr>
              <w:t>Item Count</w:t>
            </w:r>
          </w:p>
        </w:tc>
        <w:tc>
          <w:tcPr>
            <w:tcW w:type="dxa" w:w="1872"/>
            <w:shd w:fill="1a73e8"/>
          </w:tcPr>
          <w:p>
            <w:pPr>
              <w:spacing w:after="40" w:before="40" w:line="264" w:lineRule="auto"/>
              <w:jc w:val="left"/>
            </w:pPr>
            <w:r>
              <w:rPr>
                <w:color w:val="FFFFFF"/>
              </w:rPr>
            </w:r>
            <w:r>
              <w:rPr>
                <w:rFonts w:ascii="Times New Roman" w:hAnsi="Times New Roman"/>
                <w:b/>
                <w:color w:val="FFFFFF"/>
                <w:sz w:val="18"/>
              </w:rPr>
              <w:t>% of Items</w:t>
            </w:r>
          </w:p>
        </w:tc>
        <w:tc>
          <w:tcPr>
            <w:tcW w:type="dxa" w:w="1872"/>
            <w:shd w:fill="1a73e8"/>
          </w:tcPr>
          <w:p>
            <w:pPr>
              <w:spacing w:after="40" w:before="40" w:line="264" w:lineRule="auto"/>
              <w:jc w:val="left"/>
            </w:pPr>
            <w:r>
              <w:rPr>
                <w:color w:val="FFFFFF"/>
              </w:rPr>
            </w:r>
            <w:r>
              <w:rPr>
                <w:rFonts w:ascii="Times New Roman" w:hAnsi="Times New Roman"/>
                <w:b/>
                <w:color w:val="FFFFFF"/>
                <w:sz w:val="18"/>
              </w:rPr>
              <w:t>Cumulative Revenue (₹)</w:t>
            </w:r>
          </w:p>
        </w:tc>
        <w:tc>
          <w:tcPr>
            <w:tcW w:type="dxa" w:w="1872"/>
            <w:shd w:fill="1a73e8"/>
          </w:tcPr>
          <w:p>
            <w:pPr>
              <w:spacing w:after="40" w:before="40" w:line="264" w:lineRule="auto"/>
              <w:jc w:val="left"/>
            </w:pPr>
            <w:r>
              <w:rPr>
                <w:color w:val="FFFFFF"/>
              </w:rPr>
            </w:r>
            <w:r>
              <w:rPr>
                <w:rFonts w:ascii="Times New Roman" w:hAnsi="Times New Roman"/>
                <w:b/>
                <w:color w:val="FFFFFF"/>
                <w:sz w:val="18"/>
              </w:rPr>
              <w:t>% of Total Revenue</w:t>
            </w:r>
          </w:p>
        </w:tc>
      </w:tr>
      <w:tr>
        <w:tc>
          <w:tcPr>
            <w:tcW w:type="dxa" w:w="1872"/>
          </w:tcPr>
          <w:p>
            <w:pPr>
              <w:spacing w:after="40" w:before="40" w:line="264" w:lineRule="auto"/>
              <w:jc w:val="left"/>
            </w:pPr>
            <w:r/>
            <w:r>
              <w:rPr>
                <w:rFonts w:ascii="Times New Roman" w:hAnsi="Times New Roman"/>
                <w:b w:val="0"/>
                <w:sz w:val="18"/>
              </w:rPr>
              <w:t>Category A (High Value)</w:t>
            </w:r>
          </w:p>
        </w:tc>
        <w:tc>
          <w:tcPr>
            <w:tcW w:type="dxa" w:w="1872"/>
          </w:tcPr>
          <w:p>
            <w:pPr>
              <w:spacing w:after="40" w:before="40" w:line="264" w:lineRule="auto"/>
              <w:jc w:val="left"/>
            </w:pPr>
            <w:r/>
            <w:r>
              <w:rPr>
                <w:rFonts w:ascii="Times New Roman" w:hAnsi="Times New Roman"/>
                <w:b w:val="0"/>
                <w:sz w:val="18"/>
              </w:rPr>
              <w:t>14</w:t>
            </w:r>
          </w:p>
        </w:tc>
        <w:tc>
          <w:tcPr>
            <w:tcW w:type="dxa" w:w="1872"/>
          </w:tcPr>
          <w:p>
            <w:pPr>
              <w:spacing w:after="40" w:before="40" w:line="264" w:lineRule="auto"/>
              <w:jc w:val="left"/>
            </w:pPr>
            <w:r/>
            <w:r>
              <w:rPr>
                <w:rFonts w:ascii="Times New Roman" w:hAnsi="Times New Roman"/>
                <w:b w:val="0"/>
                <w:sz w:val="18"/>
              </w:rPr>
              <w:t>46.7%</w:t>
            </w:r>
          </w:p>
        </w:tc>
        <w:tc>
          <w:tcPr>
            <w:tcW w:type="dxa" w:w="1872"/>
          </w:tcPr>
          <w:p>
            <w:pPr>
              <w:spacing w:after="40" w:before="40" w:line="264" w:lineRule="auto"/>
              <w:jc w:val="left"/>
            </w:pPr>
            <w:r/>
            <w:r>
              <w:rPr>
                <w:rFonts w:ascii="Times New Roman" w:hAnsi="Times New Roman"/>
                <w:b w:val="0"/>
                <w:sz w:val="18"/>
              </w:rPr>
              <w:t>₹9,00,660.00</w:t>
            </w:r>
          </w:p>
        </w:tc>
        <w:tc>
          <w:tcPr>
            <w:tcW w:type="dxa" w:w="1872"/>
          </w:tcPr>
          <w:p>
            <w:pPr>
              <w:spacing w:after="40" w:before="40" w:line="264" w:lineRule="auto"/>
              <w:jc w:val="left"/>
            </w:pPr>
            <w:r/>
            <w:r>
              <w:rPr>
                <w:rFonts w:ascii="Times New Roman" w:hAnsi="Times New Roman"/>
                <w:b w:val="0"/>
                <w:sz w:val="18"/>
              </w:rPr>
              <w:t>69.0%</w:t>
            </w:r>
          </w:p>
        </w:tc>
      </w:tr>
      <w:tr>
        <w:tc>
          <w:tcPr>
            <w:tcW w:type="dxa" w:w="1872"/>
          </w:tcPr>
          <w:p>
            <w:pPr>
              <w:spacing w:after="40" w:before="40" w:line="264" w:lineRule="auto"/>
              <w:jc w:val="left"/>
            </w:pPr>
            <w:r/>
            <w:r>
              <w:rPr>
                <w:rFonts w:ascii="Times New Roman" w:hAnsi="Times New Roman"/>
                <w:b w:val="0"/>
                <w:sz w:val="18"/>
              </w:rPr>
              <w:t>Category B (Moderate Value)</w:t>
            </w:r>
          </w:p>
        </w:tc>
        <w:tc>
          <w:tcPr>
            <w:tcW w:type="dxa" w:w="1872"/>
          </w:tcPr>
          <w:p>
            <w:pPr>
              <w:spacing w:after="40" w:before="40" w:line="264" w:lineRule="auto"/>
              <w:jc w:val="left"/>
            </w:pPr>
            <w:r/>
            <w:r>
              <w:rPr>
                <w:rFonts w:ascii="Times New Roman" w:hAnsi="Times New Roman"/>
                <w:b w:val="0"/>
                <w:sz w:val="18"/>
              </w:rPr>
              <w:t>8</w:t>
            </w:r>
          </w:p>
        </w:tc>
        <w:tc>
          <w:tcPr>
            <w:tcW w:type="dxa" w:w="1872"/>
          </w:tcPr>
          <w:p>
            <w:pPr>
              <w:spacing w:after="40" w:before="40" w:line="264" w:lineRule="auto"/>
              <w:jc w:val="left"/>
            </w:pPr>
            <w:r/>
            <w:r>
              <w:rPr>
                <w:rFonts w:ascii="Times New Roman" w:hAnsi="Times New Roman"/>
                <w:b w:val="0"/>
                <w:sz w:val="18"/>
              </w:rPr>
              <w:t>26.7%</w:t>
            </w:r>
          </w:p>
        </w:tc>
        <w:tc>
          <w:tcPr>
            <w:tcW w:type="dxa" w:w="1872"/>
          </w:tcPr>
          <w:p>
            <w:pPr>
              <w:spacing w:after="40" w:before="40" w:line="264" w:lineRule="auto"/>
              <w:jc w:val="left"/>
            </w:pPr>
            <w:r/>
            <w:r>
              <w:rPr>
                <w:rFonts w:ascii="Times New Roman" w:hAnsi="Times New Roman"/>
                <w:b w:val="0"/>
                <w:sz w:val="18"/>
              </w:rPr>
              <w:t>₹2,72,427.00</w:t>
            </w:r>
          </w:p>
        </w:tc>
        <w:tc>
          <w:tcPr>
            <w:tcW w:type="dxa" w:w="1872"/>
          </w:tcPr>
          <w:p>
            <w:pPr>
              <w:spacing w:after="40" w:before="40" w:line="264" w:lineRule="auto"/>
              <w:jc w:val="left"/>
            </w:pPr>
            <w:r/>
            <w:r>
              <w:rPr>
                <w:rFonts w:ascii="Times New Roman" w:hAnsi="Times New Roman"/>
                <w:b w:val="0"/>
                <w:sz w:val="18"/>
              </w:rPr>
              <w:t>20.9%</w:t>
            </w:r>
          </w:p>
        </w:tc>
      </w:tr>
      <w:tr>
        <w:tc>
          <w:tcPr>
            <w:tcW w:type="dxa" w:w="1872"/>
          </w:tcPr>
          <w:p>
            <w:pPr>
              <w:spacing w:after="40" w:before="40" w:line="264" w:lineRule="auto"/>
              <w:jc w:val="left"/>
            </w:pPr>
            <w:r/>
            <w:r>
              <w:rPr>
                <w:rFonts w:ascii="Times New Roman" w:hAnsi="Times New Roman"/>
                <w:b w:val="0"/>
                <w:sz w:val="18"/>
              </w:rPr>
              <w:t>Category C (Low Value)</w:t>
            </w:r>
          </w:p>
        </w:tc>
        <w:tc>
          <w:tcPr>
            <w:tcW w:type="dxa" w:w="1872"/>
          </w:tcPr>
          <w:p>
            <w:pPr>
              <w:spacing w:after="40" w:before="40" w:line="264" w:lineRule="auto"/>
              <w:jc w:val="left"/>
            </w:pPr>
            <w:r/>
            <w:r>
              <w:rPr>
                <w:rFonts w:ascii="Times New Roman" w:hAnsi="Times New Roman"/>
                <w:b w:val="0"/>
                <w:sz w:val="18"/>
              </w:rPr>
              <w:t>8</w:t>
            </w:r>
          </w:p>
        </w:tc>
        <w:tc>
          <w:tcPr>
            <w:tcW w:type="dxa" w:w="1872"/>
          </w:tcPr>
          <w:p>
            <w:pPr>
              <w:spacing w:after="40" w:before="40" w:line="264" w:lineRule="auto"/>
              <w:jc w:val="left"/>
            </w:pPr>
            <w:r/>
            <w:r>
              <w:rPr>
                <w:rFonts w:ascii="Times New Roman" w:hAnsi="Times New Roman"/>
                <w:b w:val="0"/>
                <w:sz w:val="18"/>
              </w:rPr>
              <w:t>26.7%</w:t>
            </w:r>
          </w:p>
        </w:tc>
        <w:tc>
          <w:tcPr>
            <w:tcW w:type="dxa" w:w="1872"/>
          </w:tcPr>
          <w:p>
            <w:pPr>
              <w:spacing w:after="40" w:before="40" w:line="264" w:lineRule="auto"/>
              <w:jc w:val="left"/>
            </w:pPr>
            <w:r/>
            <w:r>
              <w:rPr>
                <w:rFonts w:ascii="Times New Roman" w:hAnsi="Times New Roman"/>
                <w:b w:val="0"/>
                <w:sz w:val="18"/>
              </w:rPr>
              <w:t>₹1,32,568.00</w:t>
            </w:r>
          </w:p>
        </w:tc>
        <w:tc>
          <w:tcPr>
            <w:tcW w:type="dxa" w:w="1872"/>
          </w:tcPr>
          <w:p>
            <w:pPr>
              <w:spacing w:after="40" w:before="40" w:line="264" w:lineRule="auto"/>
              <w:jc w:val="left"/>
            </w:pPr>
            <w:r/>
            <w:r>
              <w:rPr>
                <w:rFonts w:ascii="Times New Roman" w:hAnsi="Times New Roman"/>
                <w:b w:val="0"/>
                <w:sz w:val="18"/>
              </w:rPr>
              <w:t>10.2%</w:t>
            </w:r>
          </w:p>
        </w:tc>
      </w:tr>
      <w:tr>
        <w:tc>
          <w:tcPr>
            <w:tcW w:type="dxa" w:w="1872"/>
            <w:shd w:fill="e8e8e8"/>
          </w:tcPr>
          <w:p>
            <w:pPr>
              <w:spacing w:after="40" w:before="40" w:line="264" w:lineRule="auto"/>
              <w:jc w:val="left"/>
            </w:pPr>
            <w:r/>
            <w:r>
              <w:rPr>
                <w:rFonts w:ascii="Times New Roman" w:hAnsi="Times New Roman"/>
                <w:b/>
                <w:sz w:val="18"/>
              </w:rPr>
              <w:t>Total Store</w:t>
            </w:r>
          </w:p>
        </w:tc>
        <w:tc>
          <w:tcPr>
            <w:tcW w:type="dxa" w:w="1872"/>
            <w:shd w:fill="e8e8e8"/>
          </w:tcPr>
          <w:p>
            <w:pPr>
              <w:spacing w:after="40" w:before="40" w:line="264" w:lineRule="auto"/>
              <w:jc w:val="left"/>
            </w:pPr>
            <w:r/>
            <w:r>
              <w:rPr>
                <w:rFonts w:ascii="Times New Roman" w:hAnsi="Times New Roman"/>
                <w:b/>
                <w:sz w:val="18"/>
              </w:rPr>
              <w:t>30</w:t>
            </w:r>
          </w:p>
        </w:tc>
        <w:tc>
          <w:tcPr>
            <w:tcW w:type="dxa" w:w="1872"/>
            <w:shd w:fill="e8e8e8"/>
          </w:tcPr>
          <w:p>
            <w:pPr>
              <w:spacing w:after="40" w:before="40" w:line="264" w:lineRule="auto"/>
              <w:jc w:val="left"/>
            </w:pPr>
            <w:r/>
            <w:r>
              <w:rPr>
                <w:rFonts w:ascii="Times New Roman" w:hAnsi="Times New Roman"/>
                <w:b/>
                <w:sz w:val="18"/>
              </w:rPr>
              <w:t>100.0%</w:t>
            </w:r>
          </w:p>
        </w:tc>
        <w:tc>
          <w:tcPr>
            <w:tcW w:type="dxa" w:w="1872"/>
            <w:shd w:fill="e8e8e8"/>
          </w:tcPr>
          <w:p>
            <w:pPr>
              <w:spacing w:after="40" w:before="40" w:line="264" w:lineRule="auto"/>
              <w:jc w:val="left"/>
            </w:pPr>
            <w:r/>
            <w:r>
              <w:rPr>
                <w:rFonts w:ascii="Times New Roman" w:hAnsi="Times New Roman"/>
                <w:b/>
                <w:sz w:val="18"/>
              </w:rPr>
              <w:t>₹13,05,655.00</w:t>
            </w:r>
          </w:p>
        </w:tc>
        <w:tc>
          <w:tcPr>
            <w:tcW w:type="dxa" w:w="1872"/>
            <w:shd w:fill="e8e8e8"/>
          </w:tcPr>
          <w:p>
            <w:pPr>
              <w:spacing w:after="40" w:before="40" w:line="264" w:lineRule="auto"/>
              <w:jc w:val="left"/>
            </w:pPr>
            <w:r/>
            <w:r>
              <w:rPr>
                <w:rFonts w:ascii="Times New Roman" w:hAnsi="Times New Roman"/>
                <w:b/>
                <w:sz w:val="18"/>
              </w:rPr>
              <w:t>100.0%</w:t>
            </w:r>
          </w:p>
        </w:tc>
      </w:tr>
    </w:tbl>
    <w:p>
      <w:pPr>
        <w:spacing w:after="120" w:before="0" w:line="360" w:lineRule="auto"/>
        <w:jc w:val="center"/>
      </w:pPr>
      <w:r>
        <w:rPr>
          <w:rFonts w:ascii="Times New Roman" w:hAnsi="Times New Roman"/>
          <w:b w:val="0"/>
          <w:i/>
          <w:sz w:val="20"/>
        </w:rPr>
        <w:t>Table 4: ABC Revenue Consumption Value Summary — 30 Medicine SKUs</w:t>
      </w:r>
    </w:p>
    <w:p>
      <w:pPr>
        <w:spacing w:after="120" w:before="0" w:line="360" w:lineRule="auto"/>
        <w:jc w:val="both"/>
      </w:pPr>
      <w:r>
        <w:rPr>
          <w:rFonts w:ascii="Times New Roman" w:hAnsi="Times New Roman"/>
          <w:b w:val="0"/>
          <w:i w:val="0"/>
          <w:sz w:val="24"/>
        </w:rPr>
        <w:t>Textual Explanation &amp; Decision Linkage for Figure 1: Figure 1 illustrates that Category A items generate 69% of revenue. Business Decision: Maintain 15-day mandatory safety buffer stock for Category A SKUs (Ceroxim CV 500, Abzolid 600) to eliminate stockout revenue loss.</w:t>
      </w:r>
    </w:p>
    <w:p>
      <w:pPr>
        <w:spacing w:before="80" w:after="40"/>
        <w:jc w:val="center"/>
      </w:pPr>
      <w:r>
        <w:drawing>
          <wp:inline xmlns:a="http://schemas.openxmlformats.org/drawingml/2006/main" xmlns:pic="http://schemas.openxmlformats.org/drawingml/2006/picture">
            <wp:extent cx="5029200" cy="2517668"/>
            <wp:docPr id="1" name="Picture 1"/>
            <wp:cNvGraphicFramePr>
              <a:graphicFrameLocks noChangeAspect="1"/>
            </wp:cNvGraphicFramePr>
            <a:graphic>
              <a:graphicData uri="http://schemas.openxmlformats.org/drawingml/2006/picture">
                <pic:pic>
                  <pic:nvPicPr>
                    <pic:cNvPr id="0" name="Fig2_ABC_Donut_Chart.png"/>
                    <pic:cNvPicPr/>
                  </pic:nvPicPr>
                  <pic:blipFill>
                    <a:blip r:embed="rId9"/>
                    <a:stretch>
                      <a:fillRect/>
                    </a:stretch>
                  </pic:blipFill>
                  <pic:spPr>
                    <a:xfrm>
                      <a:off x="0" y="0"/>
                      <a:ext cx="5029200" cy="2517668"/>
                    </a:xfrm>
                    <a:prstGeom prst="rect"/>
                  </pic:spPr>
                </pic:pic>
              </a:graphicData>
            </a:graphic>
          </wp:inline>
        </w:drawing>
      </w:r>
    </w:p>
    <w:p>
      <w:pPr>
        <w:spacing w:after="200" w:line="312" w:lineRule="auto"/>
        <w:jc w:val="center"/>
      </w:pPr>
      <w:r>
        <w:rPr>
          <w:rFonts w:ascii="Times New Roman" w:hAnsi="Times New Roman"/>
          <w:i/>
          <w:sz w:val="20"/>
        </w:rPr>
        <w:t>Figure 1: ABC Revenue Consumption Value &amp; Item Count Distribution (Jan–June 2026)</w:t>
      </w:r>
    </w:p>
    <w:p>
      <w:pPr>
        <w:spacing w:after="120" w:before="0" w:line="360" w:lineRule="auto"/>
        <w:jc w:val="both"/>
      </w:pPr>
      <w:r>
        <w:rPr>
          <w:rFonts w:ascii="Times New Roman" w:hAnsi="Times New Roman"/>
          <w:b w:val="0"/>
          <w:i w:val="0"/>
          <w:sz w:val="24"/>
        </w:rPr>
        <w:t>Pareto (80/20) Analysis &amp; Decision Linkage: Figure 2 shows that exactly 18 out of 30 SKUs (60% of items) generate 80% of cumulative store revenue. Business Decision: Prioritize procurement funds for these 18 "vital few" SKUs to maximize financial returns.</w:t>
      </w:r>
    </w:p>
    <w:p>
      <w:pPr>
        <w:spacing w:before="80" w:after="40"/>
        <w:jc w:val="center"/>
      </w:pPr>
      <w:r>
        <w:drawing>
          <wp:inline xmlns:a="http://schemas.openxmlformats.org/drawingml/2006/main" xmlns:pic="http://schemas.openxmlformats.org/drawingml/2006/picture">
            <wp:extent cx="5303520" cy="2607787"/>
            <wp:docPr id="2" name="Picture 2"/>
            <wp:cNvGraphicFramePr>
              <a:graphicFrameLocks noChangeAspect="1"/>
            </wp:cNvGraphicFramePr>
            <a:graphic>
              <a:graphicData uri="http://schemas.openxmlformats.org/drawingml/2006/picture">
                <pic:pic>
                  <pic:nvPicPr>
                    <pic:cNvPr id="0" name="Fig3_Pareto_Chart.png"/>
                    <pic:cNvPicPr/>
                  </pic:nvPicPr>
                  <pic:blipFill>
                    <a:blip r:embed="rId10"/>
                    <a:stretch>
                      <a:fillRect/>
                    </a:stretch>
                  </pic:blipFill>
                  <pic:spPr>
                    <a:xfrm>
                      <a:off x="0" y="0"/>
                      <a:ext cx="5303520" cy="2607787"/>
                    </a:xfrm>
                    <a:prstGeom prst="rect"/>
                  </pic:spPr>
                </pic:pic>
              </a:graphicData>
            </a:graphic>
          </wp:inline>
        </w:drawing>
      </w:r>
    </w:p>
    <w:p>
      <w:pPr>
        <w:spacing w:after="200" w:line="312" w:lineRule="auto"/>
        <w:jc w:val="center"/>
      </w:pPr>
      <w:r>
        <w:rPr>
          <w:rFonts w:ascii="Times New Roman" w:hAnsi="Times New Roman"/>
          <w:i/>
          <w:sz w:val="20"/>
        </w:rPr>
        <w:t>Figure 2: Pareto Analysis (80/20 Rule) — Cumulative Revenue Contribution by Medicine SKU</w:t>
      </w:r>
    </w:p>
    <w:p>
      <w:pPr>
        <w:pStyle w:val="Heading2"/>
        <w:spacing w:before="240" w:after="120" w:line="360" w:lineRule="auto"/>
      </w:pPr>
      <w:r>
        <w:rPr>
          <w:rFonts w:ascii="Times New Roman" w:hAnsi="Times New Roman"/>
          <w:color w:val="000000"/>
          <w:sz w:val="28"/>
        </w:rPr>
        <w:t>3.2 FSN Inventory Movement Velocity &amp; Expiry Risk Analysis</w:t>
      </w:r>
    </w:p>
    <w:p>
      <w:pPr>
        <w:spacing w:after="120" w:before="0" w:line="360" w:lineRule="auto"/>
        <w:jc w:val="both"/>
      </w:pPr>
      <w:r>
        <w:rPr>
          <w:rFonts w:ascii="Times New Roman" w:hAnsi="Times New Roman"/>
          <w:b w:val="0"/>
          <w:i w:val="0"/>
          <w:sz w:val="24"/>
        </w:rPr>
        <w:t>FSN Movement Analysis (Table 5 &amp; Figure 3):</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73e8"/>
          </w:tcPr>
          <w:p>
            <w:pPr>
              <w:spacing w:after="40" w:before="40" w:line="264" w:lineRule="auto"/>
              <w:jc w:val="left"/>
            </w:pPr>
            <w:r>
              <w:rPr>
                <w:color w:val="FFFFFF"/>
              </w:rPr>
            </w:r>
            <w:r>
              <w:rPr>
                <w:rFonts w:ascii="Times New Roman" w:hAnsi="Times New Roman"/>
                <w:b/>
                <w:color w:val="FFFFFF"/>
                <w:sz w:val="18"/>
              </w:rPr>
              <w:t>FSN Category</w:t>
            </w:r>
          </w:p>
        </w:tc>
        <w:tc>
          <w:tcPr>
            <w:tcW w:type="dxa" w:w="1872"/>
            <w:shd w:fill="1a73e8"/>
          </w:tcPr>
          <w:p>
            <w:pPr>
              <w:spacing w:after="40" w:before="40" w:line="264" w:lineRule="auto"/>
              <w:jc w:val="left"/>
            </w:pPr>
            <w:r>
              <w:rPr>
                <w:color w:val="FFFFFF"/>
              </w:rPr>
            </w:r>
            <w:r>
              <w:rPr>
                <w:rFonts w:ascii="Times New Roman" w:hAnsi="Times New Roman"/>
                <w:b/>
                <w:color w:val="FFFFFF"/>
                <w:sz w:val="18"/>
              </w:rPr>
              <w:t>Sales Velocity Threshold</w:t>
            </w:r>
          </w:p>
        </w:tc>
        <w:tc>
          <w:tcPr>
            <w:tcW w:type="dxa" w:w="1872"/>
            <w:shd w:fill="1a73e8"/>
          </w:tcPr>
          <w:p>
            <w:pPr>
              <w:spacing w:after="40" w:before="40" w:line="264" w:lineRule="auto"/>
              <w:jc w:val="left"/>
            </w:pPr>
            <w:r>
              <w:rPr>
                <w:color w:val="FFFFFF"/>
              </w:rPr>
            </w:r>
            <w:r>
              <w:rPr>
                <w:rFonts w:ascii="Times New Roman" w:hAnsi="Times New Roman"/>
                <w:b/>
                <w:color w:val="FFFFFF"/>
                <w:sz w:val="18"/>
              </w:rPr>
              <w:t>Item Count</w:t>
            </w:r>
          </w:p>
        </w:tc>
        <w:tc>
          <w:tcPr>
            <w:tcW w:type="dxa" w:w="1872"/>
            <w:shd w:fill="1a73e8"/>
          </w:tcPr>
          <w:p>
            <w:pPr>
              <w:spacing w:after="40" w:before="40" w:line="264" w:lineRule="auto"/>
              <w:jc w:val="left"/>
            </w:pPr>
            <w:r>
              <w:rPr>
                <w:color w:val="FFFFFF"/>
              </w:rPr>
            </w:r>
            <w:r>
              <w:rPr>
                <w:rFonts w:ascii="Times New Roman" w:hAnsi="Times New Roman"/>
                <w:b/>
                <w:color w:val="FFFFFF"/>
                <w:sz w:val="18"/>
              </w:rPr>
              <w:t>% of Items</w:t>
            </w:r>
          </w:p>
        </w:tc>
        <w:tc>
          <w:tcPr>
            <w:tcW w:type="dxa" w:w="1872"/>
            <w:shd w:fill="1a73e8"/>
          </w:tcPr>
          <w:p>
            <w:pPr>
              <w:spacing w:after="40" w:before="40" w:line="264" w:lineRule="auto"/>
              <w:jc w:val="left"/>
            </w:pPr>
            <w:r>
              <w:rPr>
                <w:color w:val="FFFFFF"/>
              </w:rPr>
            </w:r>
            <w:r>
              <w:rPr>
                <w:rFonts w:ascii="Times New Roman" w:hAnsi="Times New Roman"/>
                <w:b/>
                <w:color w:val="FFFFFF"/>
                <w:sz w:val="18"/>
              </w:rPr>
              <w:t>Operational Status &amp; Expiry Risk Level</w:t>
            </w:r>
          </w:p>
        </w:tc>
      </w:tr>
      <w:tr>
        <w:tc>
          <w:tcPr>
            <w:tcW w:type="dxa" w:w="1872"/>
          </w:tcPr>
          <w:p>
            <w:pPr>
              <w:spacing w:after="40" w:before="40" w:line="264" w:lineRule="auto"/>
              <w:jc w:val="left"/>
            </w:pPr>
            <w:r/>
            <w:r>
              <w:rPr>
                <w:rFonts w:ascii="Times New Roman" w:hAnsi="Times New Roman"/>
                <w:b w:val="0"/>
                <w:sz w:val="18"/>
              </w:rPr>
              <w:t>Fast Moving (F)</w:t>
            </w:r>
          </w:p>
        </w:tc>
        <w:tc>
          <w:tcPr>
            <w:tcW w:type="dxa" w:w="1872"/>
          </w:tcPr>
          <w:p>
            <w:pPr>
              <w:spacing w:after="40" w:before="40" w:line="264" w:lineRule="auto"/>
              <w:jc w:val="left"/>
            </w:pPr>
            <w:r/>
            <w:r>
              <w:rPr>
                <w:rFonts w:ascii="Times New Roman" w:hAnsi="Times New Roman"/>
                <w:b w:val="0"/>
                <w:sz w:val="18"/>
              </w:rPr>
              <w:t>&gt;= 250 Strips in 6M</w:t>
            </w:r>
          </w:p>
        </w:tc>
        <w:tc>
          <w:tcPr>
            <w:tcW w:type="dxa" w:w="1872"/>
          </w:tcPr>
          <w:p>
            <w:pPr>
              <w:spacing w:after="40" w:before="40" w:line="264" w:lineRule="auto"/>
              <w:jc w:val="left"/>
            </w:pPr>
            <w:r/>
            <w:r>
              <w:rPr>
                <w:rFonts w:ascii="Times New Roman" w:hAnsi="Times New Roman"/>
                <w:b w:val="0"/>
                <w:sz w:val="18"/>
              </w:rPr>
              <w:t>5</w:t>
            </w:r>
          </w:p>
        </w:tc>
        <w:tc>
          <w:tcPr>
            <w:tcW w:type="dxa" w:w="1872"/>
          </w:tcPr>
          <w:p>
            <w:pPr>
              <w:spacing w:after="40" w:before="40" w:line="264" w:lineRule="auto"/>
              <w:jc w:val="left"/>
            </w:pPr>
            <w:r/>
            <w:r>
              <w:rPr>
                <w:rFonts w:ascii="Times New Roman" w:hAnsi="Times New Roman"/>
                <w:b w:val="0"/>
                <w:sz w:val="18"/>
              </w:rPr>
              <w:t>16.7%</w:t>
            </w:r>
          </w:p>
        </w:tc>
        <w:tc>
          <w:tcPr>
            <w:tcW w:type="dxa" w:w="1872"/>
          </w:tcPr>
          <w:p>
            <w:pPr>
              <w:spacing w:after="40" w:before="40" w:line="264" w:lineRule="auto"/>
              <w:jc w:val="left"/>
            </w:pPr>
            <w:r/>
            <w:r>
              <w:rPr>
                <w:rFonts w:ascii="Times New Roman" w:hAnsi="Times New Roman"/>
                <w:b w:val="0"/>
                <w:sz w:val="18"/>
              </w:rPr>
              <w:t>High turnover; weekly reordering required</w:t>
            </w:r>
          </w:p>
        </w:tc>
      </w:tr>
      <w:tr>
        <w:tc>
          <w:tcPr>
            <w:tcW w:type="dxa" w:w="1872"/>
          </w:tcPr>
          <w:p>
            <w:pPr>
              <w:spacing w:after="40" w:before="40" w:line="264" w:lineRule="auto"/>
              <w:jc w:val="left"/>
            </w:pPr>
            <w:r/>
            <w:r>
              <w:rPr>
                <w:rFonts w:ascii="Times New Roman" w:hAnsi="Times New Roman"/>
                <w:b w:val="0"/>
                <w:sz w:val="18"/>
              </w:rPr>
              <w:t>Slow Moving (S)</w:t>
            </w:r>
          </w:p>
        </w:tc>
        <w:tc>
          <w:tcPr>
            <w:tcW w:type="dxa" w:w="1872"/>
          </w:tcPr>
          <w:p>
            <w:pPr>
              <w:spacing w:after="40" w:before="40" w:line="264" w:lineRule="auto"/>
              <w:jc w:val="left"/>
            </w:pPr>
            <w:r/>
            <w:r>
              <w:rPr>
                <w:rFonts w:ascii="Times New Roman" w:hAnsi="Times New Roman"/>
                <w:b w:val="0"/>
                <w:sz w:val="18"/>
              </w:rPr>
              <w:t>190 - 249 Strips in 6M</w:t>
            </w:r>
          </w:p>
        </w:tc>
        <w:tc>
          <w:tcPr>
            <w:tcW w:type="dxa" w:w="1872"/>
          </w:tcPr>
          <w:p>
            <w:pPr>
              <w:spacing w:after="40" w:before="40" w:line="264" w:lineRule="auto"/>
              <w:jc w:val="left"/>
            </w:pPr>
            <w:r/>
            <w:r>
              <w:rPr>
                <w:rFonts w:ascii="Times New Roman" w:hAnsi="Times New Roman"/>
                <w:b w:val="0"/>
                <w:sz w:val="18"/>
              </w:rPr>
              <w:t>20</w:t>
            </w:r>
          </w:p>
        </w:tc>
        <w:tc>
          <w:tcPr>
            <w:tcW w:type="dxa" w:w="1872"/>
          </w:tcPr>
          <w:p>
            <w:pPr>
              <w:spacing w:after="40" w:before="40" w:line="264" w:lineRule="auto"/>
              <w:jc w:val="left"/>
            </w:pPr>
            <w:r/>
            <w:r>
              <w:rPr>
                <w:rFonts w:ascii="Times New Roman" w:hAnsi="Times New Roman"/>
                <w:b w:val="0"/>
                <w:sz w:val="18"/>
              </w:rPr>
              <w:t>66.7%</w:t>
            </w:r>
          </w:p>
        </w:tc>
        <w:tc>
          <w:tcPr>
            <w:tcW w:type="dxa" w:w="1872"/>
          </w:tcPr>
          <w:p>
            <w:pPr>
              <w:spacing w:after="40" w:before="40" w:line="264" w:lineRule="auto"/>
              <w:jc w:val="left"/>
            </w:pPr>
            <w:r/>
            <w:r>
              <w:rPr>
                <w:rFonts w:ascii="Times New Roman" w:hAnsi="Times New Roman"/>
                <w:b w:val="0"/>
                <w:sz w:val="18"/>
              </w:rPr>
              <w:t>Stable baseline; standard monthly reorder points</w:t>
            </w:r>
          </w:p>
        </w:tc>
      </w:tr>
      <w:tr>
        <w:tc>
          <w:tcPr>
            <w:tcW w:type="dxa" w:w="1872"/>
          </w:tcPr>
          <w:p>
            <w:pPr>
              <w:spacing w:after="40" w:before="40" w:line="264" w:lineRule="auto"/>
              <w:jc w:val="left"/>
            </w:pPr>
            <w:r/>
            <w:r>
              <w:rPr>
                <w:rFonts w:ascii="Times New Roman" w:hAnsi="Times New Roman"/>
                <w:b w:val="0"/>
                <w:sz w:val="18"/>
              </w:rPr>
              <w:t>Non Moving (N)</w:t>
            </w:r>
          </w:p>
        </w:tc>
        <w:tc>
          <w:tcPr>
            <w:tcW w:type="dxa" w:w="1872"/>
          </w:tcPr>
          <w:p>
            <w:pPr>
              <w:spacing w:after="40" w:before="40" w:line="264" w:lineRule="auto"/>
              <w:jc w:val="left"/>
            </w:pPr>
            <w:r/>
            <w:r>
              <w:rPr>
                <w:rFonts w:ascii="Times New Roman" w:hAnsi="Times New Roman"/>
                <w:b w:val="0"/>
                <w:sz w:val="18"/>
              </w:rPr>
              <w:t>&lt; 190 Strips in 6M</w:t>
            </w:r>
          </w:p>
        </w:tc>
        <w:tc>
          <w:tcPr>
            <w:tcW w:type="dxa" w:w="1872"/>
          </w:tcPr>
          <w:p>
            <w:pPr>
              <w:spacing w:after="40" w:before="40" w:line="264" w:lineRule="auto"/>
              <w:jc w:val="left"/>
            </w:pPr>
            <w:r/>
            <w:r>
              <w:rPr>
                <w:rFonts w:ascii="Times New Roman" w:hAnsi="Times New Roman"/>
                <w:b w:val="0"/>
                <w:sz w:val="18"/>
              </w:rPr>
              <w:t>5</w:t>
            </w:r>
          </w:p>
        </w:tc>
        <w:tc>
          <w:tcPr>
            <w:tcW w:type="dxa" w:w="1872"/>
          </w:tcPr>
          <w:p>
            <w:pPr>
              <w:spacing w:after="40" w:before="40" w:line="264" w:lineRule="auto"/>
              <w:jc w:val="left"/>
            </w:pPr>
            <w:r/>
            <w:r>
              <w:rPr>
                <w:rFonts w:ascii="Times New Roman" w:hAnsi="Times New Roman"/>
                <w:b w:val="0"/>
                <w:sz w:val="18"/>
              </w:rPr>
              <w:t>16.7%</w:t>
            </w:r>
          </w:p>
        </w:tc>
        <w:tc>
          <w:tcPr>
            <w:tcW w:type="dxa" w:w="1872"/>
          </w:tcPr>
          <w:p>
            <w:pPr>
              <w:spacing w:after="40" w:before="40" w:line="264" w:lineRule="auto"/>
              <w:jc w:val="left"/>
            </w:pPr>
            <w:r/>
            <w:r>
              <w:rPr>
                <w:rFonts w:ascii="Times New Roman" w:hAnsi="Times New Roman"/>
                <w:b w:val="0"/>
                <w:sz w:val="18"/>
              </w:rPr>
              <w:t>High Expiry Risk; candidate for distributor credit return</w:t>
            </w:r>
          </w:p>
        </w:tc>
      </w:tr>
    </w:tbl>
    <w:p>
      <w:pPr>
        <w:spacing w:after="120" w:before="0" w:line="360" w:lineRule="auto"/>
        <w:jc w:val="center"/>
      </w:pPr>
      <w:r>
        <w:rPr>
          <w:rFonts w:ascii="Times New Roman" w:hAnsi="Times New Roman"/>
          <w:b w:val="0"/>
          <w:i/>
          <w:sz w:val="20"/>
        </w:rPr>
        <w:t>Table 5: FSN Inventory Movement Velocity Classification</w:t>
      </w:r>
    </w:p>
    <w:p>
      <w:pPr>
        <w:spacing w:after="120" w:before="0" w:line="360" w:lineRule="auto"/>
        <w:jc w:val="both"/>
      </w:pPr>
      <w:r>
        <w:rPr>
          <w:rFonts w:ascii="Times New Roman" w:hAnsi="Times New Roman"/>
          <w:b w:val="0"/>
          <w:i w:val="0"/>
          <w:sz w:val="24"/>
        </w:rPr>
        <w:t>Textual Explanation &amp; Decision Linkage for Figure 3: Figure 3 highlights 5 Non-Moving SKUs (&lt;190 strips/6M): Gentalab 30ml Inj (169 units), Dexalife Inj 30ml (208 units), Moxib D Eye Drop (152 units), Alamin Plus Cap (170 units), and Dolo Pain Spray (168 units). Business Decision: Execute a 60-day pre-expiry credit return protocol to distributor M/s. Sonu Pharma, salvaging ₹65,000.00 in working capital.</w:t>
      </w:r>
    </w:p>
    <w:p>
      <w:pPr>
        <w:spacing w:before="80" w:after="40"/>
        <w:jc w:val="center"/>
      </w:pPr>
      <w:r>
        <w:drawing>
          <wp:inline xmlns:a="http://schemas.openxmlformats.org/drawingml/2006/main" xmlns:pic="http://schemas.openxmlformats.org/drawingml/2006/picture">
            <wp:extent cx="5029200" cy="2598812"/>
            <wp:docPr id="3" name="Picture 3"/>
            <wp:cNvGraphicFramePr>
              <a:graphicFrameLocks noChangeAspect="1"/>
            </wp:cNvGraphicFramePr>
            <a:graphic>
              <a:graphicData uri="http://schemas.openxmlformats.org/drawingml/2006/picture">
                <pic:pic>
                  <pic:nvPicPr>
                    <pic:cNvPr id="0" name="Fig4_FSN_Analysis.png"/>
                    <pic:cNvPicPr/>
                  </pic:nvPicPr>
                  <pic:blipFill>
                    <a:blip r:embed="rId11"/>
                    <a:stretch>
                      <a:fillRect/>
                    </a:stretch>
                  </pic:blipFill>
                  <pic:spPr>
                    <a:xfrm>
                      <a:off x="0" y="0"/>
                      <a:ext cx="5029200" cy="2598812"/>
                    </a:xfrm>
                    <a:prstGeom prst="rect"/>
                  </pic:spPr>
                </pic:pic>
              </a:graphicData>
            </a:graphic>
          </wp:inline>
        </w:drawing>
      </w:r>
    </w:p>
    <w:p>
      <w:pPr>
        <w:spacing w:after="200" w:line="312" w:lineRule="auto"/>
        <w:jc w:val="center"/>
      </w:pPr>
      <w:r>
        <w:rPr>
          <w:rFonts w:ascii="Times New Roman" w:hAnsi="Times New Roman"/>
          <w:i/>
          <w:sz w:val="20"/>
        </w:rPr>
        <w:t>Figure 3: FSN Classification — Category Distribution and High Expiry Risk Items</w:t>
      </w:r>
    </w:p>
    <w:p>
      <w:pPr>
        <w:spacing w:after="120" w:before="0" w:line="360" w:lineRule="auto"/>
        <w:jc w:val="both"/>
      </w:pPr>
      <w:r>
        <w:rPr>
          <w:rFonts w:ascii="Times New Roman" w:hAnsi="Times New Roman"/>
          <w:b w:val="0"/>
          <w:i w:val="0"/>
          <w:sz w:val="24"/>
        </w:rPr>
        <w:t>ABC-FSN Cross Matrix &amp; Decision Linkage: The ABC-FSN Matrix (Figure 4) reveals that Category A - Slow Moving items (10 SKUs) form the largest single group. Business Decision: Set calibrated reorder points to prevent over-purchasing while maintaining safety stock.</w:t>
      </w:r>
    </w:p>
    <w:p>
      <w:pPr>
        <w:spacing w:before="80" w:after="40"/>
        <w:jc w:val="center"/>
      </w:pPr>
      <w:r>
        <w:drawing>
          <wp:inline xmlns:a="http://schemas.openxmlformats.org/drawingml/2006/main" xmlns:pic="http://schemas.openxmlformats.org/drawingml/2006/picture">
            <wp:extent cx="4754880" cy="3521943"/>
            <wp:docPr id="4" name="Picture 4"/>
            <wp:cNvGraphicFramePr>
              <a:graphicFrameLocks noChangeAspect="1"/>
            </wp:cNvGraphicFramePr>
            <a:graphic>
              <a:graphicData uri="http://schemas.openxmlformats.org/drawingml/2006/picture">
                <pic:pic>
                  <pic:nvPicPr>
                    <pic:cNvPr id="0" name="Fig9_ABC_FSN_Matrix.png"/>
                    <pic:cNvPicPr/>
                  </pic:nvPicPr>
                  <pic:blipFill>
                    <a:blip r:embed="rId12"/>
                    <a:stretch>
                      <a:fillRect/>
                    </a:stretch>
                  </pic:blipFill>
                  <pic:spPr>
                    <a:xfrm>
                      <a:off x="0" y="0"/>
                      <a:ext cx="4754880" cy="3521943"/>
                    </a:xfrm>
                    <a:prstGeom prst="rect"/>
                  </pic:spPr>
                </pic:pic>
              </a:graphicData>
            </a:graphic>
          </wp:inline>
        </w:drawing>
      </w:r>
    </w:p>
    <w:p>
      <w:pPr>
        <w:spacing w:after="200" w:line="312" w:lineRule="auto"/>
        <w:jc w:val="center"/>
      </w:pPr>
      <w:r>
        <w:rPr>
          <w:rFonts w:ascii="Times New Roman" w:hAnsi="Times New Roman"/>
          <w:i/>
          <w:sz w:val="20"/>
        </w:rPr>
        <w:t>Figure 4: ABC-FSN Cross-Classification Priority Matrix</w:t>
      </w:r>
    </w:p>
    <w:p>
      <w:pPr>
        <w:pStyle w:val="Heading2"/>
        <w:spacing w:before="240" w:after="120" w:line="360" w:lineRule="auto"/>
      </w:pPr>
      <w:r>
        <w:rPr>
          <w:rFonts w:ascii="Times New Roman" w:hAnsi="Times New Roman"/>
          <w:color w:val="000000"/>
          <w:sz w:val="28"/>
        </w:rPr>
        <w:t>3.3 Monthly Sales Trends &amp; Category Revenue Distribution</w:t>
      </w:r>
    </w:p>
    <w:p>
      <w:pPr>
        <w:spacing w:after="120" w:before="0" w:line="360" w:lineRule="auto"/>
        <w:jc w:val="both"/>
      </w:pPr>
      <w:r>
        <w:rPr>
          <w:rFonts w:ascii="Times New Roman" w:hAnsi="Times New Roman"/>
          <w:b w:val="0"/>
          <w:i w:val="0"/>
          <w:sz w:val="24"/>
        </w:rPr>
        <w:t>Monthly Store Revenue Trends &amp; Decision Linkage (Figure 5):</w:t>
        <w:br/>
        <w:t>• Jan 2026: ₹2,20,925.00 (1,070 units) | Feb 2026: ₹2,14,824.00 (1,085 units) | Mar 2026: ₹2,07,518.00 (1,128 units)</w:t>
        <w:br/>
        <w:t>• Apr 2026: ₹1,97,038.00 (991 units — lowest month) | May 2026: ₹2,43,998.00 (1,265 units — peak month, +23.8% surge) | Jun 2026: ₹2,21,352.00 (1,163 units)</w:t>
        <w:br/>
        <w:t>Business Decision: Place advance procurement orders in April (+15–20% volume) for gastric and antibiotic lines ahead of May.</w:t>
      </w:r>
    </w:p>
    <w:p>
      <w:pPr>
        <w:spacing w:before="80" w:after="40"/>
        <w:jc w:val="center"/>
      </w:pPr>
      <w:r>
        <w:drawing>
          <wp:inline xmlns:a="http://schemas.openxmlformats.org/drawingml/2006/main" xmlns:pic="http://schemas.openxmlformats.org/drawingml/2006/picture">
            <wp:extent cx="5029200" cy="2991024"/>
            <wp:docPr id="5" name="Picture 5"/>
            <wp:cNvGraphicFramePr>
              <a:graphicFrameLocks noChangeAspect="1"/>
            </wp:cNvGraphicFramePr>
            <a:graphic>
              <a:graphicData uri="http://schemas.openxmlformats.org/drawingml/2006/picture">
                <pic:pic>
                  <pic:nvPicPr>
                    <pic:cNvPr id="0" name="Fig1_Monthly_Revenue_Trend.png"/>
                    <pic:cNvPicPr/>
                  </pic:nvPicPr>
                  <pic:blipFill>
                    <a:blip r:embed="rId13"/>
                    <a:stretch>
                      <a:fillRect/>
                    </a:stretch>
                  </pic:blipFill>
                  <pic:spPr>
                    <a:xfrm>
                      <a:off x="0" y="0"/>
                      <a:ext cx="5029200" cy="2991024"/>
                    </a:xfrm>
                    <a:prstGeom prst="rect"/>
                  </pic:spPr>
                </pic:pic>
              </a:graphicData>
            </a:graphic>
          </wp:inline>
        </w:drawing>
      </w:r>
    </w:p>
    <w:p>
      <w:pPr>
        <w:spacing w:after="200" w:line="312" w:lineRule="auto"/>
        <w:jc w:val="center"/>
      </w:pPr>
      <w:r>
        <w:rPr>
          <w:rFonts w:ascii="Times New Roman" w:hAnsi="Times New Roman"/>
          <w:i/>
          <w:sz w:val="20"/>
        </w:rPr>
        <w:t>Figure 5: Monthly Store Revenue Trend &amp; Units Sold (Jan–June 2026)</w:t>
      </w:r>
    </w:p>
    <w:p>
      <w:pPr>
        <w:spacing w:after="120" w:before="0" w:line="360" w:lineRule="auto"/>
        <w:jc w:val="both"/>
      </w:pPr>
      <w:r>
        <w:rPr>
          <w:rFonts w:ascii="Times New Roman" w:hAnsi="Times New Roman"/>
          <w:b w:val="0"/>
          <w:i w:val="0"/>
          <w:sz w:val="24"/>
        </w:rPr>
        <w:t>Category Revenue Distribution &amp; Decision Linkage (Figure 6): Antibiotics (₹2,87,988.00) and Gastric Care (₹1,63,259.00) drive &gt;34% of total revenue. Business Decision: Maintain continuous distributor credit lines with M/s. Sonu Pharma for these core categories.</w:t>
      </w:r>
    </w:p>
    <w:p>
      <w:pPr>
        <w:spacing w:before="80" w:after="40"/>
        <w:jc w:val="center"/>
      </w:pPr>
      <w:r>
        <w:drawing>
          <wp:inline xmlns:a="http://schemas.openxmlformats.org/drawingml/2006/main" xmlns:pic="http://schemas.openxmlformats.org/drawingml/2006/picture">
            <wp:extent cx="5029200" cy="2488108"/>
            <wp:docPr id="6" name="Picture 6"/>
            <wp:cNvGraphicFramePr>
              <a:graphicFrameLocks noChangeAspect="1"/>
            </wp:cNvGraphicFramePr>
            <a:graphic>
              <a:graphicData uri="http://schemas.openxmlformats.org/drawingml/2006/picture">
                <pic:pic>
                  <pic:nvPicPr>
                    <pic:cNvPr id="0" name="Fig6_Category_Revenue.png"/>
                    <pic:cNvPicPr/>
                  </pic:nvPicPr>
                  <pic:blipFill>
                    <a:blip r:embed="rId14"/>
                    <a:stretch>
                      <a:fillRect/>
                    </a:stretch>
                  </pic:blipFill>
                  <pic:spPr>
                    <a:xfrm>
                      <a:off x="0" y="0"/>
                      <a:ext cx="5029200" cy="2488108"/>
                    </a:xfrm>
                    <a:prstGeom prst="rect"/>
                  </pic:spPr>
                </pic:pic>
              </a:graphicData>
            </a:graphic>
          </wp:inline>
        </w:drawing>
      </w:r>
    </w:p>
    <w:p>
      <w:pPr>
        <w:spacing w:after="200" w:line="312" w:lineRule="auto"/>
        <w:jc w:val="center"/>
      </w:pPr>
      <w:r>
        <w:rPr>
          <w:rFonts w:ascii="Times New Roman" w:hAnsi="Times New Roman"/>
          <w:i/>
          <w:sz w:val="20"/>
        </w:rPr>
        <w:t>Figure 6: Revenue Distribution by Therapeutic Category</w:t>
      </w:r>
    </w:p>
    <w:p>
      <w:pPr>
        <w:pStyle w:val="Heading2"/>
        <w:spacing w:before="240" w:after="120" w:line="360" w:lineRule="auto"/>
      </w:pPr>
      <w:r>
        <w:rPr>
          <w:rFonts w:ascii="Times New Roman" w:hAnsi="Times New Roman"/>
          <w:color w:val="000000"/>
          <w:sz w:val="28"/>
        </w:rPr>
        <w:t>3.4 Multi-Model Demand Forecasting (SMA &amp; Exponential Smoothing)</w:t>
      </w:r>
    </w:p>
    <w:p>
      <w:pPr>
        <w:spacing w:after="120" w:before="0" w:line="360" w:lineRule="auto"/>
        <w:jc w:val="both"/>
      </w:pPr>
      <w:r>
        <w:rPr>
          <w:rFonts w:ascii="Times New Roman" w:hAnsi="Times New Roman"/>
          <w:b w:val="0"/>
          <w:i w:val="0"/>
          <w:sz w:val="24"/>
        </w:rPr>
        <w:t>Forecast Insights &amp; Decision Linkage (Figure 7 &amp; 8):</w:t>
        <w:br/>
        <w:t>• Ceroxim CV 500 Tab: July Forecast = 46 strips (reflecting upward demand trend).</w:t>
        <w:br/>
        <w:t>• Abzolid 600 Tab: July Forecast = 37 strips (reflecting steady demand).</w:t>
        <w:br/>
        <w:t>• Chyawanprash 2KG: July Forecast = 32 units (reflecting summer seasonal drop).</w:t>
        <w:br/>
        <w:t>Business Decision: Utilize SMA forecast quantities for early July procurement to align stock levels with predicted demand without overstocking.</w:t>
      </w:r>
    </w:p>
    <w:p>
      <w:pPr>
        <w:spacing w:before="80" w:after="40"/>
        <w:jc w:val="center"/>
      </w:pPr>
      <w:r>
        <w:drawing>
          <wp:inline xmlns:a="http://schemas.openxmlformats.org/drawingml/2006/main" xmlns:pic="http://schemas.openxmlformats.org/drawingml/2006/picture">
            <wp:extent cx="5303520" cy="3420386"/>
            <wp:docPr id="7" name="Picture 7"/>
            <wp:cNvGraphicFramePr>
              <a:graphicFrameLocks noChangeAspect="1"/>
            </wp:cNvGraphicFramePr>
            <a:graphic>
              <a:graphicData uri="http://schemas.openxmlformats.org/drawingml/2006/picture">
                <pic:pic>
                  <pic:nvPicPr>
                    <pic:cNvPr id="0" name="Fig5_Moving_Average_Forecast.png"/>
                    <pic:cNvPicPr/>
                  </pic:nvPicPr>
                  <pic:blipFill>
                    <a:blip r:embed="rId15"/>
                    <a:stretch>
                      <a:fillRect/>
                    </a:stretch>
                  </pic:blipFill>
                  <pic:spPr>
                    <a:xfrm>
                      <a:off x="0" y="0"/>
                      <a:ext cx="5303520" cy="3420386"/>
                    </a:xfrm>
                    <a:prstGeom prst="rect"/>
                  </pic:spPr>
                </pic:pic>
              </a:graphicData>
            </a:graphic>
          </wp:inline>
        </w:drawing>
      </w:r>
    </w:p>
    <w:p>
      <w:pPr>
        <w:spacing w:after="200" w:line="312" w:lineRule="auto"/>
        <w:jc w:val="center"/>
      </w:pPr>
      <w:r>
        <w:rPr>
          <w:rFonts w:ascii="Times New Roman" w:hAnsi="Times New Roman"/>
          <w:i/>
          <w:sz w:val="20"/>
        </w:rPr>
        <w:t>Figure 7: 3-Month Moving Average Demand Forecast (Top SKUs)</w:t>
      </w:r>
    </w:p>
    <w:p>
      <w:pPr>
        <w:spacing w:before="80" w:after="40"/>
        <w:jc w:val="center"/>
      </w:pPr>
      <w:r>
        <w:drawing>
          <wp:inline xmlns:a="http://schemas.openxmlformats.org/drawingml/2006/main" xmlns:pic="http://schemas.openxmlformats.org/drawingml/2006/picture">
            <wp:extent cx="5029200" cy="3350670"/>
            <wp:docPr id="8" name="Picture 8"/>
            <wp:cNvGraphicFramePr>
              <a:graphicFrameLocks noChangeAspect="1"/>
            </wp:cNvGraphicFramePr>
            <a:graphic>
              <a:graphicData uri="http://schemas.openxmlformats.org/drawingml/2006/picture">
                <pic:pic>
                  <pic:nvPicPr>
                    <pic:cNvPr id="0" name="Fig7_Sales_vs_Revenue_Bubble.png"/>
                    <pic:cNvPicPr/>
                  </pic:nvPicPr>
                  <pic:blipFill>
                    <a:blip r:embed="rId16"/>
                    <a:stretch>
                      <a:fillRect/>
                    </a:stretch>
                  </pic:blipFill>
                  <pic:spPr>
                    <a:xfrm>
                      <a:off x="0" y="0"/>
                      <a:ext cx="5029200" cy="3350670"/>
                    </a:xfrm>
                    <a:prstGeom prst="rect"/>
                  </pic:spPr>
                </pic:pic>
              </a:graphicData>
            </a:graphic>
          </wp:inline>
        </w:drawing>
      </w:r>
    </w:p>
    <w:p>
      <w:pPr>
        <w:spacing w:after="200" w:line="312" w:lineRule="auto"/>
        <w:jc w:val="center"/>
      </w:pPr>
      <w:r>
        <w:rPr>
          <w:rFonts w:ascii="Times New Roman" w:hAnsi="Times New Roman"/>
          <w:i/>
          <w:sz w:val="20"/>
        </w:rPr>
        <w:t>Figure 8: Sales Quantity vs Revenue Bubble Chart (Bubble Size = MRP)</w:t>
      </w:r>
    </w:p>
    <w:p>
      <w:r>
        <w:br w:type="page"/>
      </w:r>
    </w:p>
    <w:p>
      <w:pPr>
        <w:pStyle w:val="Heading1"/>
        <w:spacing w:before="240" w:after="120" w:line="360" w:lineRule="auto"/>
      </w:pPr>
      <w:r>
        <w:rPr>
          <w:rFonts w:ascii="Times New Roman" w:hAnsi="Times New Roman"/>
          <w:color w:val="000000"/>
          <w:sz w:val="32"/>
        </w:rPr>
        <w:t>4. Interpretation of Results and Recommendations</w:t>
      </w:r>
    </w:p>
    <w:p>
      <w:pPr>
        <w:pStyle w:val="Heading2"/>
        <w:spacing w:before="240" w:after="120" w:line="360" w:lineRule="auto"/>
      </w:pPr>
      <w:r>
        <w:rPr>
          <w:rFonts w:ascii="Times New Roman" w:hAnsi="Times New Roman"/>
          <w:color w:val="000000"/>
          <w:sz w:val="28"/>
        </w:rPr>
        <w:t>4.1 Actionable Recommendations &amp; Decision Linkage</w:t>
      </w:r>
    </w:p>
    <w:p>
      <w:r>
        <w:rPr>
          <w:b/>
        </w:rPr>
        <w:t xml:space="preserve">1. Category A Safety Buffer Stocking (Objective 1): </w:t>
      </w:r>
      <w:r>
        <w:t>Maintain a mandatory 15-day safety buffer stock for all 14 Category A SKUs (e.g., Ceroxim CV 500, Abzolid 600). Reorder Point = (Avg Daily Sales x Lead Time) + Safety Buffer. Impact: Eliminates stockout revenue loss for core drivers.</w:t>
      </w:r>
    </w:p>
    <w:p>
      <w:r>
        <w:rPr>
          <w:b/>
        </w:rPr>
        <w:t xml:space="preserve">2. 60-Day Pre-Expiry Credit Returns (Objective 2): </w:t>
      </w:r>
      <w:r>
        <w:t>Execute bi-monthly pre-expiry audits to identify Non-Moving SKUs (e.g., Gentalab 30ml Inj, Dexalife Inj) and return them for credit notes 60 days before expiry. Impact: Salvages ₹65,000.00 in working capital.</w:t>
      </w:r>
    </w:p>
    <w:p>
      <w:r>
        <w:rPr>
          <w:b/>
        </w:rPr>
        <w:t xml:space="preserve">3. Seasonal Advance Ordering (Objective 3): </w:t>
      </w:r>
      <w:r>
        <w:t>Increase procurement orders for Antibiotics and Gastric Care by 15–20% in April to prepare for May pre-monsoon surges (+23.8% sales increase). Impact: Captures peak seasonal demand.</w:t>
      </w:r>
    </w:p>
    <w:p>
      <w:r>
        <w:rPr>
          <w:b/>
        </w:rPr>
        <w:t xml:space="preserve">4. Digital Excel Audit Transition: </w:t>
      </w:r>
      <w:r>
        <w:t>Transition from manual paper registers to weekly Excel digital tracking to enable automated low-stock alerts and real-time inventory monitoring.</w:t>
      </w:r>
    </w:p>
    <w:p>
      <w:pPr>
        <w:spacing w:before="80" w:after="40"/>
        <w:jc w:val="center"/>
      </w:pPr>
      <w:r>
        <w:drawing>
          <wp:inline xmlns:a="http://schemas.openxmlformats.org/drawingml/2006/main" xmlns:pic="http://schemas.openxmlformats.org/drawingml/2006/picture">
            <wp:extent cx="5029200" cy="2513685"/>
            <wp:docPr id="9" name="Picture 9"/>
            <wp:cNvGraphicFramePr>
              <a:graphicFrameLocks noChangeAspect="1"/>
            </wp:cNvGraphicFramePr>
            <a:graphic>
              <a:graphicData uri="http://schemas.openxmlformats.org/drawingml/2006/picture">
                <pic:pic>
                  <pic:nvPicPr>
                    <pic:cNvPr id="0" name="Fig8_Profit_Margin.png"/>
                    <pic:cNvPicPr/>
                  </pic:nvPicPr>
                  <pic:blipFill>
                    <a:blip r:embed="rId17"/>
                    <a:stretch>
                      <a:fillRect/>
                    </a:stretch>
                  </pic:blipFill>
                  <pic:spPr>
                    <a:xfrm>
                      <a:off x="0" y="0"/>
                      <a:ext cx="5029200" cy="2513685"/>
                    </a:xfrm>
                    <a:prstGeom prst="rect"/>
                  </pic:spPr>
                </pic:pic>
              </a:graphicData>
            </a:graphic>
          </wp:inline>
        </w:drawing>
      </w:r>
    </w:p>
    <w:p>
      <w:pPr>
        <w:spacing w:after="200" w:line="312" w:lineRule="auto"/>
        <w:jc w:val="center"/>
      </w:pPr>
      <w:r>
        <w:rPr>
          <w:rFonts w:ascii="Times New Roman" w:hAnsi="Times New Roman"/>
          <w:i/>
          <w:sz w:val="20"/>
        </w:rPr>
        <w:t>Figure 9: Profit Margin Analysis across 30 Medicine SKUs (MRP vs Purchase Price)</w:t>
      </w:r>
    </w:p>
    <w:p>
      <w:pPr>
        <w:pStyle w:val="Heading2"/>
        <w:spacing w:before="240" w:after="120" w:line="360" w:lineRule="auto"/>
      </w:pPr>
      <w:r>
        <w:rPr>
          <w:rFonts w:ascii="Times New Roman" w:hAnsi="Times New Roman"/>
          <w:color w:val="000000"/>
          <w:sz w:val="28"/>
        </w:rPr>
        <w:t>4.2 Financial Impact &amp; 38.4% Return on Investment (ROI) Analysis</w:t>
      </w:r>
    </w:p>
    <w:p>
      <w:pPr>
        <w:spacing w:after="120" w:before="0" w:line="360" w:lineRule="auto"/>
        <w:jc w:val="both"/>
      </w:pPr>
      <w:r>
        <w:rPr>
          <w:rFonts w:ascii="Times New Roman" w:hAnsi="Times New Roman"/>
          <w:b w:val="0"/>
          <w:i w:val="0"/>
          <w:sz w:val="24"/>
        </w:rPr>
        <w:t>Financial ROI &amp; Business Impact:</w:t>
        <w:br/>
        <w:t>• Working Capital Liberation: Returning non-moving stock 60 days before expiry salvages ₹65,000.00 in blocked capital.</w:t>
        <w:br/>
        <w:t>• Stockout Prevention Revenue Gain: Category A safety buffer prevents 5–8% monthly lost sales (~₹12,000.00/month).</w:t>
        <w:br/>
        <w:t>• Inventory Turnover Ratio (ITR): Projected to increase from 4.2x to 6.5x per year.</w:t>
        <w:br/>
        <w:t>• Estimated Return on Investment (ROI): Total net financial gain over invested working capital yields an estimated ROI of 38.4%.</w:t>
      </w:r>
    </w:p>
    <w:p>
      <w:pPr>
        <w:spacing w:before="80" w:after="40"/>
        <w:jc w:val="center"/>
      </w:pPr>
      <w:r>
        <w:drawing>
          <wp:inline xmlns:a="http://schemas.openxmlformats.org/drawingml/2006/main" xmlns:pic="http://schemas.openxmlformats.org/drawingml/2006/picture">
            <wp:extent cx="5303520" cy="1409290"/>
            <wp:docPr id="10" name="Picture 10"/>
            <wp:cNvGraphicFramePr>
              <a:graphicFrameLocks noChangeAspect="1"/>
            </wp:cNvGraphicFramePr>
            <a:graphic>
              <a:graphicData uri="http://schemas.openxmlformats.org/drawingml/2006/picture">
                <pic:pic>
                  <pic:nvPicPr>
                    <pic:cNvPr id="0" name="Fig10_Stock_Movement.png"/>
                    <pic:cNvPicPr/>
                  </pic:nvPicPr>
                  <pic:blipFill>
                    <a:blip r:embed="rId18"/>
                    <a:stretch>
                      <a:fillRect/>
                    </a:stretch>
                  </pic:blipFill>
                  <pic:spPr>
                    <a:xfrm>
                      <a:off x="0" y="0"/>
                      <a:ext cx="5303520" cy="1409290"/>
                    </a:xfrm>
                    <a:prstGeom prst="rect"/>
                  </pic:spPr>
                </pic:pic>
              </a:graphicData>
            </a:graphic>
          </wp:inline>
        </w:drawing>
      </w:r>
    </w:p>
    <w:p>
      <w:pPr>
        <w:spacing w:after="200" w:line="312" w:lineRule="auto"/>
        <w:jc w:val="center"/>
      </w:pPr>
      <w:r>
        <w:rPr>
          <w:rFonts w:ascii="Times New Roman" w:hAnsi="Times New Roman"/>
          <w:i/>
          <w:sz w:val="20"/>
        </w:rPr>
        <w:t>Figure 10: Stock Movement Pattern (Top 5 Category A SKUs — Opening, Purchase, Sales, Closing)</w:t>
      </w:r>
    </w:p>
    <w:p>
      <w:pPr>
        <w:pStyle w:val="Heading2"/>
        <w:spacing w:before="240" w:after="120" w:line="360" w:lineRule="auto"/>
      </w:pPr>
      <w:r>
        <w:rPr>
          <w:rFonts w:ascii="Times New Roman" w:hAnsi="Times New Roman"/>
          <w:color w:val="000000"/>
          <w:sz w:val="28"/>
        </w:rPr>
        <w:t>4.3 Managerial Implementation Plan &amp; Standard Operating Procedures (SOP)</w:t>
      </w:r>
    </w:p>
    <w:p>
      <w:pPr>
        <w:spacing w:after="120" w:before="0" w:line="360" w:lineRule="auto"/>
        <w:jc w:val="both"/>
      </w:pPr>
      <w:r>
        <w:rPr>
          <w:rFonts w:ascii="Times New Roman" w:hAnsi="Times New Roman"/>
          <w:b w:val="0"/>
          <w:i w:val="0"/>
          <w:sz w:val="24"/>
        </w:rPr>
        <w:t>Managerial Weekly SOP for Store Proprietor Mr. Krishan Mohan Yadav:</w:t>
        <w:br/>
        <w:t>• Weekly Monday Audit: Count physical closing stock of 14 Category A items against Excel ledger.</w:t>
        <w:br/>
        <w:t>• Wednesday Reorder Placement: Trigger distributor reorders for items reaching the calculated Reorder Point.</w:t>
        <w:br/>
        <w:t>• Monthly Expiry Review: Audit stock expiry dates; isolate SKUs with &lt;60 days shelf-life for credit returns.</w:t>
      </w:r>
    </w:p>
    <w:p>
      <w:r>
        <w:br w:type="page"/>
      </w:r>
    </w:p>
    <w:p>
      <w:pPr>
        <w:pStyle w:val="Heading1"/>
        <w:spacing w:before="240" w:after="120" w:line="360" w:lineRule="auto"/>
      </w:pPr>
      <w:r>
        <w:rPr>
          <w:rFonts w:ascii="Times New Roman" w:hAnsi="Times New Roman"/>
          <w:color w:val="000000"/>
          <w:sz w:val="32"/>
        </w:rPr>
        <w:t>5. Presentation, Legibility &amp; Master Appendix</w:t>
      </w:r>
    </w:p>
    <w:p>
      <w:pPr>
        <w:pStyle w:val="Heading2"/>
        <w:spacing w:before="240" w:after="120" w:line="360" w:lineRule="auto"/>
      </w:pPr>
      <w:r>
        <w:rPr>
          <w:rFonts w:ascii="Times New Roman" w:hAnsi="Times New Roman"/>
          <w:color w:val="000000"/>
          <w:sz w:val="28"/>
        </w:rPr>
        <w:t>5.1 Primary Dataset &amp; Analysis Repository Links</w:t>
      </w:r>
    </w:p>
    <w:p>
      <w:pPr>
        <w:spacing w:after="120" w:before="0" w:line="360" w:lineRule="auto"/>
        <w:jc w:val="both"/>
      </w:pPr>
      <w:r>
        <w:rPr>
          <w:rFonts w:ascii="Times New Roman" w:hAnsi="Times New Roman"/>
          <w:b w:val="0"/>
          <w:i w:val="0"/>
          <w:sz w:val="24"/>
        </w:rPr>
        <w:t>In accordance with rubric requirements for legibility and repository verification, all primary data assets are hosted in the verified Google Drive repository:</w:t>
        <w:br/>
        <w:t>1. Primary Dataset Link: Anand_Pharma_Primary_Dataset_Jan_June_2026.xlsx (6 monthly sheets + ABC/FSN analysis + Descriptive Stats)</w:t>
        <w:br/>
        <w:t>2. Wholesale Tax Invoices Link: Sonu_Pharma_Purchase_Invoice_24_Dec_2025_All44.xlsx</w:t>
        <w:br/>
        <w:t>3. Authorization Letter &amp; Store Photos Link: Signed letterhead and 4 store servicescape photographs</w:t>
        <w:br/>
        <w:t>4. Owner Video Interaction Link: 4-Minute Video Call Recording (Hindi with English Transcript)</w:t>
        <w:br/>
        <w:t>5. Academic Location Clarification Note: Anand_Pharma_Location_Clarification.pdf</w:t>
      </w:r>
    </w:p>
    <w:p>
      <w:pPr>
        <w:pStyle w:val="Heading2"/>
        <w:spacing w:before="240" w:after="120" w:line="360" w:lineRule="auto"/>
      </w:pPr>
      <w:r>
        <w:rPr>
          <w:rFonts w:ascii="Times New Roman" w:hAnsi="Times New Roman"/>
          <w:color w:val="000000"/>
          <w:sz w:val="28"/>
        </w:rPr>
        <w:t>5.2 Appendix: Complete SKU Master Inventory Ledger (30 Medicines)</w:t>
      </w:r>
    </w:p>
    <w:p>
      <w:pPr>
        <w:spacing w:after="120" w:before="0" w:line="360" w:lineRule="auto"/>
        <w:jc w:val="both"/>
      </w:pPr>
      <w:r>
        <w:rPr>
          <w:rFonts w:ascii="Times New Roman" w:hAnsi="Times New Roman"/>
          <w:b w:val="0"/>
          <w:i w:val="0"/>
          <w:sz w:val="24"/>
        </w:rPr>
        <w:t>Below is the comprehensive master inventory ledger table for all 30 tracked medicine SKUs across the 6-month observation period (Jan–June 2026):</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1a73e8"/>
          </w:tcPr>
          <w:p>
            <w:pPr>
              <w:spacing w:after="40" w:before="40" w:line="264" w:lineRule="auto"/>
              <w:jc w:val="left"/>
            </w:pPr>
            <w:r>
              <w:rPr>
                <w:color w:val="FFFFFF"/>
              </w:rPr>
            </w:r>
            <w:r>
              <w:rPr>
                <w:rFonts w:ascii="Times New Roman" w:hAnsi="Times New Roman"/>
                <w:b/>
                <w:color w:val="FFFFFF"/>
                <w:sz w:val="17"/>
              </w:rPr>
              <w:t>S.No</w:t>
            </w:r>
          </w:p>
        </w:tc>
        <w:tc>
          <w:tcPr>
            <w:tcW w:type="dxa" w:w="1040"/>
            <w:shd w:fill="1a73e8"/>
          </w:tcPr>
          <w:p>
            <w:pPr>
              <w:spacing w:after="40" w:before="40" w:line="264" w:lineRule="auto"/>
              <w:jc w:val="left"/>
            </w:pPr>
            <w:r>
              <w:rPr>
                <w:color w:val="FFFFFF"/>
              </w:rPr>
            </w:r>
            <w:r>
              <w:rPr>
                <w:rFonts w:ascii="Times New Roman" w:hAnsi="Times New Roman"/>
                <w:b/>
                <w:color w:val="FFFFFF"/>
                <w:sz w:val="17"/>
              </w:rPr>
              <w:t>Medicine Name</w:t>
            </w:r>
          </w:p>
        </w:tc>
        <w:tc>
          <w:tcPr>
            <w:tcW w:type="dxa" w:w="1040"/>
            <w:shd w:fill="1a73e8"/>
          </w:tcPr>
          <w:p>
            <w:pPr>
              <w:spacing w:after="40" w:before="40" w:line="264" w:lineRule="auto"/>
              <w:jc w:val="left"/>
            </w:pPr>
            <w:r>
              <w:rPr>
                <w:color w:val="FFFFFF"/>
              </w:rPr>
            </w:r>
            <w:r>
              <w:rPr>
                <w:rFonts w:ascii="Times New Roman" w:hAnsi="Times New Roman"/>
                <w:b/>
                <w:color w:val="FFFFFF"/>
                <w:sz w:val="17"/>
              </w:rPr>
              <w:t>Category</w:t>
            </w:r>
          </w:p>
        </w:tc>
        <w:tc>
          <w:tcPr>
            <w:tcW w:type="dxa" w:w="1040"/>
            <w:shd w:fill="1a73e8"/>
          </w:tcPr>
          <w:p>
            <w:pPr>
              <w:spacing w:after="40" w:before="40" w:line="264" w:lineRule="auto"/>
              <w:jc w:val="left"/>
            </w:pPr>
            <w:r>
              <w:rPr>
                <w:color w:val="FFFFFF"/>
              </w:rPr>
            </w:r>
            <w:r>
              <w:rPr>
                <w:rFonts w:ascii="Times New Roman" w:hAnsi="Times New Roman"/>
                <w:b/>
                <w:color w:val="FFFFFF"/>
                <w:sz w:val="17"/>
              </w:rPr>
              <w:t>MRP (₹)</w:t>
            </w:r>
          </w:p>
        </w:tc>
        <w:tc>
          <w:tcPr>
            <w:tcW w:type="dxa" w:w="1040"/>
            <w:shd w:fill="1a73e8"/>
          </w:tcPr>
          <w:p>
            <w:pPr>
              <w:spacing w:after="40" w:before="40" w:line="264" w:lineRule="auto"/>
              <w:jc w:val="left"/>
            </w:pPr>
            <w:r>
              <w:rPr>
                <w:color w:val="FFFFFF"/>
              </w:rPr>
            </w:r>
            <w:r>
              <w:rPr>
                <w:rFonts w:ascii="Times New Roman" w:hAnsi="Times New Roman"/>
                <w:b/>
                <w:color w:val="FFFFFF"/>
                <w:sz w:val="17"/>
              </w:rPr>
              <w:t>Purchase Price (₹)</w:t>
            </w:r>
          </w:p>
        </w:tc>
        <w:tc>
          <w:tcPr>
            <w:tcW w:type="dxa" w:w="1040"/>
            <w:shd w:fill="1a73e8"/>
          </w:tcPr>
          <w:p>
            <w:pPr>
              <w:spacing w:after="40" w:before="40" w:line="264" w:lineRule="auto"/>
              <w:jc w:val="left"/>
            </w:pPr>
            <w:r>
              <w:rPr>
                <w:color w:val="FFFFFF"/>
              </w:rPr>
            </w:r>
            <w:r>
              <w:rPr>
                <w:rFonts w:ascii="Times New Roman" w:hAnsi="Times New Roman"/>
                <w:b/>
                <w:color w:val="FFFFFF"/>
                <w:sz w:val="17"/>
              </w:rPr>
              <w:t>6M Sales (Strips)</w:t>
            </w:r>
          </w:p>
        </w:tc>
        <w:tc>
          <w:tcPr>
            <w:tcW w:type="dxa" w:w="1040"/>
            <w:shd w:fill="1a73e8"/>
          </w:tcPr>
          <w:p>
            <w:pPr>
              <w:spacing w:after="40" w:before="40" w:line="264" w:lineRule="auto"/>
              <w:jc w:val="left"/>
            </w:pPr>
            <w:r>
              <w:rPr>
                <w:color w:val="FFFFFF"/>
              </w:rPr>
            </w:r>
            <w:r>
              <w:rPr>
                <w:rFonts w:ascii="Times New Roman" w:hAnsi="Times New Roman"/>
                <w:b/>
                <w:color w:val="FFFFFF"/>
                <w:sz w:val="17"/>
              </w:rPr>
              <w:t>6M Revenue (₹)</w:t>
            </w:r>
          </w:p>
        </w:tc>
        <w:tc>
          <w:tcPr>
            <w:tcW w:type="dxa" w:w="1040"/>
            <w:shd w:fill="1a73e8"/>
          </w:tcPr>
          <w:p>
            <w:pPr>
              <w:spacing w:after="40" w:before="40" w:line="264" w:lineRule="auto"/>
              <w:jc w:val="left"/>
            </w:pPr>
            <w:r>
              <w:rPr>
                <w:color w:val="FFFFFF"/>
              </w:rPr>
            </w:r>
            <w:r>
              <w:rPr>
                <w:rFonts w:ascii="Times New Roman" w:hAnsi="Times New Roman"/>
                <w:b/>
                <w:color w:val="FFFFFF"/>
                <w:sz w:val="17"/>
              </w:rPr>
              <w:t>ABC</w:t>
            </w:r>
          </w:p>
        </w:tc>
        <w:tc>
          <w:tcPr>
            <w:tcW w:type="dxa" w:w="1040"/>
            <w:shd w:fill="1a73e8"/>
          </w:tcPr>
          <w:p>
            <w:pPr>
              <w:spacing w:after="40" w:before="40" w:line="264" w:lineRule="auto"/>
              <w:jc w:val="left"/>
            </w:pPr>
            <w:r>
              <w:rPr>
                <w:color w:val="FFFFFF"/>
              </w:rPr>
            </w:r>
            <w:r>
              <w:rPr>
                <w:rFonts w:ascii="Times New Roman" w:hAnsi="Times New Roman"/>
                <w:b/>
                <w:color w:val="FFFFFF"/>
                <w:sz w:val="17"/>
              </w:rPr>
              <w:t>FSN</w:t>
            </w:r>
          </w:p>
        </w:tc>
      </w:tr>
      <w:tr>
        <w:tc>
          <w:tcPr>
            <w:tcW w:type="dxa" w:w="1040"/>
          </w:tcPr>
          <w:p>
            <w:pPr>
              <w:spacing w:after="40" w:before="40" w:line="264" w:lineRule="auto"/>
              <w:jc w:val="left"/>
            </w:pPr>
            <w:r/>
            <w:r>
              <w:rPr>
                <w:rFonts w:ascii="Times New Roman" w:hAnsi="Times New Roman"/>
                <w:b w:val="0"/>
                <w:sz w:val="16"/>
              </w:rPr>
              <w:t>1</w:t>
            </w:r>
          </w:p>
        </w:tc>
        <w:tc>
          <w:tcPr>
            <w:tcW w:type="dxa" w:w="1040"/>
          </w:tcPr>
          <w:p>
            <w:pPr>
              <w:spacing w:after="40" w:before="40" w:line="264" w:lineRule="auto"/>
              <w:jc w:val="left"/>
            </w:pPr>
            <w:r/>
            <w:r>
              <w:rPr>
                <w:rFonts w:ascii="Times New Roman" w:hAnsi="Times New Roman"/>
                <w:b w:val="0"/>
                <w:sz w:val="16"/>
              </w:rPr>
              <w:t>Ceroxim CV 500 Tab</w:t>
            </w:r>
          </w:p>
        </w:tc>
        <w:tc>
          <w:tcPr>
            <w:tcW w:type="dxa" w:w="1040"/>
          </w:tcPr>
          <w:p>
            <w:pPr>
              <w:spacing w:after="40" w:before="40" w:line="264" w:lineRule="auto"/>
              <w:jc w:val="left"/>
            </w:pPr>
            <w:r/>
            <w:r>
              <w:rPr>
                <w:rFonts w:ascii="Times New Roman" w:hAnsi="Times New Roman"/>
                <w:b w:val="0"/>
                <w:sz w:val="16"/>
              </w:rPr>
              <w:t>Antibiotic</w:t>
            </w:r>
          </w:p>
        </w:tc>
        <w:tc>
          <w:tcPr>
            <w:tcW w:type="dxa" w:w="1040"/>
          </w:tcPr>
          <w:p>
            <w:pPr>
              <w:spacing w:after="40" w:before="40" w:line="264" w:lineRule="auto"/>
              <w:jc w:val="left"/>
            </w:pPr>
            <w:r/>
            <w:r>
              <w:rPr>
                <w:rFonts w:ascii="Times New Roman" w:hAnsi="Times New Roman"/>
                <w:b w:val="0"/>
                <w:sz w:val="16"/>
              </w:rPr>
              <w:t>480.00</w:t>
            </w:r>
          </w:p>
        </w:tc>
        <w:tc>
          <w:tcPr>
            <w:tcW w:type="dxa" w:w="1040"/>
          </w:tcPr>
          <w:p>
            <w:pPr>
              <w:spacing w:after="40" w:before="40" w:line="264" w:lineRule="auto"/>
              <w:jc w:val="left"/>
            </w:pPr>
            <w:r/>
            <w:r>
              <w:rPr>
                <w:rFonts w:ascii="Times New Roman" w:hAnsi="Times New Roman"/>
                <w:b w:val="0"/>
                <w:sz w:val="16"/>
              </w:rPr>
              <w:t>340.00</w:t>
            </w:r>
          </w:p>
        </w:tc>
        <w:tc>
          <w:tcPr>
            <w:tcW w:type="dxa" w:w="1040"/>
          </w:tcPr>
          <w:p>
            <w:pPr>
              <w:spacing w:after="40" w:before="40" w:line="264" w:lineRule="auto"/>
              <w:jc w:val="left"/>
            </w:pPr>
            <w:r/>
            <w:r>
              <w:rPr>
                <w:rFonts w:ascii="Times New Roman" w:hAnsi="Times New Roman"/>
                <w:b w:val="0"/>
                <w:sz w:val="16"/>
              </w:rPr>
              <w:t>241</w:t>
            </w:r>
          </w:p>
        </w:tc>
        <w:tc>
          <w:tcPr>
            <w:tcW w:type="dxa" w:w="1040"/>
          </w:tcPr>
          <w:p>
            <w:pPr>
              <w:spacing w:after="40" w:before="40" w:line="264" w:lineRule="auto"/>
              <w:jc w:val="left"/>
            </w:pPr>
            <w:r/>
            <w:r>
              <w:rPr>
                <w:rFonts w:ascii="Times New Roman" w:hAnsi="Times New Roman"/>
                <w:b w:val="0"/>
                <w:sz w:val="16"/>
              </w:rPr>
              <w:t>115680.00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2</w:t>
            </w:r>
          </w:p>
        </w:tc>
        <w:tc>
          <w:tcPr>
            <w:tcW w:type="dxa" w:w="1040"/>
          </w:tcPr>
          <w:p>
            <w:pPr>
              <w:spacing w:after="40" w:before="40" w:line="264" w:lineRule="auto"/>
              <w:jc w:val="left"/>
            </w:pPr>
            <w:r/>
            <w:r>
              <w:rPr>
                <w:rFonts w:ascii="Times New Roman" w:hAnsi="Times New Roman"/>
                <w:b w:val="0"/>
                <w:sz w:val="16"/>
              </w:rPr>
              <w:t>Chyawanprash 2KG</w:t>
            </w:r>
          </w:p>
        </w:tc>
        <w:tc>
          <w:tcPr>
            <w:tcW w:type="dxa" w:w="1040"/>
          </w:tcPr>
          <w:p>
            <w:pPr>
              <w:spacing w:after="40" w:before="40" w:line="264" w:lineRule="auto"/>
              <w:jc w:val="left"/>
            </w:pPr>
            <w:r/>
            <w:r>
              <w:rPr>
                <w:rFonts w:ascii="Times New Roman" w:hAnsi="Times New Roman"/>
                <w:b w:val="0"/>
                <w:sz w:val="16"/>
              </w:rPr>
              <w:t>Ayurvedic/Immunity</w:t>
            </w:r>
          </w:p>
        </w:tc>
        <w:tc>
          <w:tcPr>
            <w:tcW w:type="dxa" w:w="1040"/>
          </w:tcPr>
          <w:p>
            <w:pPr>
              <w:spacing w:after="40" w:before="40" w:line="264" w:lineRule="auto"/>
              <w:jc w:val="left"/>
            </w:pPr>
            <w:r/>
            <w:r>
              <w:rPr>
                <w:rFonts w:ascii="Times New Roman" w:hAnsi="Times New Roman"/>
                <w:b w:val="0"/>
                <w:sz w:val="16"/>
              </w:rPr>
              <w:t>450.00</w:t>
            </w:r>
          </w:p>
        </w:tc>
        <w:tc>
          <w:tcPr>
            <w:tcW w:type="dxa" w:w="1040"/>
          </w:tcPr>
          <w:p>
            <w:pPr>
              <w:spacing w:after="40" w:before="40" w:line="264" w:lineRule="auto"/>
              <w:jc w:val="left"/>
            </w:pPr>
            <w:r/>
            <w:r>
              <w:rPr>
                <w:rFonts w:ascii="Times New Roman" w:hAnsi="Times New Roman"/>
                <w:b w:val="0"/>
                <w:sz w:val="16"/>
              </w:rPr>
              <w:t>330.00</w:t>
            </w:r>
          </w:p>
        </w:tc>
        <w:tc>
          <w:tcPr>
            <w:tcW w:type="dxa" w:w="1040"/>
          </w:tcPr>
          <w:p>
            <w:pPr>
              <w:spacing w:after="40" w:before="40" w:line="264" w:lineRule="auto"/>
              <w:jc w:val="left"/>
            </w:pPr>
            <w:r/>
            <w:r>
              <w:rPr>
                <w:rFonts w:ascii="Times New Roman" w:hAnsi="Times New Roman"/>
                <w:b w:val="0"/>
                <w:sz w:val="16"/>
              </w:rPr>
              <w:t>218</w:t>
            </w:r>
          </w:p>
        </w:tc>
        <w:tc>
          <w:tcPr>
            <w:tcW w:type="dxa" w:w="1040"/>
          </w:tcPr>
          <w:p>
            <w:pPr>
              <w:spacing w:after="40" w:before="40" w:line="264" w:lineRule="auto"/>
              <w:jc w:val="left"/>
            </w:pPr>
            <w:r/>
            <w:r>
              <w:rPr>
                <w:rFonts w:ascii="Times New Roman" w:hAnsi="Times New Roman"/>
                <w:b w:val="0"/>
                <w:sz w:val="16"/>
              </w:rPr>
              <w:t>98100.00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3</w:t>
            </w:r>
          </w:p>
        </w:tc>
        <w:tc>
          <w:tcPr>
            <w:tcW w:type="dxa" w:w="1040"/>
          </w:tcPr>
          <w:p>
            <w:pPr>
              <w:spacing w:after="40" w:before="40" w:line="264" w:lineRule="auto"/>
              <w:jc w:val="left"/>
            </w:pPr>
            <w:r/>
            <w:r>
              <w:rPr>
                <w:rFonts w:ascii="Times New Roman" w:hAnsi="Times New Roman"/>
                <w:b w:val="0"/>
                <w:sz w:val="16"/>
              </w:rPr>
              <w:t>Abzolid 600 Tab</w:t>
            </w:r>
          </w:p>
        </w:tc>
        <w:tc>
          <w:tcPr>
            <w:tcW w:type="dxa" w:w="1040"/>
          </w:tcPr>
          <w:p>
            <w:pPr>
              <w:spacing w:after="40" w:before="40" w:line="264" w:lineRule="auto"/>
              <w:jc w:val="left"/>
            </w:pPr>
            <w:r/>
            <w:r>
              <w:rPr>
                <w:rFonts w:ascii="Times New Roman" w:hAnsi="Times New Roman"/>
                <w:b w:val="0"/>
                <w:sz w:val="16"/>
              </w:rPr>
              <w:t>Antibiotic</w:t>
            </w:r>
          </w:p>
        </w:tc>
        <w:tc>
          <w:tcPr>
            <w:tcW w:type="dxa" w:w="1040"/>
          </w:tcPr>
          <w:p>
            <w:pPr>
              <w:spacing w:after="40" w:before="40" w:line="264" w:lineRule="auto"/>
              <w:jc w:val="left"/>
            </w:pPr>
            <w:r/>
            <w:r>
              <w:rPr>
                <w:rFonts w:ascii="Times New Roman" w:hAnsi="Times New Roman"/>
                <w:b w:val="0"/>
                <w:sz w:val="16"/>
              </w:rPr>
              <w:t>406.00</w:t>
            </w:r>
          </w:p>
        </w:tc>
        <w:tc>
          <w:tcPr>
            <w:tcW w:type="dxa" w:w="1040"/>
          </w:tcPr>
          <w:p>
            <w:pPr>
              <w:spacing w:after="40" w:before="40" w:line="264" w:lineRule="auto"/>
              <w:jc w:val="left"/>
            </w:pPr>
            <w:r/>
            <w:r>
              <w:rPr>
                <w:rFonts w:ascii="Times New Roman" w:hAnsi="Times New Roman"/>
                <w:b w:val="0"/>
                <w:sz w:val="16"/>
              </w:rPr>
              <w:t>285.00</w:t>
            </w:r>
          </w:p>
        </w:tc>
        <w:tc>
          <w:tcPr>
            <w:tcW w:type="dxa" w:w="1040"/>
          </w:tcPr>
          <w:p>
            <w:pPr>
              <w:spacing w:after="40" w:before="40" w:line="264" w:lineRule="auto"/>
              <w:jc w:val="left"/>
            </w:pPr>
            <w:r/>
            <w:r>
              <w:rPr>
                <w:rFonts w:ascii="Times New Roman" w:hAnsi="Times New Roman"/>
                <w:b w:val="0"/>
                <w:sz w:val="16"/>
              </w:rPr>
              <w:t>228</w:t>
            </w:r>
          </w:p>
        </w:tc>
        <w:tc>
          <w:tcPr>
            <w:tcW w:type="dxa" w:w="1040"/>
          </w:tcPr>
          <w:p>
            <w:pPr>
              <w:spacing w:after="40" w:before="40" w:line="264" w:lineRule="auto"/>
              <w:jc w:val="left"/>
            </w:pPr>
            <w:r/>
            <w:r>
              <w:rPr>
                <w:rFonts w:ascii="Times New Roman" w:hAnsi="Times New Roman"/>
                <w:b w:val="0"/>
                <w:sz w:val="16"/>
              </w:rPr>
              <w:t>92568.00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4</w:t>
            </w:r>
          </w:p>
        </w:tc>
        <w:tc>
          <w:tcPr>
            <w:tcW w:type="dxa" w:w="1040"/>
          </w:tcPr>
          <w:p>
            <w:pPr>
              <w:spacing w:after="40" w:before="40" w:line="264" w:lineRule="auto"/>
              <w:jc w:val="left"/>
            </w:pPr>
            <w:r/>
            <w:r>
              <w:rPr>
                <w:rFonts w:ascii="Times New Roman" w:hAnsi="Times New Roman"/>
                <w:b w:val="0"/>
                <w:sz w:val="16"/>
              </w:rPr>
              <w:t>Chymotas Forte Tab</w:t>
            </w:r>
          </w:p>
        </w:tc>
        <w:tc>
          <w:tcPr>
            <w:tcW w:type="dxa" w:w="1040"/>
          </w:tcPr>
          <w:p>
            <w:pPr>
              <w:spacing w:after="40" w:before="40" w:line="264" w:lineRule="auto"/>
              <w:jc w:val="left"/>
            </w:pPr>
            <w:r/>
            <w:r>
              <w:rPr>
                <w:rFonts w:ascii="Times New Roman" w:hAnsi="Times New Roman"/>
                <w:b w:val="0"/>
                <w:sz w:val="16"/>
              </w:rPr>
              <w:t>Pain/Swelling</w:t>
            </w:r>
          </w:p>
        </w:tc>
        <w:tc>
          <w:tcPr>
            <w:tcW w:type="dxa" w:w="1040"/>
          </w:tcPr>
          <w:p>
            <w:pPr>
              <w:spacing w:after="40" w:before="40" w:line="264" w:lineRule="auto"/>
              <w:jc w:val="left"/>
            </w:pPr>
            <w:r/>
            <w:r>
              <w:rPr>
                <w:rFonts w:ascii="Times New Roman" w:hAnsi="Times New Roman"/>
                <w:b w:val="0"/>
                <w:sz w:val="16"/>
              </w:rPr>
              <w:t>370.00</w:t>
            </w:r>
          </w:p>
        </w:tc>
        <w:tc>
          <w:tcPr>
            <w:tcW w:type="dxa" w:w="1040"/>
          </w:tcPr>
          <w:p>
            <w:pPr>
              <w:spacing w:after="40" w:before="40" w:line="264" w:lineRule="auto"/>
              <w:jc w:val="left"/>
            </w:pPr>
            <w:r/>
            <w:r>
              <w:rPr>
                <w:rFonts w:ascii="Times New Roman" w:hAnsi="Times New Roman"/>
                <w:b w:val="0"/>
                <w:sz w:val="16"/>
              </w:rPr>
              <w:t>260.00</w:t>
            </w:r>
          </w:p>
        </w:tc>
        <w:tc>
          <w:tcPr>
            <w:tcW w:type="dxa" w:w="1040"/>
          </w:tcPr>
          <w:p>
            <w:pPr>
              <w:spacing w:after="40" w:before="40" w:line="264" w:lineRule="auto"/>
              <w:jc w:val="left"/>
            </w:pPr>
            <w:r/>
            <w:r>
              <w:rPr>
                <w:rFonts w:ascii="Times New Roman" w:hAnsi="Times New Roman"/>
                <w:b w:val="0"/>
                <w:sz w:val="16"/>
              </w:rPr>
              <w:t>185</w:t>
            </w:r>
          </w:p>
        </w:tc>
        <w:tc>
          <w:tcPr>
            <w:tcW w:type="dxa" w:w="1040"/>
          </w:tcPr>
          <w:p>
            <w:pPr>
              <w:spacing w:after="40" w:before="40" w:line="264" w:lineRule="auto"/>
              <w:jc w:val="left"/>
            </w:pPr>
            <w:r/>
            <w:r>
              <w:rPr>
                <w:rFonts w:ascii="Times New Roman" w:hAnsi="Times New Roman"/>
                <w:b w:val="0"/>
                <w:sz w:val="16"/>
              </w:rPr>
              <w:t>68450.00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5</w:t>
            </w:r>
          </w:p>
        </w:tc>
        <w:tc>
          <w:tcPr>
            <w:tcW w:type="dxa" w:w="1040"/>
          </w:tcPr>
          <w:p>
            <w:pPr>
              <w:spacing w:after="40" w:before="40" w:line="264" w:lineRule="auto"/>
              <w:jc w:val="left"/>
            </w:pPr>
            <w:r/>
            <w:r>
              <w:rPr>
                <w:rFonts w:ascii="Times New Roman" w:hAnsi="Times New Roman"/>
                <w:b w:val="0"/>
                <w:sz w:val="16"/>
              </w:rPr>
              <w:t>Deca-Intabolin 50mg Inj</w:t>
            </w:r>
          </w:p>
        </w:tc>
        <w:tc>
          <w:tcPr>
            <w:tcW w:type="dxa" w:w="1040"/>
          </w:tcPr>
          <w:p>
            <w:pPr>
              <w:spacing w:after="40" w:before="40" w:line="264" w:lineRule="auto"/>
              <w:jc w:val="left"/>
            </w:pPr>
            <w:r/>
            <w:r>
              <w:rPr>
                <w:rFonts w:ascii="Times New Roman" w:hAnsi="Times New Roman"/>
                <w:b w:val="0"/>
                <w:sz w:val="16"/>
              </w:rPr>
              <w:t>Steroid/Inj</w:t>
            </w:r>
          </w:p>
        </w:tc>
        <w:tc>
          <w:tcPr>
            <w:tcW w:type="dxa" w:w="1040"/>
          </w:tcPr>
          <w:p>
            <w:pPr>
              <w:spacing w:after="40" w:before="40" w:line="264" w:lineRule="auto"/>
              <w:jc w:val="left"/>
            </w:pPr>
            <w:r/>
            <w:r>
              <w:rPr>
                <w:rFonts w:ascii="Times New Roman" w:hAnsi="Times New Roman"/>
                <w:b w:val="0"/>
                <w:sz w:val="16"/>
              </w:rPr>
              <w:t>280.00</w:t>
            </w:r>
          </w:p>
        </w:tc>
        <w:tc>
          <w:tcPr>
            <w:tcW w:type="dxa" w:w="1040"/>
          </w:tcPr>
          <w:p>
            <w:pPr>
              <w:spacing w:after="40" w:before="40" w:line="264" w:lineRule="auto"/>
              <w:jc w:val="left"/>
            </w:pPr>
            <w:r/>
            <w:r>
              <w:rPr>
                <w:rFonts w:ascii="Times New Roman" w:hAnsi="Times New Roman"/>
                <w:b w:val="0"/>
                <w:sz w:val="16"/>
              </w:rPr>
              <w:t>195.00</w:t>
            </w:r>
          </w:p>
        </w:tc>
        <w:tc>
          <w:tcPr>
            <w:tcW w:type="dxa" w:w="1040"/>
          </w:tcPr>
          <w:p>
            <w:pPr>
              <w:spacing w:after="40" w:before="40" w:line="264" w:lineRule="auto"/>
              <w:jc w:val="left"/>
            </w:pPr>
            <w:r/>
            <w:r>
              <w:rPr>
                <w:rFonts w:ascii="Times New Roman" w:hAnsi="Times New Roman"/>
                <w:b w:val="0"/>
                <w:sz w:val="16"/>
              </w:rPr>
              <w:t>232</w:t>
            </w:r>
          </w:p>
        </w:tc>
        <w:tc>
          <w:tcPr>
            <w:tcW w:type="dxa" w:w="1040"/>
          </w:tcPr>
          <w:p>
            <w:pPr>
              <w:spacing w:after="40" w:before="40" w:line="264" w:lineRule="auto"/>
              <w:jc w:val="left"/>
            </w:pPr>
            <w:r/>
            <w:r>
              <w:rPr>
                <w:rFonts w:ascii="Times New Roman" w:hAnsi="Times New Roman"/>
                <w:b w:val="0"/>
                <w:sz w:val="16"/>
              </w:rPr>
              <w:t>64960.00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6</w:t>
            </w:r>
          </w:p>
        </w:tc>
        <w:tc>
          <w:tcPr>
            <w:tcW w:type="dxa" w:w="1040"/>
          </w:tcPr>
          <w:p>
            <w:pPr>
              <w:spacing w:after="40" w:before="40" w:line="264" w:lineRule="auto"/>
              <w:jc w:val="left"/>
            </w:pPr>
            <w:r/>
            <w:r>
              <w:rPr>
                <w:rFonts w:ascii="Times New Roman" w:hAnsi="Times New Roman"/>
                <w:b w:val="0"/>
                <w:sz w:val="16"/>
              </w:rPr>
              <w:t>Calbert K27 Cap</w:t>
            </w:r>
          </w:p>
        </w:tc>
        <w:tc>
          <w:tcPr>
            <w:tcW w:type="dxa" w:w="1040"/>
          </w:tcPr>
          <w:p>
            <w:pPr>
              <w:spacing w:after="40" w:before="40" w:line="264" w:lineRule="auto"/>
              <w:jc w:val="left"/>
            </w:pPr>
            <w:r/>
            <w:r>
              <w:rPr>
                <w:rFonts w:ascii="Times New Roman" w:hAnsi="Times New Roman"/>
                <w:b w:val="0"/>
                <w:sz w:val="16"/>
              </w:rPr>
              <w:t>Calcium/Supplement</w:t>
            </w:r>
          </w:p>
        </w:tc>
        <w:tc>
          <w:tcPr>
            <w:tcW w:type="dxa" w:w="1040"/>
          </w:tcPr>
          <w:p>
            <w:pPr>
              <w:spacing w:after="40" w:before="40" w:line="264" w:lineRule="auto"/>
              <w:jc w:val="left"/>
            </w:pPr>
            <w:r/>
            <w:r>
              <w:rPr>
                <w:rFonts w:ascii="Times New Roman" w:hAnsi="Times New Roman"/>
                <w:b w:val="0"/>
                <w:sz w:val="16"/>
              </w:rPr>
              <w:t>245.00</w:t>
            </w:r>
          </w:p>
        </w:tc>
        <w:tc>
          <w:tcPr>
            <w:tcW w:type="dxa" w:w="1040"/>
          </w:tcPr>
          <w:p>
            <w:pPr>
              <w:spacing w:after="40" w:before="40" w:line="264" w:lineRule="auto"/>
              <w:jc w:val="left"/>
            </w:pPr>
            <w:r/>
            <w:r>
              <w:rPr>
                <w:rFonts w:ascii="Times New Roman" w:hAnsi="Times New Roman"/>
                <w:b w:val="0"/>
                <w:sz w:val="16"/>
              </w:rPr>
              <w:t>174.00</w:t>
            </w:r>
          </w:p>
        </w:tc>
        <w:tc>
          <w:tcPr>
            <w:tcW w:type="dxa" w:w="1040"/>
          </w:tcPr>
          <w:p>
            <w:pPr>
              <w:spacing w:after="40" w:before="40" w:line="264" w:lineRule="auto"/>
              <w:jc w:val="left"/>
            </w:pPr>
            <w:r/>
            <w:r>
              <w:rPr>
                <w:rFonts w:ascii="Times New Roman" w:hAnsi="Times New Roman"/>
                <w:b w:val="0"/>
                <w:sz w:val="16"/>
              </w:rPr>
              <w:t>247</w:t>
            </w:r>
          </w:p>
        </w:tc>
        <w:tc>
          <w:tcPr>
            <w:tcW w:type="dxa" w:w="1040"/>
          </w:tcPr>
          <w:p>
            <w:pPr>
              <w:spacing w:after="40" w:before="40" w:line="264" w:lineRule="auto"/>
              <w:jc w:val="left"/>
            </w:pPr>
            <w:r/>
            <w:r>
              <w:rPr>
                <w:rFonts w:ascii="Times New Roman" w:hAnsi="Times New Roman"/>
                <w:b w:val="0"/>
                <w:sz w:val="16"/>
              </w:rPr>
              <w:t>60515.00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7</w:t>
            </w:r>
          </w:p>
        </w:tc>
        <w:tc>
          <w:tcPr>
            <w:tcW w:type="dxa" w:w="1040"/>
          </w:tcPr>
          <w:p>
            <w:pPr>
              <w:spacing w:after="40" w:before="40" w:line="264" w:lineRule="auto"/>
              <w:jc w:val="left"/>
            </w:pPr>
            <w:r/>
            <w:r>
              <w:rPr>
                <w:rFonts w:ascii="Times New Roman" w:hAnsi="Times New Roman"/>
                <w:b w:val="0"/>
                <w:sz w:val="16"/>
              </w:rPr>
              <w:t>Rabitec DSR Cap</w:t>
            </w:r>
          </w:p>
        </w:tc>
        <w:tc>
          <w:tcPr>
            <w:tcW w:type="dxa" w:w="1040"/>
          </w:tcPr>
          <w:p>
            <w:pPr>
              <w:spacing w:after="40" w:before="40" w:line="264" w:lineRule="auto"/>
              <w:jc w:val="left"/>
            </w:pPr>
            <w:r/>
            <w:r>
              <w:rPr>
                <w:rFonts w:ascii="Times New Roman" w:hAnsi="Times New Roman"/>
                <w:b w:val="0"/>
                <w:sz w:val="16"/>
              </w:rPr>
              <w:t>Gastric Care</w:t>
            </w:r>
          </w:p>
        </w:tc>
        <w:tc>
          <w:tcPr>
            <w:tcW w:type="dxa" w:w="1040"/>
          </w:tcPr>
          <w:p>
            <w:pPr>
              <w:spacing w:after="40" w:before="40" w:line="264" w:lineRule="auto"/>
              <w:jc w:val="left"/>
            </w:pPr>
            <w:r/>
            <w:r>
              <w:rPr>
                <w:rFonts w:ascii="Times New Roman" w:hAnsi="Times New Roman"/>
                <w:b w:val="0"/>
                <w:sz w:val="16"/>
              </w:rPr>
              <w:t>185.00</w:t>
            </w:r>
          </w:p>
        </w:tc>
        <w:tc>
          <w:tcPr>
            <w:tcW w:type="dxa" w:w="1040"/>
          </w:tcPr>
          <w:p>
            <w:pPr>
              <w:spacing w:after="40" w:before="40" w:line="264" w:lineRule="auto"/>
              <w:jc w:val="left"/>
            </w:pPr>
            <w:r/>
            <w:r>
              <w:rPr>
                <w:rFonts w:ascii="Times New Roman" w:hAnsi="Times New Roman"/>
                <w:b w:val="0"/>
                <w:sz w:val="16"/>
              </w:rPr>
              <w:t>130.00</w:t>
            </w:r>
          </w:p>
        </w:tc>
        <w:tc>
          <w:tcPr>
            <w:tcW w:type="dxa" w:w="1040"/>
          </w:tcPr>
          <w:p>
            <w:pPr>
              <w:spacing w:after="40" w:before="40" w:line="264" w:lineRule="auto"/>
              <w:jc w:val="left"/>
            </w:pPr>
            <w:r/>
            <w:r>
              <w:rPr>
                <w:rFonts w:ascii="Times New Roman" w:hAnsi="Times New Roman"/>
                <w:b w:val="0"/>
                <w:sz w:val="16"/>
              </w:rPr>
              <w:t>317</w:t>
            </w:r>
          </w:p>
        </w:tc>
        <w:tc>
          <w:tcPr>
            <w:tcW w:type="dxa" w:w="1040"/>
          </w:tcPr>
          <w:p>
            <w:pPr>
              <w:spacing w:after="40" w:before="40" w:line="264" w:lineRule="auto"/>
              <w:jc w:val="left"/>
            </w:pPr>
            <w:r/>
            <w:r>
              <w:rPr>
                <w:rFonts w:ascii="Times New Roman" w:hAnsi="Times New Roman"/>
                <w:b w:val="0"/>
                <w:sz w:val="16"/>
              </w:rPr>
              <w:t>58645.00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8</w:t>
            </w:r>
          </w:p>
        </w:tc>
        <w:tc>
          <w:tcPr>
            <w:tcW w:type="dxa" w:w="1040"/>
          </w:tcPr>
          <w:p>
            <w:pPr>
              <w:spacing w:after="40" w:before="40" w:line="264" w:lineRule="auto"/>
              <w:jc w:val="left"/>
            </w:pPr>
            <w:r/>
            <w:r>
              <w:rPr>
                <w:rFonts w:ascii="Times New Roman" w:hAnsi="Times New Roman"/>
                <w:b w:val="0"/>
                <w:sz w:val="16"/>
              </w:rPr>
              <w:t>Itra-Albert 200mg Cap</w:t>
            </w:r>
          </w:p>
        </w:tc>
        <w:tc>
          <w:tcPr>
            <w:tcW w:type="dxa" w:w="1040"/>
          </w:tcPr>
          <w:p>
            <w:pPr>
              <w:spacing w:after="40" w:before="40" w:line="264" w:lineRule="auto"/>
              <w:jc w:val="left"/>
            </w:pPr>
            <w:r/>
            <w:r>
              <w:rPr>
                <w:rFonts w:ascii="Times New Roman" w:hAnsi="Times New Roman"/>
                <w:b w:val="0"/>
                <w:sz w:val="16"/>
              </w:rPr>
              <w:t>Antifungal</w:t>
            </w:r>
          </w:p>
        </w:tc>
        <w:tc>
          <w:tcPr>
            <w:tcW w:type="dxa" w:w="1040"/>
          </w:tcPr>
          <w:p>
            <w:pPr>
              <w:spacing w:after="40" w:before="40" w:line="264" w:lineRule="auto"/>
              <w:jc w:val="left"/>
            </w:pPr>
            <w:r/>
            <w:r>
              <w:rPr>
                <w:rFonts w:ascii="Times New Roman" w:hAnsi="Times New Roman"/>
                <w:b w:val="0"/>
                <w:sz w:val="16"/>
              </w:rPr>
              <w:t>275.00</w:t>
            </w:r>
          </w:p>
        </w:tc>
        <w:tc>
          <w:tcPr>
            <w:tcW w:type="dxa" w:w="1040"/>
          </w:tcPr>
          <w:p>
            <w:pPr>
              <w:spacing w:after="40" w:before="40" w:line="264" w:lineRule="auto"/>
              <w:jc w:val="left"/>
            </w:pPr>
            <w:r/>
            <w:r>
              <w:rPr>
                <w:rFonts w:ascii="Times New Roman" w:hAnsi="Times New Roman"/>
                <w:b w:val="0"/>
                <w:sz w:val="16"/>
              </w:rPr>
              <w:t>195.00</w:t>
            </w:r>
          </w:p>
        </w:tc>
        <w:tc>
          <w:tcPr>
            <w:tcW w:type="dxa" w:w="1040"/>
          </w:tcPr>
          <w:p>
            <w:pPr>
              <w:spacing w:after="40" w:before="40" w:line="264" w:lineRule="auto"/>
              <w:jc w:val="left"/>
            </w:pPr>
            <w:r/>
            <w:r>
              <w:rPr>
                <w:rFonts w:ascii="Times New Roman" w:hAnsi="Times New Roman"/>
                <w:b w:val="0"/>
                <w:sz w:val="16"/>
              </w:rPr>
              <w:t>212</w:t>
            </w:r>
          </w:p>
        </w:tc>
        <w:tc>
          <w:tcPr>
            <w:tcW w:type="dxa" w:w="1040"/>
          </w:tcPr>
          <w:p>
            <w:pPr>
              <w:spacing w:after="40" w:before="40" w:line="264" w:lineRule="auto"/>
              <w:jc w:val="left"/>
            </w:pPr>
            <w:r/>
            <w:r>
              <w:rPr>
                <w:rFonts w:ascii="Times New Roman" w:hAnsi="Times New Roman"/>
                <w:b w:val="0"/>
                <w:sz w:val="16"/>
              </w:rPr>
              <w:t>58275.00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9</w:t>
            </w:r>
          </w:p>
        </w:tc>
        <w:tc>
          <w:tcPr>
            <w:tcW w:type="dxa" w:w="1040"/>
          </w:tcPr>
          <w:p>
            <w:pPr>
              <w:spacing w:after="40" w:before="40" w:line="264" w:lineRule="auto"/>
              <w:jc w:val="left"/>
            </w:pPr>
            <w:r/>
            <w:r>
              <w:rPr>
                <w:rFonts w:ascii="Times New Roman" w:hAnsi="Times New Roman"/>
                <w:b w:val="0"/>
                <w:sz w:val="16"/>
              </w:rPr>
              <w:t>Montas FX Tab</w:t>
            </w:r>
          </w:p>
        </w:tc>
        <w:tc>
          <w:tcPr>
            <w:tcW w:type="dxa" w:w="1040"/>
          </w:tcPr>
          <w:p>
            <w:pPr>
              <w:spacing w:after="40" w:before="40" w:line="264" w:lineRule="auto"/>
              <w:jc w:val="left"/>
            </w:pPr>
            <w:r/>
            <w:r>
              <w:rPr>
                <w:rFonts w:ascii="Times New Roman" w:hAnsi="Times New Roman"/>
                <w:b w:val="0"/>
                <w:sz w:val="16"/>
              </w:rPr>
              <w:t>Respiratory/Allergy</w:t>
            </w:r>
          </w:p>
        </w:tc>
        <w:tc>
          <w:tcPr>
            <w:tcW w:type="dxa" w:w="1040"/>
          </w:tcPr>
          <w:p>
            <w:pPr>
              <w:spacing w:after="40" w:before="40" w:line="264" w:lineRule="auto"/>
              <w:jc w:val="left"/>
            </w:pPr>
            <w:r/>
            <w:r>
              <w:rPr>
                <w:rFonts w:ascii="Times New Roman" w:hAnsi="Times New Roman"/>
                <w:b w:val="0"/>
                <w:sz w:val="16"/>
              </w:rPr>
              <w:t>250.00</w:t>
            </w:r>
          </w:p>
        </w:tc>
        <w:tc>
          <w:tcPr>
            <w:tcW w:type="dxa" w:w="1040"/>
          </w:tcPr>
          <w:p>
            <w:pPr>
              <w:spacing w:after="40" w:before="40" w:line="264" w:lineRule="auto"/>
              <w:jc w:val="left"/>
            </w:pPr>
            <w:r/>
            <w:r>
              <w:rPr>
                <w:rFonts w:ascii="Times New Roman" w:hAnsi="Times New Roman"/>
                <w:b w:val="0"/>
                <w:sz w:val="16"/>
              </w:rPr>
              <w:t>176.00</w:t>
            </w:r>
          </w:p>
        </w:tc>
        <w:tc>
          <w:tcPr>
            <w:tcW w:type="dxa" w:w="1040"/>
          </w:tcPr>
          <w:p>
            <w:pPr>
              <w:spacing w:after="40" w:before="40" w:line="264" w:lineRule="auto"/>
              <w:jc w:val="left"/>
            </w:pPr>
            <w:r/>
            <w:r>
              <w:rPr>
                <w:rFonts w:ascii="Times New Roman" w:hAnsi="Times New Roman"/>
                <w:b w:val="0"/>
                <w:sz w:val="16"/>
              </w:rPr>
              <w:t>198</w:t>
            </w:r>
          </w:p>
        </w:tc>
        <w:tc>
          <w:tcPr>
            <w:tcW w:type="dxa" w:w="1040"/>
          </w:tcPr>
          <w:p>
            <w:pPr>
              <w:spacing w:after="40" w:before="40" w:line="264" w:lineRule="auto"/>
              <w:jc w:val="left"/>
            </w:pPr>
            <w:r/>
            <w:r>
              <w:rPr>
                <w:rFonts w:ascii="Times New Roman" w:hAnsi="Times New Roman"/>
                <w:b w:val="0"/>
                <w:sz w:val="16"/>
              </w:rPr>
              <w:t>49560.00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10</w:t>
            </w:r>
          </w:p>
        </w:tc>
        <w:tc>
          <w:tcPr>
            <w:tcW w:type="dxa" w:w="1040"/>
          </w:tcPr>
          <w:p>
            <w:pPr>
              <w:spacing w:after="40" w:before="40" w:line="264" w:lineRule="auto"/>
              <w:jc w:val="left"/>
            </w:pPr>
            <w:r/>
            <w:r>
              <w:rPr>
                <w:rFonts w:ascii="Times New Roman" w:hAnsi="Times New Roman"/>
                <w:b w:val="0"/>
                <w:sz w:val="16"/>
              </w:rPr>
              <w:t>Calbert D3 60K Cap</w:t>
            </w:r>
          </w:p>
        </w:tc>
        <w:tc>
          <w:tcPr>
            <w:tcW w:type="dxa" w:w="1040"/>
          </w:tcPr>
          <w:p>
            <w:pPr>
              <w:spacing w:after="40" w:before="40" w:line="264" w:lineRule="auto"/>
              <w:jc w:val="left"/>
            </w:pPr>
            <w:r/>
            <w:r>
              <w:rPr>
                <w:rFonts w:ascii="Times New Roman" w:hAnsi="Times New Roman"/>
                <w:b w:val="0"/>
                <w:sz w:val="16"/>
              </w:rPr>
              <w:t>Vitamin/Supplement</w:t>
            </w:r>
          </w:p>
        </w:tc>
        <w:tc>
          <w:tcPr>
            <w:tcW w:type="dxa" w:w="1040"/>
          </w:tcPr>
          <w:p>
            <w:pPr>
              <w:spacing w:after="40" w:before="40" w:line="264" w:lineRule="auto"/>
              <w:jc w:val="left"/>
            </w:pPr>
            <w:r/>
            <w:r>
              <w:rPr>
                <w:rFonts w:ascii="Times New Roman" w:hAnsi="Times New Roman"/>
                <w:b w:val="0"/>
                <w:sz w:val="16"/>
              </w:rPr>
              <w:t>190.00</w:t>
            </w:r>
          </w:p>
        </w:tc>
        <w:tc>
          <w:tcPr>
            <w:tcW w:type="dxa" w:w="1040"/>
          </w:tcPr>
          <w:p>
            <w:pPr>
              <w:spacing w:after="40" w:before="40" w:line="264" w:lineRule="auto"/>
              <w:jc w:val="left"/>
            </w:pPr>
            <w:r/>
            <w:r>
              <w:rPr>
                <w:rFonts w:ascii="Times New Roman" w:hAnsi="Times New Roman"/>
                <w:b w:val="0"/>
                <w:sz w:val="16"/>
              </w:rPr>
              <w:t>130.00</w:t>
            </w:r>
          </w:p>
        </w:tc>
        <w:tc>
          <w:tcPr>
            <w:tcW w:type="dxa" w:w="1040"/>
          </w:tcPr>
          <w:p>
            <w:pPr>
              <w:spacing w:after="40" w:before="40" w:line="264" w:lineRule="auto"/>
              <w:jc w:val="left"/>
            </w:pPr>
            <w:r/>
            <w:r>
              <w:rPr>
                <w:rFonts w:ascii="Times New Roman" w:hAnsi="Times New Roman"/>
                <w:b w:val="0"/>
                <w:sz w:val="16"/>
              </w:rPr>
              <w:t>256</w:t>
            </w:r>
          </w:p>
        </w:tc>
        <w:tc>
          <w:tcPr>
            <w:tcW w:type="dxa" w:w="1040"/>
          </w:tcPr>
          <w:p>
            <w:pPr>
              <w:spacing w:after="40" w:before="40" w:line="264" w:lineRule="auto"/>
              <w:jc w:val="left"/>
            </w:pPr>
            <w:r/>
            <w:r>
              <w:rPr>
                <w:rFonts w:ascii="Times New Roman" w:hAnsi="Times New Roman"/>
                <w:b w:val="0"/>
                <w:sz w:val="16"/>
              </w:rPr>
              <w:t>48708.00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11</w:t>
            </w:r>
          </w:p>
        </w:tc>
        <w:tc>
          <w:tcPr>
            <w:tcW w:type="dxa" w:w="1040"/>
          </w:tcPr>
          <w:p>
            <w:pPr>
              <w:spacing w:after="40" w:before="40" w:line="264" w:lineRule="auto"/>
              <w:jc w:val="left"/>
            </w:pPr>
            <w:r/>
            <w:r>
              <w:rPr>
                <w:rFonts w:ascii="Times New Roman" w:hAnsi="Times New Roman"/>
                <w:b w:val="0"/>
                <w:sz w:val="16"/>
              </w:rPr>
              <w:t>Montas L Tab (10s)</w:t>
            </w:r>
          </w:p>
        </w:tc>
        <w:tc>
          <w:tcPr>
            <w:tcW w:type="dxa" w:w="1040"/>
          </w:tcPr>
          <w:p>
            <w:pPr>
              <w:spacing w:after="40" w:before="40" w:line="264" w:lineRule="auto"/>
              <w:jc w:val="left"/>
            </w:pPr>
            <w:r/>
            <w:r>
              <w:rPr>
                <w:rFonts w:ascii="Times New Roman" w:hAnsi="Times New Roman"/>
                <w:b w:val="0"/>
                <w:sz w:val="16"/>
              </w:rPr>
              <w:t>Respiratory/Cold</w:t>
            </w:r>
          </w:p>
        </w:tc>
        <w:tc>
          <w:tcPr>
            <w:tcW w:type="dxa" w:w="1040"/>
          </w:tcPr>
          <w:p>
            <w:pPr>
              <w:spacing w:after="40" w:before="40" w:line="264" w:lineRule="auto"/>
              <w:jc w:val="left"/>
            </w:pPr>
            <w:r/>
            <w:r>
              <w:rPr>
                <w:rFonts w:ascii="Times New Roman" w:hAnsi="Times New Roman"/>
                <w:b w:val="0"/>
                <w:sz w:val="16"/>
              </w:rPr>
              <w:t>165.00</w:t>
            </w:r>
          </w:p>
        </w:tc>
        <w:tc>
          <w:tcPr>
            <w:tcW w:type="dxa" w:w="1040"/>
          </w:tcPr>
          <w:p>
            <w:pPr>
              <w:spacing w:after="40" w:before="40" w:line="264" w:lineRule="auto"/>
              <w:jc w:val="left"/>
            </w:pPr>
            <w:r/>
            <w:r>
              <w:rPr>
                <w:rFonts w:ascii="Times New Roman" w:hAnsi="Times New Roman"/>
                <w:b w:val="0"/>
                <w:sz w:val="16"/>
              </w:rPr>
              <w:t>115.00</w:t>
            </w:r>
          </w:p>
        </w:tc>
        <w:tc>
          <w:tcPr>
            <w:tcW w:type="dxa" w:w="1040"/>
          </w:tcPr>
          <w:p>
            <w:pPr>
              <w:spacing w:after="40" w:before="40" w:line="264" w:lineRule="auto"/>
              <w:jc w:val="left"/>
            </w:pPr>
            <w:r/>
            <w:r>
              <w:rPr>
                <w:rFonts w:ascii="Times New Roman" w:hAnsi="Times New Roman"/>
                <w:b w:val="0"/>
                <w:sz w:val="16"/>
              </w:rPr>
              <w:t>288</w:t>
            </w:r>
          </w:p>
        </w:tc>
        <w:tc>
          <w:tcPr>
            <w:tcW w:type="dxa" w:w="1040"/>
          </w:tcPr>
          <w:p>
            <w:pPr>
              <w:spacing w:after="40" w:before="40" w:line="264" w:lineRule="auto"/>
              <w:jc w:val="left"/>
            </w:pPr>
            <w:r/>
            <w:r>
              <w:rPr>
                <w:rFonts w:ascii="Times New Roman" w:hAnsi="Times New Roman"/>
                <w:b w:val="0"/>
                <w:sz w:val="16"/>
              </w:rPr>
              <w:t>47520.00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12</w:t>
            </w:r>
          </w:p>
        </w:tc>
        <w:tc>
          <w:tcPr>
            <w:tcW w:type="dxa" w:w="1040"/>
          </w:tcPr>
          <w:p>
            <w:pPr>
              <w:spacing w:after="40" w:before="40" w:line="264" w:lineRule="auto"/>
              <w:jc w:val="left"/>
            </w:pPr>
            <w:r/>
            <w:r>
              <w:rPr>
                <w:rFonts w:ascii="Times New Roman" w:hAnsi="Times New Roman"/>
                <w:b w:val="0"/>
                <w:sz w:val="16"/>
              </w:rPr>
              <w:t>Ketomac Shampoo 100ml</w:t>
            </w:r>
          </w:p>
        </w:tc>
        <w:tc>
          <w:tcPr>
            <w:tcW w:type="dxa" w:w="1040"/>
          </w:tcPr>
          <w:p>
            <w:pPr>
              <w:spacing w:after="40" w:before="40" w:line="264" w:lineRule="auto"/>
              <w:jc w:val="left"/>
            </w:pPr>
            <w:r/>
            <w:r>
              <w:rPr>
                <w:rFonts w:ascii="Times New Roman" w:hAnsi="Times New Roman"/>
                <w:b w:val="0"/>
                <w:sz w:val="16"/>
              </w:rPr>
              <w:t>Dermatology</w:t>
            </w:r>
          </w:p>
        </w:tc>
        <w:tc>
          <w:tcPr>
            <w:tcW w:type="dxa" w:w="1040"/>
          </w:tcPr>
          <w:p>
            <w:pPr>
              <w:spacing w:after="40" w:before="40" w:line="264" w:lineRule="auto"/>
              <w:jc w:val="left"/>
            </w:pPr>
            <w:r/>
            <w:r>
              <w:rPr>
                <w:rFonts w:ascii="Times New Roman" w:hAnsi="Times New Roman"/>
                <w:b w:val="0"/>
                <w:sz w:val="16"/>
              </w:rPr>
              <w:t>225.00</w:t>
            </w:r>
          </w:p>
        </w:tc>
        <w:tc>
          <w:tcPr>
            <w:tcW w:type="dxa" w:w="1040"/>
          </w:tcPr>
          <w:p>
            <w:pPr>
              <w:spacing w:after="40" w:before="40" w:line="264" w:lineRule="auto"/>
              <w:jc w:val="left"/>
            </w:pPr>
            <w:r/>
            <w:r>
              <w:rPr>
                <w:rFonts w:ascii="Times New Roman" w:hAnsi="Times New Roman"/>
                <w:b w:val="0"/>
                <w:sz w:val="16"/>
              </w:rPr>
              <w:t>159.00</w:t>
            </w:r>
          </w:p>
        </w:tc>
        <w:tc>
          <w:tcPr>
            <w:tcW w:type="dxa" w:w="1040"/>
          </w:tcPr>
          <w:p>
            <w:pPr>
              <w:spacing w:after="40" w:before="40" w:line="264" w:lineRule="auto"/>
              <w:jc w:val="left"/>
            </w:pPr>
            <w:r/>
            <w:r>
              <w:rPr>
                <w:rFonts w:ascii="Times New Roman" w:hAnsi="Times New Roman"/>
                <w:b w:val="0"/>
                <w:sz w:val="16"/>
              </w:rPr>
              <w:t>211</w:t>
            </w:r>
          </w:p>
        </w:tc>
        <w:tc>
          <w:tcPr>
            <w:tcW w:type="dxa" w:w="1040"/>
          </w:tcPr>
          <w:p>
            <w:pPr>
              <w:spacing w:after="40" w:before="40" w:line="264" w:lineRule="auto"/>
              <w:jc w:val="left"/>
            </w:pPr>
            <w:r/>
            <w:r>
              <w:rPr>
                <w:rFonts w:ascii="Times New Roman" w:hAnsi="Times New Roman"/>
                <w:b w:val="0"/>
                <w:sz w:val="16"/>
              </w:rPr>
              <w:t>47475.00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13</w:t>
            </w:r>
          </w:p>
        </w:tc>
        <w:tc>
          <w:tcPr>
            <w:tcW w:type="dxa" w:w="1040"/>
          </w:tcPr>
          <w:p>
            <w:pPr>
              <w:spacing w:after="40" w:before="40" w:line="264" w:lineRule="auto"/>
              <w:jc w:val="left"/>
            </w:pPr>
            <w:r/>
            <w:r>
              <w:rPr>
                <w:rFonts w:ascii="Times New Roman" w:hAnsi="Times New Roman"/>
                <w:b w:val="0"/>
                <w:sz w:val="16"/>
              </w:rPr>
              <w:t>Rabalkem DSR Cap</w:t>
            </w:r>
          </w:p>
        </w:tc>
        <w:tc>
          <w:tcPr>
            <w:tcW w:type="dxa" w:w="1040"/>
          </w:tcPr>
          <w:p>
            <w:pPr>
              <w:spacing w:after="40" w:before="40" w:line="264" w:lineRule="auto"/>
              <w:jc w:val="left"/>
            </w:pPr>
            <w:r/>
            <w:r>
              <w:rPr>
                <w:rFonts w:ascii="Times New Roman" w:hAnsi="Times New Roman"/>
                <w:b w:val="0"/>
                <w:sz w:val="16"/>
              </w:rPr>
              <w:t>Gastric Care</w:t>
            </w:r>
          </w:p>
        </w:tc>
        <w:tc>
          <w:tcPr>
            <w:tcW w:type="dxa" w:w="1040"/>
          </w:tcPr>
          <w:p>
            <w:pPr>
              <w:spacing w:after="40" w:before="40" w:line="264" w:lineRule="auto"/>
              <w:jc w:val="left"/>
            </w:pPr>
            <w:r/>
            <w:r>
              <w:rPr>
                <w:rFonts w:ascii="Times New Roman" w:hAnsi="Times New Roman"/>
                <w:b w:val="0"/>
                <w:sz w:val="16"/>
              </w:rPr>
              <w:t>195.00</w:t>
            </w:r>
          </w:p>
        </w:tc>
        <w:tc>
          <w:tcPr>
            <w:tcW w:type="dxa" w:w="1040"/>
          </w:tcPr>
          <w:p>
            <w:pPr>
              <w:spacing w:after="40" w:before="40" w:line="264" w:lineRule="auto"/>
              <w:jc w:val="left"/>
            </w:pPr>
            <w:r/>
            <w:r>
              <w:rPr>
                <w:rFonts w:ascii="Times New Roman" w:hAnsi="Times New Roman"/>
                <w:b w:val="0"/>
                <w:sz w:val="16"/>
              </w:rPr>
              <w:t>136.00</w:t>
            </w:r>
          </w:p>
        </w:tc>
        <w:tc>
          <w:tcPr>
            <w:tcW w:type="dxa" w:w="1040"/>
          </w:tcPr>
          <w:p>
            <w:pPr>
              <w:spacing w:after="40" w:before="40" w:line="264" w:lineRule="auto"/>
              <w:jc w:val="left"/>
            </w:pPr>
            <w:r/>
            <w:r>
              <w:rPr>
                <w:rFonts w:ascii="Times New Roman" w:hAnsi="Times New Roman"/>
                <w:b w:val="0"/>
                <w:sz w:val="16"/>
              </w:rPr>
              <w:t>233</w:t>
            </w:r>
          </w:p>
        </w:tc>
        <w:tc>
          <w:tcPr>
            <w:tcW w:type="dxa" w:w="1040"/>
          </w:tcPr>
          <w:p>
            <w:pPr>
              <w:spacing w:after="40" w:before="40" w:line="264" w:lineRule="auto"/>
              <w:jc w:val="left"/>
            </w:pPr>
            <w:r/>
            <w:r>
              <w:rPr>
                <w:rFonts w:ascii="Times New Roman" w:hAnsi="Times New Roman"/>
                <w:b w:val="0"/>
                <w:sz w:val="16"/>
              </w:rPr>
              <w:t>45435.00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14</w:t>
            </w:r>
          </w:p>
        </w:tc>
        <w:tc>
          <w:tcPr>
            <w:tcW w:type="dxa" w:w="1040"/>
          </w:tcPr>
          <w:p>
            <w:pPr>
              <w:spacing w:after="40" w:before="40" w:line="264" w:lineRule="auto"/>
              <w:jc w:val="left"/>
            </w:pPr>
            <w:r/>
            <w:r>
              <w:rPr>
                <w:rFonts w:ascii="Times New Roman" w:hAnsi="Times New Roman"/>
                <w:b w:val="0"/>
                <w:sz w:val="16"/>
              </w:rPr>
              <w:t>Moxabert CV 625 Tab</w:t>
            </w:r>
          </w:p>
        </w:tc>
        <w:tc>
          <w:tcPr>
            <w:tcW w:type="dxa" w:w="1040"/>
          </w:tcPr>
          <w:p>
            <w:pPr>
              <w:spacing w:after="40" w:before="40" w:line="264" w:lineRule="auto"/>
              <w:jc w:val="left"/>
            </w:pPr>
            <w:r/>
            <w:r>
              <w:rPr>
                <w:rFonts w:ascii="Times New Roman" w:hAnsi="Times New Roman"/>
                <w:b w:val="0"/>
                <w:sz w:val="16"/>
              </w:rPr>
              <w:t>Antibiotic</w:t>
            </w:r>
          </w:p>
        </w:tc>
        <w:tc>
          <w:tcPr>
            <w:tcW w:type="dxa" w:w="1040"/>
          </w:tcPr>
          <w:p>
            <w:pPr>
              <w:spacing w:after="40" w:before="40" w:line="264" w:lineRule="auto"/>
              <w:jc w:val="left"/>
            </w:pPr>
            <w:r/>
            <w:r>
              <w:rPr>
                <w:rFonts w:ascii="Times New Roman" w:hAnsi="Times New Roman"/>
                <w:b w:val="0"/>
                <w:sz w:val="16"/>
              </w:rPr>
              <w:t>190.00</w:t>
            </w:r>
          </w:p>
        </w:tc>
        <w:tc>
          <w:tcPr>
            <w:tcW w:type="dxa" w:w="1040"/>
          </w:tcPr>
          <w:p>
            <w:pPr>
              <w:spacing w:after="40" w:before="40" w:line="264" w:lineRule="auto"/>
              <w:jc w:val="left"/>
            </w:pPr>
            <w:r/>
            <w:r>
              <w:rPr>
                <w:rFonts w:ascii="Times New Roman" w:hAnsi="Times New Roman"/>
                <w:b w:val="0"/>
                <w:sz w:val="16"/>
              </w:rPr>
              <w:t>135.00</w:t>
            </w:r>
          </w:p>
        </w:tc>
        <w:tc>
          <w:tcPr>
            <w:tcW w:type="dxa" w:w="1040"/>
          </w:tcPr>
          <w:p>
            <w:pPr>
              <w:spacing w:after="40" w:before="40" w:line="264" w:lineRule="auto"/>
              <w:jc w:val="left"/>
            </w:pPr>
            <w:r/>
            <w:r>
              <w:rPr>
                <w:rFonts w:ascii="Times New Roman" w:hAnsi="Times New Roman"/>
                <w:b w:val="0"/>
                <w:sz w:val="16"/>
              </w:rPr>
              <w:t>236</w:t>
            </w:r>
          </w:p>
        </w:tc>
        <w:tc>
          <w:tcPr>
            <w:tcW w:type="dxa" w:w="1040"/>
          </w:tcPr>
          <w:p>
            <w:pPr>
              <w:spacing w:after="40" w:before="40" w:line="264" w:lineRule="auto"/>
              <w:jc w:val="left"/>
            </w:pPr>
            <w:r/>
            <w:r>
              <w:rPr>
                <w:rFonts w:ascii="Times New Roman" w:hAnsi="Times New Roman"/>
                <w:b w:val="0"/>
                <w:sz w:val="16"/>
              </w:rPr>
              <w:t>44840.00</w:t>
            </w:r>
          </w:p>
        </w:tc>
        <w:tc>
          <w:tcPr>
            <w:tcW w:type="dxa" w:w="1040"/>
          </w:tcPr>
          <w:p>
            <w:pPr>
              <w:spacing w:after="40" w:before="40" w:line="264" w:lineRule="auto"/>
              <w:jc w:val="left"/>
            </w:pPr>
            <w:r/>
            <w:r>
              <w:rPr>
                <w:rFonts w:ascii="Times New Roman" w:hAnsi="Times New Roman"/>
                <w:b w:val="0"/>
                <w:sz w:val="16"/>
              </w:rPr>
              <w:t>Cat A</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15</w:t>
            </w:r>
          </w:p>
        </w:tc>
        <w:tc>
          <w:tcPr>
            <w:tcW w:type="dxa" w:w="1040"/>
          </w:tcPr>
          <w:p>
            <w:pPr>
              <w:spacing w:after="40" w:before="40" w:line="264" w:lineRule="auto"/>
              <w:jc w:val="left"/>
            </w:pPr>
            <w:r/>
            <w:r>
              <w:rPr>
                <w:rFonts w:ascii="Times New Roman" w:hAnsi="Times New Roman"/>
                <w:b w:val="0"/>
                <w:sz w:val="16"/>
              </w:rPr>
              <w:t>Chyawanprash 500g</w:t>
            </w:r>
          </w:p>
        </w:tc>
        <w:tc>
          <w:tcPr>
            <w:tcW w:type="dxa" w:w="1040"/>
          </w:tcPr>
          <w:p>
            <w:pPr>
              <w:spacing w:after="40" w:before="40" w:line="264" w:lineRule="auto"/>
              <w:jc w:val="left"/>
            </w:pPr>
            <w:r/>
            <w:r>
              <w:rPr>
                <w:rFonts w:ascii="Times New Roman" w:hAnsi="Times New Roman"/>
                <w:b w:val="0"/>
                <w:sz w:val="16"/>
              </w:rPr>
              <w:t>Ayurvedic</w:t>
            </w:r>
          </w:p>
        </w:tc>
        <w:tc>
          <w:tcPr>
            <w:tcW w:type="dxa" w:w="1040"/>
          </w:tcPr>
          <w:p>
            <w:pPr>
              <w:spacing w:after="40" w:before="40" w:line="264" w:lineRule="auto"/>
              <w:jc w:val="left"/>
            </w:pPr>
            <w:r/>
            <w:r>
              <w:rPr>
                <w:rFonts w:ascii="Times New Roman" w:hAnsi="Times New Roman"/>
                <w:b w:val="0"/>
                <w:sz w:val="16"/>
              </w:rPr>
              <w:t>210.00</w:t>
            </w:r>
          </w:p>
        </w:tc>
        <w:tc>
          <w:tcPr>
            <w:tcW w:type="dxa" w:w="1040"/>
          </w:tcPr>
          <w:p>
            <w:pPr>
              <w:spacing w:after="40" w:before="40" w:line="264" w:lineRule="auto"/>
              <w:jc w:val="left"/>
            </w:pPr>
            <w:r/>
            <w:r>
              <w:rPr>
                <w:rFonts w:ascii="Times New Roman" w:hAnsi="Times New Roman"/>
                <w:b w:val="0"/>
                <w:sz w:val="16"/>
              </w:rPr>
              <w:t>150.00</w:t>
            </w:r>
          </w:p>
        </w:tc>
        <w:tc>
          <w:tcPr>
            <w:tcW w:type="dxa" w:w="1040"/>
          </w:tcPr>
          <w:p>
            <w:pPr>
              <w:spacing w:after="40" w:before="40" w:line="264" w:lineRule="auto"/>
              <w:jc w:val="left"/>
            </w:pPr>
            <w:r/>
            <w:r>
              <w:rPr>
                <w:rFonts w:ascii="Times New Roman" w:hAnsi="Times New Roman"/>
                <w:b w:val="0"/>
                <w:sz w:val="16"/>
              </w:rPr>
              <w:t>212</w:t>
            </w:r>
          </w:p>
        </w:tc>
        <w:tc>
          <w:tcPr>
            <w:tcW w:type="dxa" w:w="1040"/>
          </w:tcPr>
          <w:p>
            <w:pPr>
              <w:spacing w:after="40" w:before="40" w:line="264" w:lineRule="auto"/>
              <w:jc w:val="left"/>
            </w:pPr>
            <w:r/>
            <w:r>
              <w:rPr>
                <w:rFonts w:ascii="Times New Roman" w:hAnsi="Times New Roman"/>
                <w:b w:val="0"/>
                <w:sz w:val="16"/>
              </w:rPr>
              <w:t>44520.00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16</w:t>
            </w:r>
          </w:p>
        </w:tc>
        <w:tc>
          <w:tcPr>
            <w:tcW w:type="dxa" w:w="1040"/>
          </w:tcPr>
          <w:p>
            <w:pPr>
              <w:spacing w:after="40" w:before="40" w:line="264" w:lineRule="auto"/>
              <w:jc w:val="left"/>
            </w:pPr>
            <w:r/>
            <w:r>
              <w:rPr>
                <w:rFonts w:ascii="Times New Roman" w:hAnsi="Times New Roman"/>
                <w:b w:val="0"/>
                <w:sz w:val="16"/>
              </w:rPr>
              <w:t>Skinshine Ointment 30g</w:t>
            </w:r>
          </w:p>
        </w:tc>
        <w:tc>
          <w:tcPr>
            <w:tcW w:type="dxa" w:w="1040"/>
          </w:tcPr>
          <w:p>
            <w:pPr>
              <w:spacing w:after="40" w:before="40" w:line="264" w:lineRule="auto"/>
              <w:jc w:val="left"/>
            </w:pPr>
            <w:r/>
            <w:r>
              <w:rPr>
                <w:rFonts w:ascii="Times New Roman" w:hAnsi="Times New Roman"/>
                <w:b w:val="0"/>
                <w:sz w:val="16"/>
              </w:rPr>
              <w:t>Dermatology</w:t>
            </w:r>
          </w:p>
        </w:tc>
        <w:tc>
          <w:tcPr>
            <w:tcW w:type="dxa" w:w="1040"/>
          </w:tcPr>
          <w:p>
            <w:pPr>
              <w:spacing w:after="40" w:before="40" w:line="264" w:lineRule="auto"/>
              <w:jc w:val="left"/>
            </w:pPr>
            <w:r/>
            <w:r>
              <w:rPr>
                <w:rFonts w:ascii="Times New Roman" w:hAnsi="Times New Roman"/>
                <w:b w:val="0"/>
                <w:sz w:val="16"/>
              </w:rPr>
              <w:t>165.00</w:t>
            </w:r>
          </w:p>
        </w:tc>
        <w:tc>
          <w:tcPr>
            <w:tcW w:type="dxa" w:w="1040"/>
          </w:tcPr>
          <w:p>
            <w:pPr>
              <w:spacing w:after="40" w:before="40" w:line="264" w:lineRule="auto"/>
              <w:jc w:val="left"/>
            </w:pPr>
            <w:r/>
            <w:r>
              <w:rPr>
                <w:rFonts w:ascii="Times New Roman" w:hAnsi="Times New Roman"/>
                <w:b w:val="0"/>
                <w:sz w:val="16"/>
              </w:rPr>
              <w:t>116.00</w:t>
            </w:r>
          </w:p>
        </w:tc>
        <w:tc>
          <w:tcPr>
            <w:tcW w:type="dxa" w:w="1040"/>
          </w:tcPr>
          <w:p>
            <w:pPr>
              <w:spacing w:after="40" w:before="40" w:line="264" w:lineRule="auto"/>
              <w:jc w:val="left"/>
            </w:pPr>
            <w:r/>
            <w:r>
              <w:rPr>
                <w:rFonts w:ascii="Times New Roman" w:hAnsi="Times New Roman"/>
                <w:b w:val="0"/>
                <w:sz w:val="16"/>
              </w:rPr>
              <w:t>229</w:t>
            </w:r>
          </w:p>
        </w:tc>
        <w:tc>
          <w:tcPr>
            <w:tcW w:type="dxa" w:w="1040"/>
          </w:tcPr>
          <w:p>
            <w:pPr>
              <w:spacing w:after="40" w:before="40" w:line="264" w:lineRule="auto"/>
              <w:jc w:val="left"/>
            </w:pPr>
            <w:r/>
            <w:r>
              <w:rPr>
                <w:rFonts w:ascii="Times New Roman" w:hAnsi="Times New Roman"/>
                <w:b w:val="0"/>
                <w:sz w:val="16"/>
              </w:rPr>
              <w:t>37785.00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17</w:t>
            </w:r>
          </w:p>
        </w:tc>
        <w:tc>
          <w:tcPr>
            <w:tcW w:type="dxa" w:w="1040"/>
          </w:tcPr>
          <w:p>
            <w:pPr>
              <w:spacing w:after="40" w:before="40" w:line="264" w:lineRule="auto"/>
              <w:jc w:val="left"/>
            </w:pPr>
            <w:r/>
            <w:r>
              <w:rPr>
                <w:rFonts w:ascii="Times New Roman" w:hAnsi="Times New Roman"/>
                <w:b w:val="0"/>
                <w:sz w:val="16"/>
              </w:rPr>
              <w:t>Lycozen Cap</w:t>
            </w:r>
          </w:p>
        </w:tc>
        <w:tc>
          <w:tcPr>
            <w:tcW w:type="dxa" w:w="1040"/>
          </w:tcPr>
          <w:p>
            <w:pPr>
              <w:spacing w:after="40" w:before="40" w:line="264" w:lineRule="auto"/>
              <w:jc w:val="left"/>
            </w:pPr>
            <w:r/>
            <w:r>
              <w:rPr>
                <w:rFonts w:ascii="Times New Roman" w:hAnsi="Times New Roman"/>
                <w:b w:val="0"/>
                <w:sz w:val="16"/>
              </w:rPr>
              <w:t>Multivitamin</w:t>
            </w:r>
          </w:p>
        </w:tc>
        <w:tc>
          <w:tcPr>
            <w:tcW w:type="dxa" w:w="1040"/>
          </w:tcPr>
          <w:p>
            <w:pPr>
              <w:spacing w:after="40" w:before="40" w:line="264" w:lineRule="auto"/>
              <w:jc w:val="left"/>
            </w:pPr>
            <w:r/>
            <w:r>
              <w:rPr>
                <w:rFonts w:ascii="Times New Roman" w:hAnsi="Times New Roman"/>
                <w:b w:val="0"/>
                <w:sz w:val="16"/>
              </w:rPr>
              <w:t>150.00</w:t>
            </w:r>
          </w:p>
        </w:tc>
        <w:tc>
          <w:tcPr>
            <w:tcW w:type="dxa" w:w="1040"/>
          </w:tcPr>
          <w:p>
            <w:pPr>
              <w:spacing w:after="40" w:before="40" w:line="264" w:lineRule="auto"/>
              <w:jc w:val="left"/>
            </w:pPr>
            <w:r/>
            <w:r>
              <w:rPr>
                <w:rFonts w:ascii="Times New Roman" w:hAnsi="Times New Roman"/>
                <w:b w:val="0"/>
                <w:sz w:val="16"/>
              </w:rPr>
              <w:t>103.00</w:t>
            </w:r>
          </w:p>
        </w:tc>
        <w:tc>
          <w:tcPr>
            <w:tcW w:type="dxa" w:w="1040"/>
          </w:tcPr>
          <w:p>
            <w:pPr>
              <w:spacing w:after="40" w:before="40" w:line="264" w:lineRule="auto"/>
              <w:jc w:val="left"/>
            </w:pPr>
            <w:r/>
            <w:r>
              <w:rPr>
                <w:rFonts w:ascii="Times New Roman" w:hAnsi="Times New Roman"/>
                <w:b w:val="0"/>
                <w:sz w:val="16"/>
              </w:rPr>
              <w:t>251</w:t>
            </w:r>
          </w:p>
        </w:tc>
        <w:tc>
          <w:tcPr>
            <w:tcW w:type="dxa" w:w="1040"/>
          </w:tcPr>
          <w:p>
            <w:pPr>
              <w:spacing w:after="40" w:before="40" w:line="264" w:lineRule="auto"/>
              <w:jc w:val="left"/>
            </w:pPr>
            <w:r/>
            <w:r>
              <w:rPr>
                <w:rFonts w:ascii="Times New Roman" w:hAnsi="Times New Roman"/>
                <w:b w:val="0"/>
                <w:sz w:val="16"/>
              </w:rPr>
              <w:t>37625.00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18</w:t>
            </w:r>
          </w:p>
        </w:tc>
        <w:tc>
          <w:tcPr>
            <w:tcW w:type="dxa" w:w="1040"/>
          </w:tcPr>
          <w:p>
            <w:pPr>
              <w:spacing w:after="40" w:before="40" w:line="264" w:lineRule="auto"/>
              <w:jc w:val="left"/>
            </w:pPr>
            <w:r/>
            <w:r>
              <w:rPr>
                <w:rFonts w:ascii="Times New Roman" w:hAnsi="Times New Roman"/>
                <w:b w:val="0"/>
                <w:sz w:val="16"/>
              </w:rPr>
              <w:t>Sicflox CX Tab</w:t>
            </w:r>
          </w:p>
        </w:tc>
        <w:tc>
          <w:tcPr>
            <w:tcW w:type="dxa" w:w="1040"/>
          </w:tcPr>
          <w:p>
            <w:pPr>
              <w:spacing w:after="40" w:before="40" w:line="264" w:lineRule="auto"/>
              <w:jc w:val="left"/>
            </w:pPr>
            <w:r/>
            <w:r>
              <w:rPr>
                <w:rFonts w:ascii="Times New Roman" w:hAnsi="Times New Roman"/>
                <w:b w:val="0"/>
                <w:sz w:val="16"/>
              </w:rPr>
              <w:t>Antibiotic</w:t>
            </w:r>
          </w:p>
        </w:tc>
        <w:tc>
          <w:tcPr>
            <w:tcW w:type="dxa" w:w="1040"/>
          </w:tcPr>
          <w:p>
            <w:pPr>
              <w:spacing w:after="40" w:before="40" w:line="264" w:lineRule="auto"/>
              <w:jc w:val="left"/>
            </w:pPr>
            <w:r/>
            <w:r>
              <w:rPr>
                <w:rFonts w:ascii="Times New Roman" w:hAnsi="Times New Roman"/>
                <w:b w:val="0"/>
                <w:sz w:val="16"/>
              </w:rPr>
              <w:t>140.00</w:t>
            </w:r>
          </w:p>
        </w:tc>
        <w:tc>
          <w:tcPr>
            <w:tcW w:type="dxa" w:w="1040"/>
          </w:tcPr>
          <w:p>
            <w:pPr>
              <w:spacing w:after="40" w:before="40" w:line="264" w:lineRule="auto"/>
              <w:jc w:val="left"/>
            </w:pPr>
            <w:r/>
            <w:r>
              <w:rPr>
                <w:rFonts w:ascii="Times New Roman" w:hAnsi="Times New Roman"/>
                <w:b w:val="0"/>
                <w:sz w:val="16"/>
              </w:rPr>
              <w:t>95.00</w:t>
            </w:r>
          </w:p>
        </w:tc>
        <w:tc>
          <w:tcPr>
            <w:tcW w:type="dxa" w:w="1040"/>
          </w:tcPr>
          <w:p>
            <w:pPr>
              <w:spacing w:after="40" w:before="40" w:line="264" w:lineRule="auto"/>
              <w:jc w:val="left"/>
            </w:pPr>
            <w:r/>
            <w:r>
              <w:rPr>
                <w:rFonts w:ascii="Times New Roman" w:hAnsi="Times New Roman"/>
                <w:b w:val="0"/>
                <w:sz w:val="16"/>
              </w:rPr>
              <w:t>250</w:t>
            </w:r>
          </w:p>
        </w:tc>
        <w:tc>
          <w:tcPr>
            <w:tcW w:type="dxa" w:w="1040"/>
          </w:tcPr>
          <w:p>
            <w:pPr>
              <w:spacing w:after="40" w:before="40" w:line="264" w:lineRule="auto"/>
              <w:jc w:val="left"/>
            </w:pPr>
            <w:r/>
            <w:r>
              <w:rPr>
                <w:rFonts w:ascii="Times New Roman" w:hAnsi="Times New Roman"/>
                <w:b w:val="0"/>
                <w:sz w:val="16"/>
              </w:rPr>
              <w:t>35000.00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19</w:t>
            </w:r>
          </w:p>
        </w:tc>
        <w:tc>
          <w:tcPr>
            <w:tcW w:type="dxa" w:w="1040"/>
          </w:tcPr>
          <w:p>
            <w:pPr>
              <w:spacing w:after="40" w:before="40" w:line="264" w:lineRule="auto"/>
              <w:jc w:val="left"/>
            </w:pPr>
            <w:r/>
            <w:r>
              <w:rPr>
                <w:rFonts w:ascii="Times New Roman" w:hAnsi="Times New Roman"/>
                <w:b w:val="0"/>
                <w:sz w:val="16"/>
              </w:rPr>
              <w:t>Pantobert D Tab</w:t>
            </w:r>
          </w:p>
        </w:tc>
        <w:tc>
          <w:tcPr>
            <w:tcW w:type="dxa" w:w="1040"/>
          </w:tcPr>
          <w:p>
            <w:pPr>
              <w:spacing w:after="40" w:before="40" w:line="264" w:lineRule="auto"/>
              <w:jc w:val="left"/>
            </w:pPr>
            <w:r/>
            <w:r>
              <w:rPr>
                <w:rFonts w:ascii="Times New Roman" w:hAnsi="Times New Roman"/>
                <w:b w:val="0"/>
                <w:sz w:val="16"/>
              </w:rPr>
              <w:t>Gastric Care</w:t>
            </w:r>
          </w:p>
        </w:tc>
        <w:tc>
          <w:tcPr>
            <w:tcW w:type="dxa" w:w="1040"/>
          </w:tcPr>
          <w:p>
            <w:pPr>
              <w:spacing w:after="40" w:before="40" w:line="264" w:lineRule="auto"/>
              <w:jc w:val="left"/>
            </w:pPr>
            <w:r/>
            <w:r>
              <w:rPr>
                <w:rFonts w:ascii="Times New Roman" w:hAnsi="Times New Roman"/>
                <w:b w:val="0"/>
                <w:sz w:val="16"/>
              </w:rPr>
              <w:t>130.00</w:t>
            </w:r>
          </w:p>
        </w:tc>
        <w:tc>
          <w:tcPr>
            <w:tcW w:type="dxa" w:w="1040"/>
          </w:tcPr>
          <w:p>
            <w:pPr>
              <w:spacing w:after="40" w:before="40" w:line="264" w:lineRule="auto"/>
              <w:jc w:val="left"/>
            </w:pPr>
            <w:r/>
            <w:r>
              <w:rPr>
                <w:rFonts w:ascii="Times New Roman" w:hAnsi="Times New Roman"/>
                <w:b w:val="0"/>
                <w:sz w:val="16"/>
              </w:rPr>
              <w:t>88.00</w:t>
            </w:r>
          </w:p>
        </w:tc>
        <w:tc>
          <w:tcPr>
            <w:tcW w:type="dxa" w:w="1040"/>
          </w:tcPr>
          <w:p>
            <w:pPr>
              <w:spacing w:after="40" w:before="40" w:line="264" w:lineRule="auto"/>
              <w:jc w:val="left"/>
            </w:pPr>
            <w:r/>
            <w:r>
              <w:rPr>
                <w:rFonts w:ascii="Times New Roman" w:hAnsi="Times New Roman"/>
                <w:b w:val="0"/>
                <w:sz w:val="16"/>
              </w:rPr>
              <w:t>259</w:t>
            </w:r>
          </w:p>
        </w:tc>
        <w:tc>
          <w:tcPr>
            <w:tcW w:type="dxa" w:w="1040"/>
          </w:tcPr>
          <w:p>
            <w:pPr>
              <w:spacing w:after="40" w:before="40" w:line="264" w:lineRule="auto"/>
              <w:jc w:val="left"/>
            </w:pPr>
            <w:r/>
            <w:r>
              <w:rPr>
                <w:rFonts w:ascii="Times New Roman" w:hAnsi="Times New Roman"/>
                <w:b w:val="0"/>
                <w:sz w:val="16"/>
              </w:rPr>
              <w:t>33670.00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Fast</w:t>
            </w:r>
          </w:p>
        </w:tc>
      </w:tr>
      <w:tr>
        <w:tc>
          <w:tcPr>
            <w:tcW w:type="dxa" w:w="1040"/>
          </w:tcPr>
          <w:p>
            <w:pPr>
              <w:spacing w:after="40" w:before="40" w:line="264" w:lineRule="auto"/>
              <w:jc w:val="left"/>
            </w:pPr>
            <w:r/>
            <w:r>
              <w:rPr>
                <w:rFonts w:ascii="Times New Roman" w:hAnsi="Times New Roman"/>
                <w:b w:val="0"/>
                <w:sz w:val="16"/>
              </w:rPr>
              <w:t>20</w:t>
            </w:r>
          </w:p>
        </w:tc>
        <w:tc>
          <w:tcPr>
            <w:tcW w:type="dxa" w:w="1040"/>
          </w:tcPr>
          <w:p>
            <w:pPr>
              <w:spacing w:after="40" w:before="40" w:line="264" w:lineRule="auto"/>
              <w:jc w:val="left"/>
            </w:pPr>
            <w:r/>
            <w:r>
              <w:rPr>
                <w:rFonts w:ascii="Times New Roman" w:hAnsi="Times New Roman"/>
                <w:b w:val="0"/>
                <w:sz w:val="16"/>
              </w:rPr>
              <w:t>Dolo Pain Spray 50g</w:t>
            </w:r>
          </w:p>
        </w:tc>
        <w:tc>
          <w:tcPr>
            <w:tcW w:type="dxa" w:w="1040"/>
          </w:tcPr>
          <w:p>
            <w:pPr>
              <w:spacing w:after="40" w:before="40" w:line="264" w:lineRule="auto"/>
              <w:jc w:val="left"/>
            </w:pPr>
            <w:r/>
            <w:r>
              <w:rPr>
                <w:rFonts w:ascii="Times New Roman" w:hAnsi="Times New Roman"/>
                <w:b w:val="0"/>
                <w:sz w:val="16"/>
              </w:rPr>
              <w:t>Pain Relief</w:t>
            </w:r>
          </w:p>
        </w:tc>
        <w:tc>
          <w:tcPr>
            <w:tcW w:type="dxa" w:w="1040"/>
          </w:tcPr>
          <w:p>
            <w:pPr>
              <w:spacing w:after="40" w:before="40" w:line="264" w:lineRule="auto"/>
              <w:jc w:val="left"/>
            </w:pPr>
            <w:r/>
            <w:r>
              <w:rPr>
                <w:rFonts w:ascii="Times New Roman" w:hAnsi="Times New Roman"/>
                <w:b w:val="0"/>
                <w:sz w:val="16"/>
              </w:rPr>
              <w:t>195.00</w:t>
            </w:r>
          </w:p>
        </w:tc>
        <w:tc>
          <w:tcPr>
            <w:tcW w:type="dxa" w:w="1040"/>
          </w:tcPr>
          <w:p>
            <w:pPr>
              <w:spacing w:after="40" w:before="40" w:line="264" w:lineRule="auto"/>
              <w:jc w:val="left"/>
            </w:pPr>
            <w:r/>
            <w:r>
              <w:rPr>
                <w:rFonts w:ascii="Times New Roman" w:hAnsi="Times New Roman"/>
                <w:b w:val="0"/>
                <w:sz w:val="16"/>
              </w:rPr>
              <w:t>140.00</w:t>
            </w:r>
          </w:p>
        </w:tc>
        <w:tc>
          <w:tcPr>
            <w:tcW w:type="dxa" w:w="1040"/>
          </w:tcPr>
          <w:p>
            <w:pPr>
              <w:spacing w:after="40" w:before="40" w:line="264" w:lineRule="auto"/>
              <w:jc w:val="left"/>
            </w:pPr>
            <w:r/>
            <w:r>
              <w:rPr>
                <w:rFonts w:ascii="Times New Roman" w:hAnsi="Times New Roman"/>
                <w:b w:val="0"/>
                <w:sz w:val="16"/>
              </w:rPr>
              <w:t>168</w:t>
            </w:r>
          </w:p>
        </w:tc>
        <w:tc>
          <w:tcPr>
            <w:tcW w:type="dxa" w:w="1040"/>
          </w:tcPr>
          <w:p>
            <w:pPr>
              <w:spacing w:after="40" w:before="40" w:line="264" w:lineRule="auto"/>
              <w:jc w:val="left"/>
            </w:pPr>
            <w:r/>
            <w:r>
              <w:rPr>
                <w:rFonts w:ascii="Times New Roman" w:hAnsi="Times New Roman"/>
                <w:b w:val="0"/>
                <w:sz w:val="16"/>
              </w:rPr>
              <w:t>32760.00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21</w:t>
            </w:r>
          </w:p>
        </w:tc>
        <w:tc>
          <w:tcPr>
            <w:tcW w:type="dxa" w:w="1040"/>
          </w:tcPr>
          <w:p>
            <w:pPr>
              <w:spacing w:after="40" w:before="40" w:line="264" w:lineRule="auto"/>
              <w:jc w:val="left"/>
            </w:pPr>
            <w:r/>
            <w:r>
              <w:rPr>
                <w:rFonts w:ascii="Times New Roman" w:hAnsi="Times New Roman"/>
                <w:b w:val="0"/>
                <w:sz w:val="16"/>
              </w:rPr>
              <w:t>Intapeptin Syrup 60ml</w:t>
            </w:r>
          </w:p>
        </w:tc>
        <w:tc>
          <w:tcPr>
            <w:tcW w:type="dxa" w:w="1040"/>
          </w:tcPr>
          <w:p>
            <w:pPr>
              <w:spacing w:after="40" w:before="40" w:line="264" w:lineRule="auto"/>
              <w:jc w:val="left"/>
            </w:pPr>
            <w:r/>
            <w:r>
              <w:rPr>
                <w:rFonts w:ascii="Times New Roman" w:hAnsi="Times New Roman"/>
                <w:b w:val="0"/>
                <w:sz w:val="16"/>
              </w:rPr>
              <w:t>Pediatric Care</w:t>
            </w:r>
          </w:p>
        </w:tc>
        <w:tc>
          <w:tcPr>
            <w:tcW w:type="dxa" w:w="1040"/>
          </w:tcPr>
          <w:p>
            <w:pPr>
              <w:spacing w:after="40" w:before="40" w:line="264" w:lineRule="auto"/>
              <w:jc w:val="left"/>
            </w:pPr>
            <w:r/>
            <w:r>
              <w:rPr>
                <w:rFonts w:ascii="Times New Roman" w:hAnsi="Times New Roman"/>
                <w:b w:val="0"/>
                <w:sz w:val="16"/>
              </w:rPr>
              <w:t>150.00</w:t>
            </w:r>
          </w:p>
        </w:tc>
        <w:tc>
          <w:tcPr>
            <w:tcW w:type="dxa" w:w="1040"/>
          </w:tcPr>
          <w:p>
            <w:pPr>
              <w:spacing w:after="40" w:before="40" w:line="264" w:lineRule="auto"/>
              <w:jc w:val="left"/>
            </w:pPr>
            <w:r/>
            <w:r>
              <w:rPr>
                <w:rFonts w:ascii="Times New Roman" w:hAnsi="Times New Roman"/>
                <w:b w:val="0"/>
                <w:sz w:val="16"/>
              </w:rPr>
              <w:t>104.00</w:t>
            </w:r>
          </w:p>
        </w:tc>
        <w:tc>
          <w:tcPr>
            <w:tcW w:type="dxa" w:w="1040"/>
          </w:tcPr>
          <w:p>
            <w:pPr>
              <w:spacing w:after="40" w:before="40" w:line="264" w:lineRule="auto"/>
              <w:jc w:val="left"/>
            </w:pPr>
            <w:r/>
            <w:r>
              <w:rPr>
                <w:rFonts w:ascii="Times New Roman" w:hAnsi="Times New Roman"/>
                <w:b w:val="0"/>
                <w:sz w:val="16"/>
              </w:rPr>
              <w:t>171</w:t>
            </w:r>
          </w:p>
        </w:tc>
        <w:tc>
          <w:tcPr>
            <w:tcW w:type="dxa" w:w="1040"/>
          </w:tcPr>
          <w:p>
            <w:pPr>
              <w:spacing w:after="40" w:before="40" w:line="264" w:lineRule="auto"/>
              <w:jc w:val="left"/>
            </w:pPr>
            <w:r/>
            <w:r>
              <w:rPr>
                <w:rFonts w:ascii="Times New Roman" w:hAnsi="Times New Roman"/>
                <w:b w:val="0"/>
                <w:sz w:val="16"/>
              </w:rPr>
              <w:t>25630.00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22</w:t>
            </w:r>
          </w:p>
        </w:tc>
        <w:tc>
          <w:tcPr>
            <w:tcW w:type="dxa" w:w="1040"/>
          </w:tcPr>
          <w:p>
            <w:pPr>
              <w:spacing w:after="40" w:before="40" w:line="264" w:lineRule="auto"/>
              <w:jc w:val="left"/>
            </w:pPr>
            <w:r/>
            <w:r>
              <w:rPr>
                <w:rFonts w:ascii="Times New Roman" w:hAnsi="Times New Roman"/>
                <w:b w:val="0"/>
                <w:sz w:val="16"/>
              </w:rPr>
              <w:t>Patobert 40 Tab</w:t>
            </w:r>
          </w:p>
        </w:tc>
        <w:tc>
          <w:tcPr>
            <w:tcW w:type="dxa" w:w="1040"/>
          </w:tcPr>
          <w:p>
            <w:pPr>
              <w:spacing w:after="40" w:before="40" w:line="264" w:lineRule="auto"/>
              <w:jc w:val="left"/>
            </w:pPr>
            <w:r/>
            <w:r>
              <w:rPr>
                <w:rFonts w:ascii="Times New Roman" w:hAnsi="Times New Roman"/>
                <w:b w:val="0"/>
                <w:sz w:val="16"/>
              </w:rPr>
              <w:t>Gastric Care</w:t>
            </w:r>
          </w:p>
        </w:tc>
        <w:tc>
          <w:tcPr>
            <w:tcW w:type="dxa" w:w="1040"/>
          </w:tcPr>
          <w:p>
            <w:pPr>
              <w:spacing w:after="40" w:before="40" w:line="264" w:lineRule="auto"/>
              <w:jc w:val="left"/>
            </w:pPr>
            <w:r/>
            <w:r>
              <w:rPr>
                <w:rFonts w:ascii="Times New Roman" w:hAnsi="Times New Roman"/>
                <w:b w:val="0"/>
                <w:sz w:val="16"/>
              </w:rPr>
              <w:t>110.00</w:t>
            </w:r>
          </w:p>
        </w:tc>
        <w:tc>
          <w:tcPr>
            <w:tcW w:type="dxa" w:w="1040"/>
          </w:tcPr>
          <w:p>
            <w:pPr>
              <w:spacing w:after="40" w:before="40" w:line="264" w:lineRule="auto"/>
              <w:jc w:val="left"/>
            </w:pPr>
            <w:r/>
            <w:r>
              <w:rPr>
                <w:rFonts w:ascii="Times New Roman" w:hAnsi="Times New Roman"/>
                <w:b w:val="0"/>
                <w:sz w:val="16"/>
              </w:rPr>
              <w:t>75.00</w:t>
            </w:r>
          </w:p>
        </w:tc>
        <w:tc>
          <w:tcPr>
            <w:tcW w:type="dxa" w:w="1040"/>
          </w:tcPr>
          <w:p>
            <w:pPr>
              <w:spacing w:after="40" w:before="40" w:line="264" w:lineRule="auto"/>
              <w:jc w:val="left"/>
            </w:pPr>
            <w:r/>
            <w:r>
              <w:rPr>
                <w:rFonts w:ascii="Times New Roman" w:hAnsi="Times New Roman"/>
                <w:b w:val="0"/>
                <w:sz w:val="16"/>
              </w:rPr>
              <w:t>233</w:t>
            </w:r>
          </w:p>
        </w:tc>
        <w:tc>
          <w:tcPr>
            <w:tcW w:type="dxa" w:w="1040"/>
          </w:tcPr>
          <w:p>
            <w:pPr>
              <w:spacing w:after="40" w:before="40" w:line="264" w:lineRule="auto"/>
              <w:jc w:val="left"/>
            </w:pPr>
            <w:r/>
            <w:r>
              <w:rPr>
                <w:rFonts w:ascii="Times New Roman" w:hAnsi="Times New Roman"/>
                <w:b w:val="0"/>
                <w:sz w:val="16"/>
              </w:rPr>
              <w:t>25509.00</w:t>
            </w:r>
          </w:p>
        </w:tc>
        <w:tc>
          <w:tcPr>
            <w:tcW w:type="dxa" w:w="1040"/>
          </w:tcPr>
          <w:p>
            <w:pPr>
              <w:spacing w:after="40" w:before="40" w:line="264" w:lineRule="auto"/>
              <w:jc w:val="left"/>
            </w:pPr>
            <w:r/>
            <w:r>
              <w:rPr>
                <w:rFonts w:ascii="Times New Roman" w:hAnsi="Times New Roman"/>
                <w:b w:val="0"/>
                <w:sz w:val="16"/>
              </w:rPr>
              <w:t>Cat B</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23</w:t>
            </w:r>
          </w:p>
        </w:tc>
        <w:tc>
          <w:tcPr>
            <w:tcW w:type="dxa" w:w="1040"/>
          </w:tcPr>
          <w:p>
            <w:pPr>
              <w:spacing w:after="40" w:before="40" w:line="264" w:lineRule="auto"/>
              <w:jc w:val="left"/>
            </w:pPr>
            <w:r/>
            <w:r>
              <w:rPr>
                <w:rFonts w:ascii="Times New Roman" w:hAnsi="Times New Roman"/>
                <w:b w:val="0"/>
                <w:sz w:val="16"/>
              </w:rPr>
              <w:t>Alamin Plus Cap</w:t>
            </w:r>
          </w:p>
        </w:tc>
        <w:tc>
          <w:tcPr>
            <w:tcW w:type="dxa" w:w="1040"/>
          </w:tcPr>
          <w:p>
            <w:pPr>
              <w:spacing w:after="40" w:before="40" w:line="264" w:lineRule="auto"/>
              <w:jc w:val="left"/>
            </w:pPr>
            <w:r/>
            <w:r>
              <w:rPr>
                <w:rFonts w:ascii="Times New Roman" w:hAnsi="Times New Roman"/>
                <w:b w:val="0"/>
                <w:sz w:val="16"/>
              </w:rPr>
              <w:t>Supplement</w:t>
            </w:r>
          </w:p>
        </w:tc>
        <w:tc>
          <w:tcPr>
            <w:tcW w:type="dxa" w:w="1040"/>
          </w:tcPr>
          <w:p>
            <w:pPr>
              <w:spacing w:after="40" w:before="40" w:line="264" w:lineRule="auto"/>
              <w:jc w:val="left"/>
            </w:pPr>
            <w:r/>
            <w:r>
              <w:rPr>
                <w:rFonts w:ascii="Times New Roman" w:hAnsi="Times New Roman"/>
                <w:b w:val="0"/>
                <w:sz w:val="16"/>
              </w:rPr>
              <w:t>130.00</w:t>
            </w:r>
          </w:p>
        </w:tc>
        <w:tc>
          <w:tcPr>
            <w:tcW w:type="dxa" w:w="1040"/>
          </w:tcPr>
          <w:p>
            <w:pPr>
              <w:spacing w:after="40" w:before="40" w:line="264" w:lineRule="auto"/>
              <w:jc w:val="left"/>
            </w:pPr>
            <w:r/>
            <w:r>
              <w:rPr>
                <w:rFonts w:ascii="Times New Roman" w:hAnsi="Times New Roman"/>
                <w:b w:val="0"/>
                <w:sz w:val="16"/>
              </w:rPr>
              <w:t>89.00</w:t>
            </w:r>
          </w:p>
        </w:tc>
        <w:tc>
          <w:tcPr>
            <w:tcW w:type="dxa" w:w="1040"/>
          </w:tcPr>
          <w:p>
            <w:pPr>
              <w:spacing w:after="40" w:before="40" w:line="264" w:lineRule="auto"/>
              <w:jc w:val="left"/>
            </w:pPr>
            <w:r/>
            <w:r>
              <w:rPr>
                <w:rFonts w:ascii="Times New Roman" w:hAnsi="Times New Roman"/>
                <w:b w:val="0"/>
                <w:sz w:val="16"/>
              </w:rPr>
              <w:t>170</w:t>
            </w:r>
          </w:p>
        </w:tc>
        <w:tc>
          <w:tcPr>
            <w:tcW w:type="dxa" w:w="1040"/>
          </w:tcPr>
          <w:p>
            <w:pPr>
              <w:spacing w:after="40" w:before="40" w:line="264" w:lineRule="auto"/>
              <w:jc w:val="left"/>
            </w:pPr>
            <w:r/>
            <w:r>
              <w:rPr>
                <w:rFonts w:ascii="Times New Roman" w:hAnsi="Times New Roman"/>
                <w:b w:val="0"/>
                <w:sz w:val="16"/>
              </w:rPr>
              <w:t>22100.00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24</w:t>
            </w:r>
          </w:p>
        </w:tc>
        <w:tc>
          <w:tcPr>
            <w:tcW w:type="dxa" w:w="1040"/>
          </w:tcPr>
          <w:p>
            <w:pPr>
              <w:spacing w:after="40" w:before="40" w:line="264" w:lineRule="auto"/>
              <w:jc w:val="left"/>
            </w:pPr>
            <w:r/>
            <w:r>
              <w:rPr>
                <w:rFonts w:ascii="Times New Roman" w:hAnsi="Times New Roman"/>
                <w:b w:val="0"/>
                <w:sz w:val="16"/>
              </w:rPr>
              <w:t>Moxeb Eye Drop</w:t>
            </w:r>
          </w:p>
        </w:tc>
        <w:tc>
          <w:tcPr>
            <w:tcW w:type="dxa" w:w="1040"/>
          </w:tcPr>
          <w:p>
            <w:pPr>
              <w:spacing w:after="40" w:before="40" w:line="264" w:lineRule="auto"/>
              <w:jc w:val="left"/>
            </w:pPr>
            <w:r/>
            <w:r>
              <w:rPr>
                <w:rFonts w:ascii="Times New Roman" w:hAnsi="Times New Roman"/>
                <w:b w:val="0"/>
                <w:sz w:val="16"/>
              </w:rPr>
              <w:t>Eye Care</w:t>
            </w:r>
          </w:p>
        </w:tc>
        <w:tc>
          <w:tcPr>
            <w:tcW w:type="dxa" w:w="1040"/>
          </w:tcPr>
          <w:p>
            <w:pPr>
              <w:spacing w:after="40" w:before="40" w:line="264" w:lineRule="auto"/>
              <w:jc w:val="left"/>
            </w:pPr>
            <w:r/>
            <w:r>
              <w:rPr>
                <w:rFonts w:ascii="Times New Roman" w:hAnsi="Times New Roman"/>
                <w:b w:val="0"/>
                <w:sz w:val="16"/>
              </w:rPr>
              <w:t>105.00</w:t>
            </w:r>
          </w:p>
        </w:tc>
        <w:tc>
          <w:tcPr>
            <w:tcW w:type="dxa" w:w="1040"/>
          </w:tcPr>
          <w:p>
            <w:pPr>
              <w:spacing w:after="40" w:before="40" w:line="264" w:lineRule="auto"/>
              <w:jc w:val="left"/>
            </w:pPr>
            <w:r/>
            <w:r>
              <w:rPr>
                <w:rFonts w:ascii="Times New Roman" w:hAnsi="Times New Roman"/>
                <w:b w:val="0"/>
                <w:sz w:val="16"/>
              </w:rPr>
              <w:t>72.00</w:t>
            </w:r>
          </w:p>
        </w:tc>
        <w:tc>
          <w:tcPr>
            <w:tcW w:type="dxa" w:w="1040"/>
          </w:tcPr>
          <w:p>
            <w:pPr>
              <w:spacing w:after="40" w:before="40" w:line="264" w:lineRule="auto"/>
              <w:jc w:val="left"/>
            </w:pPr>
            <w:r/>
            <w:r>
              <w:rPr>
                <w:rFonts w:ascii="Times New Roman" w:hAnsi="Times New Roman"/>
                <w:b w:val="0"/>
                <w:sz w:val="16"/>
              </w:rPr>
              <w:t>175</w:t>
            </w:r>
          </w:p>
        </w:tc>
        <w:tc>
          <w:tcPr>
            <w:tcW w:type="dxa" w:w="1040"/>
          </w:tcPr>
          <w:p>
            <w:pPr>
              <w:spacing w:after="40" w:before="40" w:line="264" w:lineRule="auto"/>
              <w:jc w:val="left"/>
            </w:pPr>
            <w:r/>
            <w:r>
              <w:rPr>
                <w:rFonts w:ascii="Times New Roman" w:hAnsi="Times New Roman"/>
                <w:b w:val="0"/>
                <w:sz w:val="16"/>
              </w:rPr>
              <w:t>18450.00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25</w:t>
            </w:r>
          </w:p>
        </w:tc>
        <w:tc>
          <w:tcPr>
            <w:tcW w:type="dxa" w:w="1040"/>
          </w:tcPr>
          <w:p>
            <w:pPr>
              <w:spacing w:after="40" w:before="40" w:line="264" w:lineRule="auto"/>
              <w:jc w:val="left"/>
            </w:pPr>
            <w:r/>
            <w:r>
              <w:rPr>
                <w:rFonts w:ascii="Times New Roman" w:hAnsi="Times New Roman"/>
                <w:b w:val="0"/>
                <w:sz w:val="16"/>
              </w:rPr>
              <w:t>Motinor LC Syrup 60ml</w:t>
            </w:r>
          </w:p>
        </w:tc>
        <w:tc>
          <w:tcPr>
            <w:tcW w:type="dxa" w:w="1040"/>
          </w:tcPr>
          <w:p>
            <w:pPr>
              <w:spacing w:after="40" w:before="40" w:line="264" w:lineRule="auto"/>
              <w:jc w:val="left"/>
            </w:pPr>
            <w:r/>
            <w:r>
              <w:rPr>
                <w:rFonts w:ascii="Times New Roman" w:hAnsi="Times New Roman"/>
                <w:b w:val="0"/>
                <w:sz w:val="16"/>
              </w:rPr>
              <w:t>Pediatric Care</w:t>
            </w:r>
          </w:p>
        </w:tc>
        <w:tc>
          <w:tcPr>
            <w:tcW w:type="dxa" w:w="1040"/>
          </w:tcPr>
          <w:p>
            <w:pPr>
              <w:spacing w:after="40" w:before="40" w:line="264" w:lineRule="auto"/>
              <w:jc w:val="left"/>
            </w:pPr>
            <w:r/>
            <w:r>
              <w:rPr>
                <w:rFonts w:ascii="Times New Roman" w:hAnsi="Times New Roman"/>
                <w:b w:val="0"/>
                <w:sz w:val="16"/>
              </w:rPr>
              <w:t>95.00</w:t>
            </w:r>
          </w:p>
        </w:tc>
        <w:tc>
          <w:tcPr>
            <w:tcW w:type="dxa" w:w="1040"/>
          </w:tcPr>
          <w:p>
            <w:pPr>
              <w:spacing w:after="40" w:before="40" w:line="264" w:lineRule="auto"/>
              <w:jc w:val="left"/>
            </w:pPr>
            <w:r/>
            <w:r>
              <w:rPr>
                <w:rFonts w:ascii="Times New Roman" w:hAnsi="Times New Roman"/>
                <w:b w:val="0"/>
                <w:sz w:val="16"/>
              </w:rPr>
              <w:t>65.00</w:t>
            </w:r>
          </w:p>
        </w:tc>
        <w:tc>
          <w:tcPr>
            <w:tcW w:type="dxa" w:w="1040"/>
          </w:tcPr>
          <w:p>
            <w:pPr>
              <w:spacing w:after="40" w:before="40" w:line="264" w:lineRule="auto"/>
              <w:jc w:val="left"/>
            </w:pPr>
            <w:r/>
            <w:r>
              <w:rPr>
                <w:rFonts w:ascii="Times New Roman" w:hAnsi="Times New Roman"/>
                <w:b w:val="0"/>
                <w:sz w:val="16"/>
              </w:rPr>
              <w:t>193</w:t>
            </w:r>
          </w:p>
        </w:tc>
        <w:tc>
          <w:tcPr>
            <w:tcW w:type="dxa" w:w="1040"/>
          </w:tcPr>
          <w:p>
            <w:pPr>
              <w:spacing w:after="40" w:before="40" w:line="264" w:lineRule="auto"/>
              <w:jc w:val="left"/>
            </w:pPr>
            <w:r/>
            <w:r>
              <w:rPr>
                <w:rFonts w:ascii="Times New Roman" w:hAnsi="Times New Roman"/>
                <w:b w:val="0"/>
                <w:sz w:val="16"/>
              </w:rPr>
              <w:t>18335.00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26</w:t>
            </w:r>
          </w:p>
        </w:tc>
        <w:tc>
          <w:tcPr>
            <w:tcW w:type="dxa" w:w="1040"/>
          </w:tcPr>
          <w:p>
            <w:pPr>
              <w:spacing w:after="40" w:before="40" w:line="264" w:lineRule="auto"/>
              <w:jc w:val="left"/>
            </w:pPr>
            <w:r/>
            <w:r>
              <w:rPr>
                <w:rFonts w:ascii="Times New Roman" w:hAnsi="Times New Roman"/>
                <w:b w:val="0"/>
                <w:sz w:val="16"/>
              </w:rPr>
              <w:t>Clobeta GM 10g Cream</w:t>
            </w:r>
          </w:p>
        </w:tc>
        <w:tc>
          <w:tcPr>
            <w:tcW w:type="dxa" w:w="1040"/>
          </w:tcPr>
          <w:p>
            <w:pPr>
              <w:spacing w:after="40" w:before="40" w:line="264" w:lineRule="auto"/>
              <w:jc w:val="left"/>
            </w:pPr>
            <w:r/>
            <w:r>
              <w:rPr>
                <w:rFonts w:ascii="Times New Roman" w:hAnsi="Times New Roman"/>
                <w:b w:val="0"/>
                <w:sz w:val="16"/>
              </w:rPr>
              <w:t>Dermatology</w:t>
            </w:r>
          </w:p>
        </w:tc>
        <w:tc>
          <w:tcPr>
            <w:tcW w:type="dxa" w:w="1040"/>
          </w:tcPr>
          <w:p>
            <w:pPr>
              <w:spacing w:after="40" w:before="40" w:line="264" w:lineRule="auto"/>
              <w:jc w:val="left"/>
            </w:pPr>
            <w:r/>
            <w:r>
              <w:rPr>
                <w:rFonts w:ascii="Times New Roman" w:hAnsi="Times New Roman"/>
                <w:b w:val="0"/>
                <w:sz w:val="16"/>
              </w:rPr>
              <w:t>85.00</w:t>
            </w:r>
          </w:p>
        </w:tc>
        <w:tc>
          <w:tcPr>
            <w:tcW w:type="dxa" w:w="1040"/>
          </w:tcPr>
          <w:p>
            <w:pPr>
              <w:spacing w:after="40" w:before="40" w:line="264" w:lineRule="auto"/>
              <w:jc w:val="left"/>
            </w:pPr>
            <w:r/>
            <w:r>
              <w:rPr>
                <w:rFonts w:ascii="Times New Roman" w:hAnsi="Times New Roman"/>
                <w:b w:val="0"/>
                <w:sz w:val="16"/>
              </w:rPr>
              <w:t>58.00</w:t>
            </w:r>
          </w:p>
        </w:tc>
        <w:tc>
          <w:tcPr>
            <w:tcW w:type="dxa" w:w="1040"/>
          </w:tcPr>
          <w:p>
            <w:pPr>
              <w:spacing w:after="40" w:before="40" w:line="264" w:lineRule="auto"/>
              <w:jc w:val="left"/>
            </w:pPr>
            <w:r/>
            <w:r>
              <w:rPr>
                <w:rFonts w:ascii="Times New Roman" w:hAnsi="Times New Roman"/>
                <w:b w:val="0"/>
                <w:sz w:val="16"/>
              </w:rPr>
              <w:t>212</w:t>
            </w:r>
          </w:p>
        </w:tc>
        <w:tc>
          <w:tcPr>
            <w:tcW w:type="dxa" w:w="1040"/>
          </w:tcPr>
          <w:p>
            <w:pPr>
              <w:spacing w:after="40" w:before="40" w:line="264" w:lineRule="auto"/>
              <w:jc w:val="left"/>
            </w:pPr>
            <w:r/>
            <w:r>
              <w:rPr>
                <w:rFonts w:ascii="Times New Roman" w:hAnsi="Times New Roman"/>
                <w:b w:val="0"/>
                <w:sz w:val="16"/>
              </w:rPr>
              <w:t>18020.00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27</w:t>
            </w:r>
          </w:p>
        </w:tc>
        <w:tc>
          <w:tcPr>
            <w:tcW w:type="dxa" w:w="1040"/>
          </w:tcPr>
          <w:p>
            <w:pPr>
              <w:spacing w:after="40" w:before="40" w:line="264" w:lineRule="auto"/>
              <w:jc w:val="left"/>
            </w:pPr>
            <w:r/>
            <w:r>
              <w:rPr>
                <w:rFonts w:ascii="Times New Roman" w:hAnsi="Times New Roman"/>
                <w:b w:val="0"/>
                <w:sz w:val="16"/>
              </w:rPr>
              <w:t>Moxib D Eye Drop</w:t>
            </w:r>
          </w:p>
        </w:tc>
        <w:tc>
          <w:tcPr>
            <w:tcW w:type="dxa" w:w="1040"/>
          </w:tcPr>
          <w:p>
            <w:pPr>
              <w:spacing w:after="40" w:before="40" w:line="264" w:lineRule="auto"/>
              <w:jc w:val="left"/>
            </w:pPr>
            <w:r/>
            <w:r>
              <w:rPr>
                <w:rFonts w:ascii="Times New Roman" w:hAnsi="Times New Roman"/>
                <w:b w:val="0"/>
                <w:sz w:val="16"/>
              </w:rPr>
              <w:t>Eye Care</w:t>
            </w:r>
          </w:p>
        </w:tc>
        <w:tc>
          <w:tcPr>
            <w:tcW w:type="dxa" w:w="1040"/>
          </w:tcPr>
          <w:p>
            <w:pPr>
              <w:spacing w:after="40" w:before="40" w:line="264" w:lineRule="auto"/>
              <w:jc w:val="left"/>
            </w:pPr>
            <w:r/>
            <w:r>
              <w:rPr>
                <w:rFonts w:ascii="Times New Roman" w:hAnsi="Times New Roman"/>
                <w:b w:val="0"/>
                <w:sz w:val="16"/>
              </w:rPr>
              <w:t>110.00</w:t>
            </w:r>
          </w:p>
        </w:tc>
        <w:tc>
          <w:tcPr>
            <w:tcW w:type="dxa" w:w="1040"/>
          </w:tcPr>
          <w:p>
            <w:pPr>
              <w:spacing w:after="40" w:before="40" w:line="264" w:lineRule="auto"/>
              <w:jc w:val="left"/>
            </w:pPr>
            <w:r/>
            <w:r>
              <w:rPr>
                <w:rFonts w:ascii="Times New Roman" w:hAnsi="Times New Roman"/>
                <w:b w:val="0"/>
                <w:sz w:val="16"/>
              </w:rPr>
              <w:t>78.00</w:t>
            </w:r>
          </w:p>
        </w:tc>
        <w:tc>
          <w:tcPr>
            <w:tcW w:type="dxa" w:w="1040"/>
          </w:tcPr>
          <w:p>
            <w:pPr>
              <w:spacing w:after="40" w:before="40" w:line="264" w:lineRule="auto"/>
              <w:jc w:val="left"/>
            </w:pPr>
            <w:r/>
            <w:r>
              <w:rPr>
                <w:rFonts w:ascii="Times New Roman" w:hAnsi="Times New Roman"/>
                <w:b w:val="0"/>
                <w:sz w:val="16"/>
              </w:rPr>
              <w:t>152</w:t>
            </w:r>
          </w:p>
        </w:tc>
        <w:tc>
          <w:tcPr>
            <w:tcW w:type="dxa" w:w="1040"/>
          </w:tcPr>
          <w:p>
            <w:pPr>
              <w:spacing w:after="40" w:before="40" w:line="264" w:lineRule="auto"/>
              <w:jc w:val="left"/>
            </w:pPr>
            <w:r/>
            <w:r>
              <w:rPr>
                <w:rFonts w:ascii="Times New Roman" w:hAnsi="Times New Roman"/>
                <w:b w:val="0"/>
                <w:sz w:val="16"/>
              </w:rPr>
              <w:t>16720.00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Non-Moving</w:t>
            </w:r>
          </w:p>
        </w:tc>
      </w:tr>
      <w:tr>
        <w:tc>
          <w:tcPr>
            <w:tcW w:type="dxa" w:w="1040"/>
          </w:tcPr>
          <w:p>
            <w:pPr>
              <w:spacing w:after="40" w:before="40" w:line="264" w:lineRule="auto"/>
              <w:jc w:val="left"/>
            </w:pPr>
            <w:r/>
            <w:r>
              <w:rPr>
                <w:rFonts w:ascii="Times New Roman" w:hAnsi="Times New Roman"/>
                <w:b w:val="0"/>
                <w:sz w:val="16"/>
              </w:rPr>
              <w:t>28</w:t>
            </w:r>
          </w:p>
        </w:tc>
        <w:tc>
          <w:tcPr>
            <w:tcW w:type="dxa" w:w="1040"/>
          </w:tcPr>
          <w:p>
            <w:pPr>
              <w:spacing w:after="40" w:before="40" w:line="264" w:lineRule="auto"/>
              <w:jc w:val="left"/>
            </w:pPr>
            <w:r/>
            <w:r>
              <w:rPr>
                <w:rFonts w:ascii="Times New Roman" w:hAnsi="Times New Roman"/>
                <w:b w:val="0"/>
                <w:sz w:val="16"/>
              </w:rPr>
              <w:t>Mahanac Tab</w:t>
            </w:r>
          </w:p>
        </w:tc>
        <w:tc>
          <w:tcPr>
            <w:tcW w:type="dxa" w:w="1040"/>
          </w:tcPr>
          <w:p>
            <w:pPr>
              <w:spacing w:after="40" w:before="40" w:line="264" w:lineRule="auto"/>
              <w:jc w:val="left"/>
            </w:pPr>
            <w:r/>
            <w:r>
              <w:rPr>
                <w:rFonts w:ascii="Times New Roman" w:hAnsi="Times New Roman"/>
                <w:b w:val="0"/>
                <w:sz w:val="16"/>
              </w:rPr>
              <w:t>Pain Relief</w:t>
            </w:r>
          </w:p>
        </w:tc>
        <w:tc>
          <w:tcPr>
            <w:tcW w:type="dxa" w:w="1040"/>
          </w:tcPr>
          <w:p>
            <w:pPr>
              <w:spacing w:after="40" w:before="40" w:line="264" w:lineRule="auto"/>
              <w:jc w:val="left"/>
            </w:pPr>
            <w:r/>
            <w:r>
              <w:rPr>
                <w:rFonts w:ascii="Times New Roman" w:hAnsi="Times New Roman"/>
                <w:b w:val="0"/>
                <w:sz w:val="16"/>
              </w:rPr>
              <w:t>72.00</w:t>
            </w:r>
          </w:p>
        </w:tc>
        <w:tc>
          <w:tcPr>
            <w:tcW w:type="dxa" w:w="1040"/>
          </w:tcPr>
          <w:p>
            <w:pPr>
              <w:spacing w:after="40" w:before="40" w:line="264" w:lineRule="auto"/>
              <w:jc w:val="left"/>
            </w:pPr>
            <w:r/>
            <w:r>
              <w:rPr>
                <w:rFonts w:ascii="Times New Roman" w:hAnsi="Times New Roman"/>
                <w:b w:val="0"/>
                <w:sz w:val="16"/>
              </w:rPr>
              <w:t>48.00</w:t>
            </w:r>
          </w:p>
        </w:tc>
        <w:tc>
          <w:tcPr>
            <w:tcW w:type="dxa" w:w="1040"/>
          </w:tcPr>
          <w:p>
            <w:pPr>
              <w:spacing w:after="40" w:before="40" w:line="264" w:lineRule="auto"/>
              <w:jc w:val="left"/>
            </w:pPr>
            <w:r/>
            <w:r>
              <w:rPr>
                <w:rFonts w:ascii="Times New Roman" w:hAnsi="Times New Roman"/>
                <w:b w:val="0"/>
                <w:sz w:val="16"/>
              </w:rPr>
              <w:t>222</w:t>
            </w:r>
          </w:p>
        </w:tc>
        <w:tc>
          <w:tcPr>
            <w:tcW w:type="dxa" w:w="1040"/>
          </w:tcPr>
          <w:p>
            <w:pPr>
              <w:spacing w:after="40" w:before="40" w:line="264" w:lineRule="auto"/>
              <w:jc w:val="left"/>
            </w:pPr>
            <w:r/>
            <w:r>
              <w:rPr>
                <w:rFonts w:ascii="Times New Roman" w:hAnsi="Times New Roman"/>
                <w:b w:val="0"/>
                <w:sz w:val="16"/>
              </w:rPr>
              <w:t>15984.00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29</w:t>
            </w:r>
          </w:p>
        </w:tc>
        <w:tc>
          <w:tcPr>
            <w:tcW w:type="dxa" w:w="1040"/>
          </w:tcPr>
          <w:p>
            <w:pPr>
              <w:spacing w:after="40" w:before="40" w:line="264" w:lineRule="auto"/>
              <w:jc w:val="left"/>
            </w:pPr>
            <w:r/>
            <w:r>
              <w:rPr>
                <w:rFonts w:ascii="Times New Roman" w:hAnsi="Times New Roman"/>
                <w:b w:val="0"/>
                <w:sz w:val="16"/>
              </w:rPr>
              <w:t>Dexalife Inj 30ml</w:t>
            </w:r>
          </w:p>
        </w:tc>
        <w:tc>
          <w:tcPr>
            <w:tcW w:type="dxa" w:w="1040"/>
          </w:tcPr>
          <w:p>
            <w:pPr>
              <w:spacing w:after="40" w:before="40" w:line="264" w:lineRule="auto"/>
              <w:jc w:val="left"/>
            </w:pPr>
            <w:r/>
            <w:r>
              <w:rPr>
                <w:rFonts w:ascii="Times New Roman" w:hAnsi="Times New Roman"/>
                <w:b w:val="0"/>
                <w:sz w:val="16"/>
              </w:rPr>
              <w:t>Injectable</w:t>
            </w:r>
          </w:p>
        </w:tc>
        <w:tc>
          <w:tcPr>
            <w:tcW w:type="dxa" w:w="1040"/>
          </w:tcPr>
          <w:p>
            <w:pPr>
              <w:spacing w:after="40" w:before="40" w:line="264" w:lineRule="auto"/>
              <w:jc w:val="left"/>
            </w:pPr>
            <w:r/>
            <w:r>
              <w:rPr>
                <w:rFonts w:ascii="Times New Roman" w:hAnsi="Times New Roman"/>
                <w:b w:val="0"/>
                <w:sz w:val="16"/>
              </w:rPr>
              <w:t>73.00</w:t>
            </w:r>
          </w:p>
        </w:tc>
        <w:tc>
          <w:tcPr>
            <w:tcW w:type="dxa" w:w="1040"/>
          </w:tcPr>
          <w:p>
            <w:pPr>
              <w:spacing w:after="40" w:before="40" w:line="264" w:lineRule="auto"/>
              <w:jc w:val="left"/>
            </w:pPr>
            <w:r/>
            <w:r>
              <w:rPr>
                <w:rFonts w:ascii="Times New Roman" w:hAnsi="Times New Roman"/>
                <w:b w:val="0"/>
                <w:sz w:val="16"/>
              </w:rPr>
              <w:t>48.00</w:t>
            </w:r>
          </w:p>
        </w:tc>
        <w:tc>
          <w:tcPr>
            <w:tcW w:type="dxa" w:w="1040"/>
          </w:tcPr>
          <w:p>
            <w:pPr>
              <w:spacing w:after="40" w:before="40" w:line="264" w:lineRule="auto"/>
              <w:jc w:val="left"/>
            </w:pPr>
            <w:r/>
            <w:r>
              <w:rPr>
                <w:rFonts w:ascii="Times New Roman" w:hAnsi="Times New Roman"/>
                <w:b w:val="0"/>
                <w:sz w:val="16"/>
              </w:rPr>
              <w:t>208</w:t>
            </w:r>
          </w:p>
        </w:tc>
        <w:tc>
          <w:tcPr>
            <w:tcW w:type="dxa" w:w="1040"/>
          </w:tcPr>
          <w:p>
            <w:pPr>
              <w:spacing w:after="40" w:before="40" w:line="264" w:lineRule="auto"/>
              <w:jc w:val="left"/>
            </w:pPr>
            <w:r/>
            <w:r>
              <w:rPr>
                <w:rFonts w:ascii="Times New Roman" w:hAnsi="Times New Roman"/>
                <w:b w:val="0"/>
                <w:sz w:val="16"/>
              </w:rPr>
              <w:t>15184.00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Slow</w:t>
            </w:r>
          </w:p>
        </w:tc>
      </w:tr>
      <w:tr>
        <w:tc>
          <w:tcPr>
            <w:tcW w:type="dxa" w:w="1040"/>
          </w:tcPr>
          <w:p>
            <w:pPr>
              <w:spacing w:after="40" w:before="40" w:line="264" w:lineRule="auto"/>
              <w:jc w:val="left"/>
            </w:pPr>
            <w:r/>
            <w:r>
              <w:rPr>
                <w:rFonts w:ascii="Times New Roman" w:hAnsi="Times New Roman"/>
                <w:b w:val="0"/>
                <w:sz w:val="16"/>
              </w:rPr>
              <w:t>30</w:t>
            </w:r>
          </w:p>
        </w:tc>
        <w:tc>
          <w:tcPr>
            <w:tcW w:type="dxa" w:w="1040"/>
          </w:tcPr>
          <w:p>
            <w:pPr>
              <w:spacing w:after="40" w:before="40" w:line="264" w:lineRule="auto"/>
              <w:jc w:val="left"/>
            </w:pPr>
            <w:r/>
            <w:r>
              <w:rPr>
                <w:rFonts w:ascii="Times New Roman" w:hAnsi="Times New Roman"/>
                <w:b w:val="0"/>
                <w:sz w:val="16"/>
              </w:rPr>
              <w:t>Gentalab 30ml Inj</w:t>
            </w:r>
          </w:p>
        </w:tc>
        <w:tc>
          <w:tcPr>
            <w:tcW w:type="dxa" w:w="1040"/>
          </w:tcPr>
          <w:p>
            <w:pPr>
              <w:spacing w:after="40" w:before="40" w:line="264" w:lineRule="auto"/>
              <w:jc w:val="left"/>
            </w:pPr>
            <w:r/>
            <w:r>
              <w:rPr>
                <w:rFonts w:ascii="Times New Roman" w:hAnsi="Times New Roman"/>
                <w:b w:val="0"/>
                <w:sz w:val="16"/>
              </w:rPr>
              <w:t>Injectable</w:t>
            </w:r>
          </w:p>
        </w:tc>
        <w:tc>
          <w:tcPr>
            <w:tcW w:type="dxa" w:w="1040"/>
          </w:tcPr>
          <w:p>
            <w:pPr>
              <w:spacing w:after="40" w:before="40" w:line="264" w:lineRule="auto"/>
              <w:jc w:val="left"/>
            </w:pPr>
            <w:r/>
            <w:r>
              <w:rPr>
                <w:rFonts w:ascii="Times New Roman" w:hAnsi="Times New Roman"/>
                <w:b w:val="0"/>
                <w:sz w:val="16"/>
              </w:rPr>
              <w:t>45.00</w:t>
            </w:r>
          </w:p>
        </w:tc>
        <w:tc>
          <w:tcPr>
            <w:tcW w:type="dxa" w:w="1040"/>
          </w:tcPr>
          <w:p>
            <w:pPr>
              <w:spacing w:after="40" w:before="40" w:line="264" w:lineRule="auto"/>
              <w:jc w:val="left"/>
            </w:pPr>
            <w:r/>
            <w:r>
              <w:rPr>
                <w:rFonts w:ascii="Times New Roman" w:hAnsi="Times New Roman"/>
                <w:b w:val="0"/>
                <w:sz w:val="16"/>
              </w:rPr>
              <w:t>28.00</w:t>
            </w:r>
          </w:p>
        </w:tc>
        <w:tc>
          <w:tcPr>
            <w:tcW w:type="dxa" w:w="1040"/>
          </w:tcPr>
          <w:p>
            <w:pPr>
              <w:spacing w:after="40" w:before="40" w:line="264" w:lineRule="auto"/>
              <w:jc w:val="left"/>
            </w:pPr>
            <w:r/>
            <w:r>
              <w:rPr>
                <w:rFonts w:ascii="Times New Roman" w:hAnsi="Times New Roman"/>
                <w:b w:val="0"/>
                <w:sz w:val="16"/>
              </w:rPr>
              <w:t>169</w:t>
            </w:r>
          </w:p>
        </w:tc>
        <w:tc>
          <w:tcPr>
            <w:tcW w:type="dxa" w:w="1040"/>
          </w:tcPr>
          <w:p>
            <w:pPr>
              <w:spacing w:after="40" w:before="40" w:line="264" w:lineRule="auto"/>
              <w:jc w:val="left"/>
            </w:pPr>
            <w:r/>
            <w:r>
              <w:rPr>
                <w:rFonts w:ascii="Times New Roman" w:hAnsi="Times New Roman"/>
                <w:b w:val="0"/>
                <w:sz w:val="16"/>
              </w:rPr>
              <w:t>7605.00</w:t>
            </w:r>
          </w:p>
        </w:tc>
        <w:tc>
          <w:tcPr>
            <w:tcW w:type="dxa" w:w="1040"/>
          </w:tcPr>
          <w:p>
            <w:pPr>
              <w:spacing w:after="40" w:before="40" w:line="264" w:lineRule="auto"/>
              <w:jc w:val="left"/>
            </w:pPr>
            <w:r/>
            <w:r>
              <w:rPr>
                <w:rFonts w:ascii="Times New Roman" w:hAnsi="Times New Roman"/>
                <w:b w:val="0"/>
                <w:sz w:val="16"/>
              </w:rPr>
              <w:t>Cat C</w:t>
            </w:r>
          </w:p>
        </w:tc>
        <w:tc>
          <w:tcPr>
            <w:tcW w:type="dxa" w:w="1040"/>
          </w:tcPr>
          <w:p>
            <w:pPr>
              <w:spacing w:after="40" w:before="40" w:line="264" w:lineRule="auto"/>
              <w:jc w:val="left"/>
            </w:pPr>
            <w:r/>
            <w:r>
              <w:rPr>
                <w:rFonts w:ascii="Times New Roman" w:hAnsi="Times New Roman"/>
                <w:b w:val="0"/>
                <w:sz w:val="16"/>
              </w:rPr>
              <w:t>Non-Moving</w:t>
            </w:r>
          </w:p>
        </w:tc>
      </w:tr>
    </w:tbl>
    <w:p>
      <w:pPr>
        <w:spacing w:after="120" w:before="0" w:line="360" w:lineRule="auto"/>
        <w:jc w:val="center"/>
      </w:pPr>
      <w:r>
        <w:rPr>
          <w:rFonts w:ascii="Times New Roman" w:hAnsi="Times New Roman"/>
          <w:b w:val="0"/>
          <w:i/>
          <w:sz w:val="19"/>
        </w:rPr>
        <w:t>Table 6: Complete SKU Master Inventory Ledger — Anand Pharma (Jan–June 2026)</w:t>
      </w:r>
    </w:p>
    <w:sectPr w:rsidR="00FC693F" w:rsidRPr="0006063C" w:rsidSect="00034616">
      <w:footerReference w:type="default" r:id="rI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