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URTube 技術文件</w:t>
      </w:r>
    </w:p>
    <w:p>
      <w:pPr>
        <w:pStyle w:val="Subtitle"/>
      </w:pPr>
      <w:r>
        <w:t>以觀看歷史建立可解釋的興趣分布與同好探索系統</w:t>
      </w:r>
    </w:p>
    <w:p>
      <w:r>
        <w:t>編製團隊　urtube contributors</w:t>
      </w:r>
    </w:p>
    <w:p>
      <w:r>
        <w:t>文件版本　1.0　　編製日期　2026 年 9 月 6 日</w:t>
      </w:r>
    </w:p>
    <w:p>
      <w:r>
        <w:rPr>
          <w:sz w:val="18"/>
        </w:rPr>
        <w:t>程式基準　85b5cec53ac703d0f790257dd658aaaa34d9eb75</w:t>
      </w:r>
    </w:p>
    <w:p>
      <w:r>
        <w:t xml:space="preserve">作品網站　</w:t>
      </w:r>
      <w:hyperlink r:id="rId11">
        <w:r>
          <w:rPr>
            <w:color w:val="126C70"/>
            <w:rFonts w:eastAsia="Heiti TC"/>
          </w:rPr>
          <w:t>urtube.observe.tw</w:t>
        </w:r>
      </w:hyperlink>
      <w:r/>
    </w:p>
    <w:p>
      <w:r>
        <w:t xml:space="preserve">開源專案　</w:t>
      </w:r>
      <w:hyperlink r:id="rId12">
        <w:r>
          <w:rPr>
            <w:color w:val="126C70"/>
            <w:rFonts w:eastAsia="Heiti TC"/>
          </w:rPr>
          <w:t>GitHub 開源專案</w:t>
        </w:r>
      </w:hyperlink>
      <w:r/>
    </w:p>
    <w:p>
      <w:pPr>
        <w:pStyle w:val="Heading2"/>
      </w:pPr>
      <w:r>
        <w:t>技術摘要</w:t>
      </w:r>
    </w:p>
    <w:p>
      <w:r>
        <w:t>URTube 將使用者授權匯入的 YouTube 觀看歷史，轉換為個人洞察、興趣分布與可操作的同好探索。系統整合事件去重、觀看時間推估、公開 metadata 補齊、語言模型多標籤分類、語意向量、加權密度分群與最佳傳輸配對，並以版本化資料、可恢復工作佇列及逐次授權，維持不同處理階段的資料一致性。</w:t>
      </w:r>
    </w:p>
    <w:p>
      <w:r>
        <w:t>本系統的主要技術貢獻，是將「看過相同主題」進一步表示為「在多個語意群之間如何分配興趣」。配對分數由數值演算法計算，推薦依據由實際運輸對應與權重構成；語言模型負責公開內容的語意判讀，不直接產生兩人的相似度或交友成功機率。</w:t>
      </w:r>
    </w:p>
    <w:p>
      <w:r>
        <w:t>文件以目前程式實作為準，涵蓋架構、資料流程、AI 使用方式、核心數學模型、可靠性、授權、負載分析與可重現驗證。100 人、每人 20,000 部影片是容量分析情境；本文將已完成實作、隔離測試與後續容量驗收分別標示。</w:t>
      </w:r>
    </w:p>
    <w:p>
      <w:pPr>
        <w:pStyle w:val="Heading2"/>
      </w:pPr>
      <w:r>
        <w:t>評分面向與文件證據</w:t>
      </w:r>
    </w:p>
    <w:tbl>
      <w:tblPr>
        <w:tblW w:type="auto" w:w="0"/>
        <w:jc w:val="center"/>
        <w:tblLayout w:type="fixed"/>
        <w:tblLook w:firstColumn="1" w:firstRow="1" w:lastColumn="0" w:lastRow="0" w:noHBand="0" w:noVBand="1" w:val="04A0"/>
      </w:tblPr>
      <w:tblGrid>
        <w:gridCol w:w="2400"/>
        <w:gridCol w:w="960"/>
        <w:gridCol w:w="6241"/>
      </w:tblGrid>
      <w:tr>
        <w:trPr>
          <w:cantSplit/>
          <w:tblHeader/>
        </w:trPr>
        <w:tc>
          <w:tcPr>
            <w:tcW w:type="dxa" w:w="2400"/>
            <w:vAlign w:val="center"/>
            <w:shd w:fill="183B50"/>
            <w:tcMar>
              <w:top w:w="95" w:type="dxa"/>
              <w:left w:w="95" w:type="dxa"/>
              <w:bottom w:w="95" w:type="dxa"/>
              <w:right w:w="95" w:type="dxa"/>
            </w:tcMar>
          </w:tcPr>
          <w:p>
            <w:pPr>
              <w:spacing w:after="0" w:line="276" w:lineRule="auto"/>
            </w:pPr>
            <w:r>
              <w:rPr>
                <w:b/>
                <w:color w:val="FFFFFF"/>
                <w:sz w:val="20"/>
              </w:rPr>
              <w:t>評分面向</w:t>
            </w:r>
          </w:p>
        </w:tc>
        <w:tc>
          <w:tcPr>
            <w:tcW w:type="dxa" w:w="960"/>
            <w:vAlign w:val="center"/>
            <w:shd w:fill="183B50"/>
            <w:tcMar>
              <w:top w:w="95" w:type="dxa"/>
              <w:left w:w="95" w:type="dxa"/>
              <w:bottom w:w="95" w:type="dxa"/>
              <w:right w:w="95" w:type="dxa"/>
            </w:tcMar>
          </w:tcPr>
          <w:p>
            <w:pPr>
              <w:spacing w:after="0" w:line="276" w:lineRule="auto"/>
            </w:pPr>
            <w:r>
              <w:rPr>
                <w:b/>
                <w:color w:val="FFFFFF"/>
                <w:sz w:val="20"/>
              </w:rPr>
              <w:t>權重</w:t>
            </w:r>
          </w:p>
        </w:tc>
        <w:tc>
          <w:tcPr>
            <w:tcW w:type="dxa" w:w="6241"/>
            <w:vAlign w:val="center"/>
            <w:shd w:fill="183B50"/>
            <w:tcMar>
              <w:top w:w="95" w:type="dxa"/>
              <w:left w:w="95" w:type="dxa"/>
              <w:bottom w:w="95" w:type="dxa"/>
              <w:right w:w="95" w:type="dxa"/>
            </w:tcMar>
          </w:tcPr>
          <w:p>
            <w:pPr>
              <w:spacing w:after="0" w:line="276" w:lineRule="auto"/>
            </w:pPr>
            <w:r>
              <w:rPr>
                <w:b/>
                <w:color w:val="FFFFFF"/>
                <w:sz w:val="20"/>
              </w:rPr>
              <w:t>本文件提供的證據</w:t>
            </w:r>
          </w:p>
        </w:tc>
      </w:tr>
      <w:tr>
        <w:trPr>
          <w:cantSplit/>
        </w:trPr>
        <w:tc>
          <w:tcPr>
            <w:tcW w:type="dxa" w:w="2400"/>
            <w:vAlign w:val="center"/>
            <w:shd w:fill="F0F5F7"/>
            <w:tcMar>
              <w:top w:w="95" w:type="dxa"/>
              <w:left w:w="95" w:type="dxa"/>
              <w:bottom w:w="95" w:type="dxa"/>
              <w:right w:w="95" w:type="dxa"/>
            </w:tcMar>
          </w:tcPr>
          <w:p>
            <w:pPr>
              <w:spacing w:after="0" w:line="276" w:lineRule="auto"/>
            </w:pPr>
            <w:r>
              <w:rPr>
                <w:b w:val="0"/>
                <w:color w:val="233846"/>
                <w:sz w:val="20"/>
              </w:rPr>
              <w:t>問題定義與影響力</w:t>
            </w:r>
          </w:p>
        </w:tc>
        <w:tc>
          <w:tcPr>
            <w:tcW w:type="dxa" w:w="960"/>
            <w:vAlign w:val="center"/>
            <w:shd w:fill="F0F5F7"/>
            <w:tcMar>
              <w:top w:w="95" w:type="dxa"/>
              <w:left w:w="95" w:type="dxa"/>
              <w:bottom w:w="95" w:type="dxa"/>
              <w:right w:w="95" w:type="dxa"/>
            </w:tcMar>
          </w:tcPr>
          <w:p>
            <w:pPr>
              <w:spacing w:after="0" w:line="276" w:lineRule="auto"/>
            </w:pPr>
            <w:r>
              <w:rPr>
                <w:b w:val="0"/>
                <w:color w:val="233846"/>
                <w:sz w:val="20"/>
              </w:rPr>
              <w:t>35%</w:t>
            </w:r>
          </w:p>
        </w:tc>
        <w:tc>
          <w:tcPr>
            <w:tcW w:type="dxa" w:w="6241"/>
            <w:vAlign w:val="center"/>
            <w:shd w:fill="F0F5F7"/>
            <w:tcMar>
              <w:top w:w="95" w:type="dxa"/>
              <w:left w:w="95" w:type="dxa"/>
              <w:bottom w:w="95" w:type="dxa"/>
              <w:right w:w="95" w:type="dxa"/>
            </w:tcMar>
          </w:tcPr>
          <w:p>
            <w:pPr>
              <w:spacing w:after="0" w:line="276" w:lineRule="auto"/>
            </w:pPr>
            <w:r>
              <w:rPr>
                <w:b w:val="0"/>
                <w:color w:val="233846"/>
                <w:sz w:val="20"/>
              </w:rPr>
              <w:t>使用者問題、需求與可衡量成效，第 1 節</w:t>
            </w:r>
          </w:p>
        </w:tc>
      </w:tr>
      <w:tr>
        <w:trPr>
          <w:cantSplit/>
        </w:trPr>
        <w:tc>
          <w:tcPr>
            <w:tcW w:type="dxa" w:w="2400"/>
            <w:vAlign w:val="center"/>
            <w:shd w:fill="FFFFFF"/>
            <w:tcMar>
              <w:top w:w="95" w:type="dxa"/>
              <w:left w:w="95" w:type="dxa"/>
              <w:bottom w:w="95" w:type="dxa"/>
              <w:right w:w="95" w:type="dxa"/>
            </w:tcMar>
          </w:tcPr>
          <w:p>
            <w:pPr>
              <w:spacing w:after="0" w:line="276" w:lineRule="auto"/>
            </w:pPr>
            <w:r>
              <w:rPr>
                <w:b w:val="0"/>
                <w:color w:val="233846"/>
                <w:sz w:val="20"/>
              </w:rPr>
              <w:t>技術實作</w:t>
            </w:r>
          </w:p>
        </w:tc>
        <w:tc>
          <w:tcPr>
            <w:tcW w:type="dxa" w:w="960"/>
            <w:vAlign w:val="center"/>
            <w:shd w:fill="FFFFFF"/>
            <w:tcMar>
              <w:top w:w="95" w:type="dxa"/>
              <w:left w:w="95" w:type="dxa"/>
              <w:bottom w:w="95" w:type="dxa"/>
              <w:right w:w="95" w:type="dxa"/>
            </w:tcMar>
          </w:tcPr>
          <w:p>
            <w:pPr>
              <w:spacing w:after="0" w:line="276" w:lineRule="auto"/>
            </w:pPr>
            <w:r>
              <w:rPr>
                <w:b w:val="0"/>
                <w:color w:val="233846"/>
                <w:sz w:val="20"/>
              </w:rPr>
              <w:t>30%</w:t>
            </w:r>
          </w:p>
        </w:tc>
        <w:tc>
          <w:tcPr>
            <w:tcW w:type="dxa" w:w="6241"/>
            <w:vAlign w:val="center"/>
            <w:shd w:fill="FFFFFF"/>
            <w:tcMar>
              <w:top w:w="95" w:type="dxa"/>
              <w:left w:w="95" w:type="dxa"/>
              <w:bottom w:w="95" w:type="dxa"/>
              <w:right w:w="95" w:type="dxa"/>
            </w:tcMar>
          </w:tcPr>
          <w:p>
            <w:pPr>
              <w:spacing w:after="0" w:line="276" w:lineRule="auto"/>
            </w:pPr>
            <w:r>
              <w:rPr>
                <w:b w:val="0"/>
                <w:color w:val="233846"/>
                <w:sz w:val="20"/>
              </w:rPr>
              <w:t>架構與 AI 適切性、技術難度、完成度與穩定性，第 2 至 11 節</w:t>
            </w:r>
          </w:p>
        </w:tc>
      </w:tr>
      <w:tr>
        <w:trPr>
          <w:cantSplit/>
        </w:trPr>
        <w:tc>
          <w:tcPr>
            <w:tcW w:type="dxa" w:w="2400"/>
            <w:vAlign w:val="center"/>
            <w:shd w:fill="F0F5F7"/>
            <w:tcMar>
              <w:top w:w="95" w:type="dxa"/>
              <w:left w:w="95" w:type="dxa"/>
              <w:bottom w:w="95" w:type="dxa"/>
              <w:right w:w="95" w:type="dxa"/>
            </w:tcMar>
          </w:tcPr>
          <w:p>
            <w:pPr>
              <w:spacing w:after="0" w:line="276" w:lineRule="auto"/>
            </w:pPr>
            <w:r>
              <w:rPr>
                <w:b w:val="0"/>
                <w:color w:val="233846"/>
                <w:sz w:val="20"/>
              </w:rPr>
              <w:t>成果展示</w:t>
            </w:r>
          </w:p>
        </w:tc>
        <w:tc>
          <w:tcPr>
            <w:tcW w:type="dxa" w:w="960"/>
            <w:vAlign w:val="center"/>
            <w:shd w:fill="F0F5F7"/>
            <w:tcMar>
              <w:top w:w="95" w:type="dxa"/>
              <w:left w:w="95" w:type="dxa"/>
              <w:bottom w:w="95" w:type="dxa"/>
              <w:right w:w="95" w:type="dxa"/>
            </w:tcMar>
          </w:tcPr>
          <w:p>
            <w:pPr>
              <w:spacing w:after="0" w:line="276" w:lineRule="auto"/>
            </w:pPr>
            <w:r>
              <w:rPr>
                <w:b w:val="0"/>
                <w:color w:val="233846"/>
                <w:sz w:val="20"/>
              </w:rPr>
              <w:t>20%</w:t>
            </w:r>
          </w:p>
        </w:tc>
        <w:tc>
          <w:tcPr>
            <w:tcW w:type="dxa" w:w="6241"/>
            <w:vAlign w:val="center"/>
            <w:shd w:fill="F0F5F7"/>
            <w:tcMar>
              <w:top w:w="95" w:type="dxa"/>
              <w:left w:w="95" w:type="dxa"/>
              <w:bottom w:w="95" w:type="dxa"/>
              <w:right w:w="95" w:type="dxa"/>
            </w:tcMar>
          </w:tcPr>
          <w:p>
            <w:pPr>
              <w:spacing w:after="0" w:line="276" w:lineRule="auto"/>
            </w:pPr>
            <w:r>
              <w:rPr>
                <w:b w:val="0"/>
                <w:color w:val="233846"/>
                <w:sz w:val="20"/>
              </w:rPr>
              <w:t>可重播的產品流程與演算法案例，第 6、12 節</w:t>
            </w:r>
          </w:p>
        </w:tc>
      </w:tr>
      <w:tr>
        <w:trPr>
          <w:cantSplit/>
        </w:trPr>
        <w:tc>
          <w:tcPr>
            <w:tcW w:type="dxa" w:w="2400"/>
            <w:vAlign w:val="center"/>
            <w:shd w:fill="FFFFFF"/>
            <w:tcMar>
              <w:top w:w="95" w:type="dxa"/>
              <w:left w:w="95" w:type="dxa"/>
              <w:bottom w:w="95" w:type="dxa"/>
              <w:right w:w="95" w:type="dxa"/>
            </w:tcMar>
          </w:tcPr>
          <w:p>
            <w:pPr>
              <w:spacing w:after="0" w:line="276" w:lineRule="auto"/>
            </w:pPr>
            <w:r>
              <w:rPr>
                <w:b w:val="0"/>
                <w:color w:val="233846"/>
                <w:sz w:val="20"/>
              </w:rPr>
              <w:t>開源品質</w:t>
            </w:r>
          </w:p>
        </w:tc>
        <w:tc>
          <w:tcPr>
            <w:tcW w:type="dxa" w:w="960"/>
            <w:vAlign w:val="center"/>
            <w:shd w:fill="FFFFFF"/>
            <w:tcMar>
              <w:top w:w="95" w:type="dxa"/>
              <w:left w:w="95" w:type="dxa"/>
              <w:bottom w:w="95" w:type="dxa"/>
              <w:right w:w="95" w:type="dxa"/>
            </w:tcMar>
          </w:tcPr>
          <w:p>
            <w:pPr>
              <w:spacing w:after="0" w:line="276" w:lineRule="auto"/>
            </w:pPr>
            <w:r>
              <w:rPr>
                <w:b w:val="0"/>
                <w:color w:val="233846"/>
                <w:sz w:val="20"/>
              </w:rPr>
              <w:t>15%</w:t>
            </w:r>
          </w:p>
        </w:tc>
        <w:tc>
          <w:tcPr>
            <w:tcW w:type="dxa" w:w="6241"/>
            <w:vAlign w:val="center"/>
            <w:shd w:fill="FFFFFF"/>
            <w:tcMar>
              <w:top w:w="95" w:type="dxa"/>
              <w:left w:w="95" w:type="dxa"/>
              <w:bottom w:w="95" w:type="dxa"/>
              <w:right w:w="95" w:type="dxa"/>
            </w:tcMar>
          </w:tcPr>
          <w:p>
            <w:pPr>
              <w:spacing w:after="0" w:line="276" w:lineRule="auto"/>
            </w:pPr>
            <w:r>
              <w:rPr>
                <w:b w:val="0"/>
                <w:color w:val="233846"/>
                <w:sz w:val="20"/>
              </w:rPr>
              <w:t>程式定位、依賴鎖定、CI、授權與重現方式，第 11 至 13 節</w:t>
            </w:r>
          </w:p>
        </w:tc>
      </w:tr>
    </w:tbl>
    <w:p>
      <w:pPr>
        <w:spacing w:after="20" w:before="0" w:line="40" w:lineRule="exact"/>
      </w:pPr>
      <w:r>
        <w:rPr>
          <w:sz w:val="4"/>
        </w:rPr>
      </w:r>
    </w:p>
    <w:p>
      <w:r>
        <w:t>評分依 Round 1 書審標準；技術實作面向包含「架構與 AI 應用是否適切」及「技術難度、完成度與穩定性」。</w:t>
      </w:r>
    </w:p>
    <w:p>
      <w:r>
        <w:br w:type="page"/>
      </w:r>
    </w:p>
    <w:p>
      <w:pPr>
        <w:pStyle w:val="Heading1"/>
      </w:pPr>
      <w:r>
        <w:t>1 問題定義與系統需求</w:t>
      </w:r>
    </w:p>
    <w:p>
      <w:pPr>
        <w:pStyle w:val="Heading2"/>
      </w:pPr>
      <w:r>
        <w:t>1 1 從大量紀錄建立可理解的興趣表示</w:t>
      </w:r>
    </w:p>
    <w:p>
      <w:r>
        <w:t>累積數萬部影片後，單純的觀看清單難以回答使用者長期關注哪些主題、近期偏好如何改變，以及與另一個人究竟有哪些共同興趣。直接計算共同影片也容易受到影片熱門程度與資料稀疏性影響：兩人可能觀看不同影片，卻關注相近的球類運動、教育內容或音樂風格。</w:t>
      </w:r>
    </w:p>
    <w:p>
      <w:r>
        <w:t>URTube 的目標是讓使用者先理解自己的內容消費，再以明確的資料揭露規則探索同好。觀看行為只用來描述內容偏好，不推論使用者的政治立場、人格、健康或其他身分屬性。產品效果應以洞察可理解性、共同興趣的相關性及使用者自主控制衡量，不能以相似度分數替代社交成效。</w:t>
      </w:r>
    </w:p>
    <w:p>
      <w:pPr>
        <w:pStyle w:val="Heading2"/>
      </w:pPr>
      <w:r>
        <w:t>1 2 功能與品質需求</w:t>
      </w:r>
    </w:p>
    <w:tbl>
      <w:tblPr>
        <w:tblW w:type="auto" w:w="0"/>
        <w:jc w:val="center"/>
        <w:tblLayout w:type="fixed"/>
        <w:tblLook w:firstColumn="1" w:firstRow="1" w:lastColumn="0" w:lastRow="0" w:noHBand="0" w:noVBand="1" w:val="04A0"/>
      </w:tblPr>
      <w:tblGrid>
        <w:gridCol w:w="2208"/>
        <w:gridCol w:w="3265"/>
        <w:gridCol w:w="4129"/>
      </w:tblGrid>
      <w:tr>
        <w:trPr>
          <w:cantSplit/>
          <w:tblHeader/>
        </w:trPr>
        <w:tc>
          <w:tcPr>
            <w:tcW w:type="dxa" w:w="2208"/>
            <w:vAlign w:val="center"/>
            <w:shd w:fill="183B50"/>
            <w:tcMar>
              <w:top w:w="95" w:type="dxa"/>
              <w:left w:w="95" w:type="dxa"/>
              <w:bottom w:w="95" w:type="dxa"/>
              <w:right w:w="95" w:type="dxa"/>
            </w:tcMar>
          </w:tcPr>
          <w:p>
            <w:pPr>
              <w:spacing w:after="0" w:line="276" w:lineRule="auto"/>
            </w:pPr>
            <w:r>
              <w:rPr>
                <w:b/>
                <w:color w:val="FFFFFF"/>
                <w:sz w:val="20"/>
              </w:rPr>
              <w:t>需求</w:t>
            </w:r>
          </w:p>
        </w:tc>
        <w:tc>
          <w:tcPr>
            <w:tcW w:type="dxa" w:w="3265"/>
            <w:vAlign w:val="center"/>
            <w:shd w:fill="183B50"/>
            <w:tcMar>
              <w:top w:w="95" w:type="dxa"/>
              <w:left w:w="95" w:type="dxa"/>
              <w:bottom w:w="95" w:type="dxa"/>
              <w:right w:w="95" w:type="dxa"/>
            </w:tcMar>
          </w:tcPr>
          <w:p>
            <w:pPr>
              <w:spacing w:after="0" w:line="276" w:lineRule="auto"/>
            </w:pPr>
            <w:r>
              <w:rPr>
                <w:b/>
                <w:color w:val="FFFFFF"/>
                <w:sz w:val="20"/>
              </w:rPr>
              <w:t>系統回應</w:t>
            </w:r>
          </w:p>
        </w:tc>
        <w:tc>
          <w:tcPr>
            <w:tcW w:type="dxa" w:w="4129"/>
            <w:vAlign w:val="center"/>
            <w:shd w:fill="183B50"/>
            <w:tcMar>
              <w:top w:w="95" w:type="dxa"/>
              <w:left w:w="95" w:type="dxa"/>
              <w:bottom w:w="95" w:type="dxa"/>
              <w:right w:w="95" w:type="dxa"/>
            </w:tcMar>
          </w:tcPr>
          <w:p>
            <w:pPr>
              <w:spacing w:after="0" w:line="276" w:lineRule="auto"/>
            </w:pPr>
            <w:r>
              <w:rPr>
                <w:b/>
                <w:color w:val="FFFFFF"/>
                <w:sz w:val="20"/>
              </w:rPr>
              <w:t>可檢查條件</w:t>
            </w:r>
          </w:p>
        </w:tc>
      </w:tr>
      <w:tr>
        <w:trPr>
          <w:cantSplit/>
        </w:trPr>
        <w:tc>
          <w:tcPr>
            <w:tcW w:type="dxa" w:w="2208"/>
            <w:vAlign w:val="center"/>
            <w:shd w:fill="F0F5F7"/>
            <w:tcMar>
              <w:top w:w="95" w:type="dxa"/>
              <w:left w:w="95" w:type="dxa"/>
              <w:bottom w:w="95" w:type="dxa"/>
              <w:right w:w="95" w:type="dxa"/>
            </w:tcMar>
          </w:tcPr>
          <w:p>
            <w:pPr>
              <w:spacing w:after="0" w:line="276" w:lineRule="auto"/>
            </w:pPr>
            <w:r>
              <w:rPr>
                <w:b w:val="0"/>
                <w:color w:val="233846"/>
                <w:sz w:val="20"/>
              </w:rPr>
              <w:t>累積歷史可持續匯入</w:t>
            </w:r>
          </w:p>
        </w:tc>
        <w:tc>
          <w:tcPr>
            <w:tcW w:type="dxa" w:w="3265"/>
            <w:vAlign w:val="center"/>
            <w:shd w:fill="F0F5F7"/>
            <w:tcMar>
              <w:top w:w="95" w:type="dxa"/>
              <w:left w:w="95" w:type="dxa"/>
              <w:bottom w:w="95" w:type="dxa"/>
              <w:right w:w="95" w:type="dxa"/>
            </w:tcMar>
          </w:tcPr>
          <w:p>
            <w:pPr>
              <w:spacing w:after="0" w:line="276" w:lineRule="auto"/>
            </w:pPr>
            <w:r>
              <w:rPr>
                <w:b w:val="0"/>
                <w:color w:val="233846"/>
                <w:sz w:val="20"/>
              </w:rPr>
              <w:t>Chrome 擴充功能與 Takeout 匯入、事件去重及 metadata 回填</w:t>
            </w:r>
          </w:p>
        </w:tc>
        <w:tc>
          <w:tcPr>
            <w:tcW w:type="dxa" w:w="4129"/>
            <w:vAlign w:val="center"/>
            <w:shd w:fill="F0F5F7"/>
            <w:tcMar>
              <w:top w:w="95" w:type="dxa"/>
              <w:left w:w="95" w:type="dxa"/>
              <w:bottom w:w="95" w:type="dxa"/>
              <w:right w:w="95" w:type="dxa"/>
            </w:tcMar>
          </w:tcPr>
          <w:p>
            <w:pPr>
              <w:spacing w:after="0" w:line="276" w:lineRule="auto"/>
            </w:pPr>
            <w:r>
              <w:rPr>
                <w:b w:val="0"/>
                <w:color w:val="233846"/>
                <w:sz w:val="20"/>
              </w:rPr>
              <w:t>重複匯入不重複增加同一事件</w:t>
            </w:r>
          </w:p>
        </w:tc>
      </w:tr>
      <w:tr>
        <w:trPr>
          <w:cantSplit/>
        </w:trPr>
        <w:tc>
          <w:tcPr>
            <w:tcW w:type="dxa" w:w="2208"/>
            <w:vAlign w:val="center"/>
            <w:shd w:fill="FFFFFF"/>
            <w:tcMar>
              <w:top w:w="95" w:type="dxa"/>
              <w:left w:w="95" w:type="dxa"/>
              <w:bottom w:w="95" w:type="dxa"/>
              <w:right w:w="95" w:type="dxa"/>
            </w:tcMar>
          </w:tcPr>
          <w:p>
            <w:pPr>
              <w:spacing w:after="0" w:line="276" w:lineRule="auto"/>
            </w:pPr>
            <w:r>
              <w:rPr>
                <w:b w:val="0"/>
                <w:color w:val="233846"/>
                <w:sz w:val="20"/>
              </w:rPr>
              <w:t>個人洞察可追溯</w:t>
            </w:r>
          </w:p>
        </w:tc>
        <w:tc>
          <w:tcPr>
            <w:tcW w:type="dxa" w:w="3265"/>
            <w:vAlign w:val="center"/>
            <w:shd w:fill="FFFFFF"/>
            <w:tcMar>
              <w:top w:w="95" w:type="dxa"/>
              <w:left w:w="95" w:type="dxa"/>
              <w:bottom w:w="95" w:type="dxa"/>
              <w:right w:w="95" w:type="dxa"/>
            </w:tcMar>
          </w:tcPr>
          <w:p>
            <w:pPr>
              <w:spacing w:after="0" w:line="276" w:lineRule="auto"/>
            </w:pPr>
            <w:r>
              <w:rPr>
                <w:b w:val="0"/>
                <w:color w:val="233846"/>
                <w:sz w:val="20"/>
              </w:rPr>
              <w:t>Overview、Insights、時間趨勢與分類資料</w:t>
            </w:r>
          </w:p>
        </w:tc>
        <w:tc>
          <w:tcPr>
            <w:tcW w:type="dxa" w:w="4129"/>
            <w:vAlign w:val="center"/>
            <w:shd w:fill="FFFFFF"/>
            <w:tcMar>
              <w:top w:w="95" w:type="dxa"/>
              <w:left w:w="95" w:type="dxa"/>
              <w:bottom w:w="95" w:type="dxa"/>
              <w:right w:w="95" w:type="dxa"/>
            </w:tcMar>
          </w:tcPr>
          <w:p>
            <w:pPr>
              <w:spacing w:after="0" w:line="276" w:lineRule="auto"/>
            </w:pPr>
            <w:r>
              <w:rPr>
                <w:b w:val="0"/>
                <w:color w:val="233846"/>
                <w:sz w:val="20"/>
              </w:rPr>
              <w:t>估計觀看時間與實際量測有區別</w:t>
            </w:r>
          </w:p>
        </w:tc>
      </w:tr>
      <w:tr>
        <w:trPr>
          <w:cantSplit/>
        </w:trPr>
        <w:tc>
          <w:tcPr>
            <w:tcW w:type="dxa" w:w="2208"/>
            <w:vAlign w:val="center"/>
            <w:shd w:fill="F0F5F7"/>
            <w:tcMar>
              <w:top w:w="95" w:type="dxa"/>
              <w:left w:w="95" w:type="dxa"/>
              <w:bottom w:w="95" w:type="dxa"/>
              <w:right w:w="95" w:type="dxa"/>
            </w:tcMar>
          </w:tcPr>
          <w:p>
            <w:pPr>
              <w:spacing w:after="0" w:line="276" w:lineRule="auto"/>
            </w:pPr>
            <w:r>
              <w:rPr>
                <w:b w:val="0"/>
                <w:color w:val="233846"/>
                <w:sz w:val="20"/>
              </w:rPr>
              <w:t>相似內容可跨字面比較</w:t>
            </w:r>
          </w:p>
        </w:tc>
        <w:tc>
          <w:tcPr>
            <w:tcW w:type="dxa" w:w="3265"/>
            <w:vAlign w:val="center"/>
            <w:shd w:fill="F0F5F7"/>
            <w:tcMar>
              <w:top w:w="95" w:type="dxa"/>
              <w:left w:w="95" w:type="dxa"/>
              <w:bottom w:w="95" w:type="dxa"/>
              <w:right w:w="95" w:type="dxa"/>
            </w:tcMar>
          </w:tcPr>
          <w:p>
            <w:pPr>
              <w:spacing w:after="0" w:line="276" w:lineRule="auto"/>
            </w:pPr>
            <w:r>
              <w:rPr>
                <w:b w:val="0"/>
                <w:color w:val="233846"/>
                <w:sz w:val="20"/>
              </w:rPr>
              <w:t>tag embedding 與加權語意分群</w:t>
            </w:r>
          </w:p>
        </w:tc>
        <w:tc>
          <w:tcPr>
            <w:tcW w:type="dxa" w:w="4129"/>
            <w:vAlign w:val="center"/>
            <w:shd w:fill="F0F5F7"/>
            <w:tcMar>
              <w:top w:w="95" w:type="dxa"/>
              <w:left w:w="95" w:type="dxa"/>
              <w:bottom w:w="95" w:type="dxa"/>
              <w:right w:w="95" w:type="dxa"/>
            </w:tcMar>
          </w:tcPr>
          <w:p>
            <w:pPr>
              <w:spacing w:after="0" w:line="276" w:lineRule="auto"/>
            </w:pPr>
            <w:r>
              <w:rPr>
                <w:b w:val="0"/>
                <w:color w:val="233846"/>
                <w:sz w:val="20"/>
              </w:rPr>
              <w:t>相近向量可形成共同語意群</w:t>
            </w:r>
          </w:p>
        </w:tc>
      </w:tr>
      <w:tr>
        <w:trPr>
          <w:cantSplit/>
        </w:trPr>
        <w:tc>
          <w:tcPr>
            <w:tcW w:type="dxa" w:w="2208"/>
            <w:vAlign w:val="center"/>
            <w:shd w:fill="FFFFFF"/>
            <w:tcMar>
              <w:top w:w="95" w:type="dxa"/>
              <w:left w:w="95" w:type="dxa"/>
              <w:bottom w:w="95" w:type="dxa"/>
              <w:right w:w="95" w:type="dxa"/>
            </w:tcMar>
          </w:tcPr>
          <w:p>
            <w:pPr>
              <w:spacing w:after="0" w:line="276" w:lineRule="auto"/>
            </w:pPr>
            <w:r>
              <w:rPr>
                <w:b w:val="0"/>
                <w:color w:val="233846"/>
                <w:sz w:val="20"/>
              </w:rPr>
              <w:t>興趣交集不誇大整體契合</w:t>
            </w:r>
          </w:p>
        </w:tc>
        <w:tc>
          <w:tcPr>
            <w:tcW w:type="dxa" w:w="3265"/>
            <w:vAlign w:val="center"/>
            <w:shd w:fill="FFFFFF"/>
            <w:tcMar>
              <w:top w:w="95" w:type="dxa"/>
              <w:left w:w="95" w:type="dxa"/>
              <w:bottom w:w="95" w:type="dxa"/>
              <w:right w:w="95" w:type="dxa"/>
            </w:tcMar>
          </w:tcPr>
          <w:p>
            <w:pPr>
              <w:spacing w:after="0" w:line="276" w:lineRule="auto"/>
            </w:pPr>
            <w:r>
              <w:rPr>
                <w:b w:val="0"/>
                <w:color w:val="233846"/>
                <w:sz w:val="20"/>
              </w:rPr>
              <w:t>帶邊際約束的最佳傳輸</w:t>
            </w:r>
          </w:p>
        </w:tc>
        <w:tc>
          <w:tcPr>
            <w:tcW w:type="dxa" w:w="4129"/>
            <w:vAlign w:val="center"/>
            <w:shd w:fill="FFFFFF"/>
            <w:tcMar>
              <w:top w:w="95" w:type="dxa"/>
              <w:left w:w="95" w:type="dxa"/>
              <w:bottom w:w="95" w:type="dxa"/>
              <w:right w:w="95" w:type="dxa"/>
            </w:tcMar>
          </w:tcPr>
          <w:p>
            <w:pPr>
              <w:spacing w:after="0" w:line="276" w:lineRule="auto"/>
            </w:pPr>
            <w:r>
              <w:rPr>
                <w:b w:val="0"/>
                <w:color w:val="233846"/>
                <w:sz w:val="20"/>
              </w:rPr>
              <w:t>小交集不能無限制重複貢獻</w:t>
            </w:r>
          </w:p>
        </w:tc>
      </w:tr>
      <w:tr>
        <w:trPr>
          <w:cantSplit/>
        </w:trPr>
        <w:tc>
          <w:tcPr>
            <w:tcW w:type="dxa" w:w="2208"/>
            <w:vAlign w:val="center"/>
            <w:shd w:fill="F0F5F7"/>
            <w:tcMar>
              <w:top w:w="95" w:type="dxa"/>
              <w:left w:w="95" w:type="dxa"/>
              <w:bottom w:w="95" w:type="dxa"/>
              <w:right w:w="95" w:type="dxa"/>
            </w:tcMar>
          </w:tcPr>
          <w:p>
            <w:pPr>
              <w:spacing w:after="0" w:line="276" w:lineRule="auto"/>
            </w:pPr>
            <w:r>
              <w:rPr>
                <w:b w:val="0"/>
                <w:color w:val="233846"/>
                <w:sz w:val="20"/>
              </w:rPr>
              <w:t>模型失敗不破壞已完成工作</w:t>
            </w:r>
          </w:p>
        </w:tc>
        <w:tc>
          <w:tcPr>
            <w:tcW w:type="dxa" w:w="3265"/>
            <w:vAlign w:val="center"/>
            <w:shd w:fill="F0F5F7"/>
            <w:tcMar>
              <w:top w:w="95" w:type="dxa"/>
              <w:left w:w="95" w:type="dxa"/>
              <w:bottom w:w="95" w:type="dxa"/>
              <w:right w:w="95" w:type="dxa"/>
            </w:tcMar>
          </w:tcPr>
          <w:p>
            <w:pPr>
              <w:spacing w:after="0" w:line="276" w:lineRule="auto"/>
            </w:pPr>
            <w:r>
              <w:rPr>
                <w:b w:val="0"/>
                <w:color w:val="233846"/>
                <w:sz w:val="20"/>
              </w:rPr>
              <w:t>成功快取、租約、部分成功保存、退避重試</w:t>
            </w:r>
          </w:p>
        </w:tc>
        <w:tc>
          <w:tcPr>
            <w:tcW w:type="dxa" w:w="4129"/>
            <w:vAlign w:val="center"/>
            <w:shd w:fill="F0F5F7"/>
            <w:tcMar>
              <w:top w:w="95" w:type="dxa"/>
              <w:left w:w="95" w:type="dxa"/>
              <w:bottom w:w="95" w:type="dxa"/>
              <w:right w:w="95" w:type="dxa"/>
            </w:tcMar>
          </w:tcPr>
          <w:p>
            <w:pPr>
              <w:spacing w:after="0" w:line="276" w:lineRule="auto"/>
            </w:pPr>
            <w:r>
              <w:rPr>
                <w:b w:val="0"/>
                <w:color w:val="233846"/>
                <w:sz w:val="20"/>
              </w:rPr>
              <w:t>中斷後續接；過期工作不能覆蓋新結果</w:t>
            </w:r>
          </w:p>
        </w:tc>
      </w:tr>
      <w:tr>
        <w:trPr>
          <w:cantSplit/>
        </w:trPr>
        <w:tc>
          <w:tcPr>
            <w:tcW w:type="dxa" w:w="2208"/>
            <w:vAlign w:val="center"/>
            <w:shd w:fill="FFFFFF"/>
            <w:tcMar>
              <w:top w:w="95" w:type="dxa"/>
              <w:left w:w="95" w:type="dxa"/>
              <w:bottom w:w="95" w:type="dxa"/>
              <w:right w:w="95" w:type="dxa"/>
            </w:tcMar>
          </w:tcPr>
          <w:p>
            <w:pPr>
              <w:spacing w:after="0" w:line="276" w:lineRule="auto"/>
            </w:pPr>
            <w:r>
              <w:rPr>
                <w:b w:val="0"/>
                <w:color w:val="233846"/>
                <w:sz w:val="20"/>
              </w:rPr>
              <w:t>資料揭露可撤回</w:t>
            </w:r>
          </w:p>
        </w:tc>
        <w:tc>
          <w:tcPr>
            <w:tcW w:type="dxa" w:w="3265"/>
            <w:vAlign w:val="center"/>
            <w:shd w:fill="FFFFFF"/>
            <w:tcMar>
              <w:top w:w="95" w:type="dxa"/>
              <w:left w:w="95" w:type="dxa"/>
              <w:bottom w:w="95" w:type="dxa"/>
              <w:right w:w="95" w:type="dxa"/>
            </w:tcMar>
          </w:tcPr>
          <w:p>
            <w:pPr>
              <w:spacing w:after="0" w:line="276" w:lineRule="auto"/>
            </w:pPr>
            <w:r>
              <w:rPr>
                <w:b w:val="0"/>
                <w:color w:val="233846"/>
                <w:sz w:val="20"/>
              </w:rPr>
              <w:t>帳號、類別、公開性與好友關係逐次檢查</w:t>
            </w:r>
          </w:p>
        </w:tc>
        <w:tc>
          <w:tcPr>
            <w:tcW w:type="dxa" w:w="4129"/>
            <w:vAlign w:val="center"/>
            <w:shd w:fill="FFFFFF"/>
            <w:tcMar>
              <w:top w:w="95" w:type="dxa"/>
              <w:left w:w="95" w:type="dxa"/>
              <w:bottom w:w="95" w:type="dxa"/>
              <w:right w:w="95" w:type="dxa"/>
            </w:tcMar>
          </w:tcPr>
          <w:p>
            <w:pPr>
              <w:spacing w:after="0" w:line="276" w:lineRule="auto"/>
            </w:pPr>
            <w:r>
              <w:rPr>
                <w:b w:val="0"/>
                <w:color w:val="233846"/>
                <w:sz w:val="20"/>
              </w:rPr>
              <w:t>非同步計算期間撤回仍即時生效</w:t>
            </w:r>
          </w:p>
        </w:tc>
      </w:tr>
    </w:tbl>
    <w:p>
      <w:pPr>
        <w:spacing w:after="20" w:before="0" w:line="40" w:lineRule="exact"/>
      </w:pPr>
      <w:r>
        <w:rPr>
          <w:sz w:val="4"/>
        </w:rPr>
      </w:r>
    </w:p>
    <w:p>
      <w:pPr>
        <w:pStyle w:val="Heading2"/>
      </w:pPr>
      <w:r>
        <w:t>1 3 分析範圍與成果邊界</w:t>
      </w:r>
    </w:p>
    <w:p>
      <w:r>
        <w:t>目前產品包含近期整體合拍度與 v3 主題合拍度兩條表示路徑，整合於同一個 Matches 入口；兩者的輸入、資料資格與分數語意不同。本文保留此區分，不將它們描述成單一混合分數。</w:t>
      </w:r>
    </w:p>
    <w:p>
      <w:r>
        <w:t>本次沒有進行真人配對成效研究，也沒有取得人工標註的完整語意相似度資料集。分類品質、門檻校準與社交效果仍需另外驗證。技術測試驗證資料契約、計算性質、失敗處理與授權邊界。[1][2]</w:t>
      </w:r>
    </w:p>
    <w:p>
      <w:r>
        <w:br w:type="page"/>
      </w:r>
    </w:p>
    <w:p>
      <w:pPr>
        <w:pStyle w:val="Heading1"/>
      </w:pPr>
      <w:r>
        <w:t>2 系統架構與服務分工</w:t>
      </w:r>
    </w:p>
    <w:p>
      <w:pPr>
        <w:keepNext/>
        <w:jc w:val="center"/>
      </w:pPr>
      <w:r>
        <w:drawing>
          <wp:inline xmlns:a="http://schemas.openxmlformats.org/drawingml/2006/main" xmlns:pic="http://schemas.openxmlformats.org/drawingml/2006/picture">
            <wp:extent cx="5943600" cy="3330466"/>
            <wp:docPr id="1" name="Picture 1" descr="系統架構圖"/>
            <wp:cNvGraphicFramePr>
              <a:graphicFrameLocks noChangeAspect="1"/>
            </wp:cNvGraphicFramePr>
            <a:graphic>
              <a:graphicData uri="http://schemas.openxmlformats.org/drawingml/2006/picture">
                <pic:pic>
                  <pic:nvPicPr>
                    <pic:cNvPr id="0" name="architecture.png"/>
                    <pic:cNvPicPr/>
                  </pic:nvPicPr>
                  <pic:blipFill>
                    <a:blip r:embed="rId13"/>
                    <a:stretch>
                      <a:fillRect/>
                    </a:stretch>
                  </pic:blipFill>
                  <pic:spPr>
                    <a:xfrm>
                      <a:off x="0" y="0"/>
                      <a:ext cx="5943600" cy="3330466"/>
                    </a:xfrm>
                    <a:prstGeom prst="rect"/>
                  </pic:spPr>
                </pic:pic>
              </a:graphicData>
            </a:graphic>
          </wp:inline>
        </w:drawing>
      </w:r>
    </w:p>
    <w:p>
      <w:pPr>
        <w:pStyle w:val="Caption"/>
      </w:pPr>
      <w:r>
        <w:t>圖 1　實作架構將個人原始紀錄、背景語意處理與線上比較分開；分群與比較服務接收數值表示，不掛載個人資料庫。</w:t>
      </w:r>
    </w:p>
    <w:tbl>
      <w:tblPr>
        <w:tblW w:type="auto" w:w="0"/>
        <w:jc w:val="center"/>
        <w:tblLayout w:type="fixed"/>
        <w:tblLook w:firstColumn="1" w:firstRow="1" w:lastColumn="0" w:lastRow="0" w:noHBand="0" w:noVBand="1" w:val="04A0"/>
      </w:tblPr>
      <w:tblGrid>
        <w:gridCol w:w="2208"/>
        <w:gridCol w:w="3265"/>
        <w:gridCol w:w="4129"/>
      </w:tblGrid>
      <w:tr>
        <w:trPr>
          <w:cantSplit/>
          <w:tblHeader/>
        </w:trPr>
        <w:tc>
          <w:tcPr>
            <w:tcW w:type="dxa" w:w="2208"/>
            <w:vAlign w:val="center"/>
            <w:shd w:fill="183B50"/>
            <w:tcMar>
              <w:top w:w="95" w:type="dxa"/>
              <w:left w:w="95" w:type="dxa"/>
              <w:bottom w:w="95" w:type="dxa"/>
              <w:right w:w="95" w:type="dxa"/>
            </w:tcMar>
          </w:tcPr>
          <w:p>
            <w:pPr>
              <w:spacing w:after="0" w:line="276" w:lineRule="auto"/>
            </w:pPr>
            <w:r>
              <w:rPr>
                <w:b/>
                <w:color w:val="FFFFFF"/>
                <w:sz w:val="20"/>
              </w:rPr>
              <w:t>層級</w:t>
            </w:r>
          </w:p>
        </w:tc>
        <w:tc>
          <w:tcPr>
            <w:tcW w:type="dxa" w:w="3265"/>
            <w:vAlign w:val="center"/>
            <w:shd w:fill="183B50"/>
            <w:tcMar>
              <w:top w:w="95" w:type="dxa"/>
              <w:left w:w="95" w:type="dxa"/>
              <w:bottom w:w="95" w:type="dxa"/>
              <w:right w:w="95" w:type="dxa"/>
            </w:tcMar>
          </w:tcPr>
          <w:p>
            <w:pPr>
              <w:spacing w:after="0" w:line="276" w:lineRule="auto"/>
            </w:pPr>
            <w:r>
              <w:rPr>
                <w:b/>
                <w:color w:val="FFFFFF"/>
                <w:sz w:val="20"/>
              </w:rPr>
              <w:t>元件與技術</w:t>
            </w:r>
          </w:p>
        </w:tc>
        <w:tc>
          <w:tcPr>
            <w:tcW w:type="dxa" w:w="4129"/>
            <w:vAlign w:val="center"/>
            <w:shd w:fill="183B50"/>
            <w:tcMar>
              <w:top w:w="95" w:type="dxa"/>
              <w:left w:w="95" w:type="dxa"/>
              <w:bottom w:w="95" w:type="dxa"/>
              <w:right w:w="95" w:type="dxa"/>
            </w:tcMar>
          </w:tcPr>
          <w:p>
            <w:pPr>
              <w:spacing w:after="0" w:line="276" w:lineRule="auto"/>
            </w:pPr>
            <w:r>
              <w:rPr>
                <w:b/>
                <w:color w:val="FFFFFF"/>
                <w:sz w:val="20"/>
              </w:rPr>
              <w:t>責任與設計理由</w:t>
            </w:r>
          </w:p>
        </w:tc>
      </w:tr>
      <w:tr>
        <w:trPr>
          <w:cantSplit/>
        </w:trPr>
        <w:tc>
          <w:tcPr>
            <w:tcW w:type="dxa" w:w="2208"/>
            <w:vAlign w:val="center"/>
            <w:shd w:fill="F0F5F7"/>
            <w:tcMar>
              <w:top w:w="95" w:type="dxa"/>
              <w:left w:w="95" w:type="dxa"/>
              <w:bottom w:w="95" w:type="dxa"/>
              <w:right w:w="95" w:type="dxa"/>
            </w:tcMar>
          </w:tcPr>
          <w:p>
            <w:pPr>
              <w:spacing w:after="0" w:line="276" w:lineRule="auto"/>
            </w:pPr>
            <w:r>
              <w:rPr>
                <w:b w:val="0"/>
                <w:color w:val="233846"/>
                <w:sz w:val="20"/>
              </w:rPr>
              <w:t>互動層</w:t>
            </w:r>
          </w:p>
        </w:tc>
        <w:tc>
          <w:tcPr>
            <w:tcW w:type="dxa" w:w="3265"/>
            <w:vAlign w:val="center"/>
            <w:shd w:fill="F0F5F7"/>
            <w:tcMar>
              <w:top w:w="95" w:type="dxa"/>
              <w:left w:w="95" w:type="dxa"/>
              <w:bottom w:w="95" w:type="dxa"/>
              <w:right w:w="95" w:type="dxa"/>
            </w:tcMar>
          </w:tcPr>
          <w:p>
            <w:pPr>
              <w:spacing w:after="0" w:line="276" w:lineRule="auto"/>
            </w:pPr>
            <w:r>
              <w:rPr>
                <w:b w:val="0"/>
                <w:color w:val="233846"/>
                <w:sz w:val="20"/>
              </w:rPr>
              <w:t>HTML、CSS、JavaScript、SVG</w:t>
            </w:r>
          </w:p>
        </w:tc>
        <w:tc>
          <w:tcPr>
            <w:tcW w:type="dxa" w:w="4129"/>
            <w:vAlign w:val="center"/>
            <w:shd w:fill="F0F5F7"/>
            <w:tcMar>
              <w:top w:w="95" w:type="dxa"/>
              <w:left w:w="95" w:type="dxa"/>
              <w:bottom w:w="95" w:type="dxa"/>
              <w:right w:w="95" w:type="dxa"/>
            </w:tcMar>
          </w:tcPr>
          <w:p>
            <w:pPr>
              <w:spacing w:after="0" w:line="276" w:lineRule="auto"/>
            </w:pPr>
            <w:r>
              <w:rPr>
                <w:b w:val="0"/>
                <w:color w:val="233846"/>
                <w:sz w:val="20"/>
              </w:rPr>
              <w:t>呈現洞察、處理狀態、具名成員與好友操作</w:t>
            </w:r>
          </w:p>
        </w:tc>
      </w:tr>
      <w:tr>
        <w:trPr>
          <w:cantSplit/>
        </w:trPr>
        <w:tc>
          <w:tcPr>
            <w:tcW w:type="dxa" w:w="2208"/>
            <w:vAlign w:val="center"/>
            <w:shd w:fill="FFFFFF"/>
            <w:tcMar>
              <w:top w:w="95" w:type="dxa"/>
              <w:left w:w="95" w:type="dxa"/>
              <w:bottom w:w="95" w:type="dxa"/>
              <w:right w:w="95" w:type="dxa"/>
            </w:tcMar>
          </w:tcPr>
          <w:p>
            <w:pPr>
              <w:spacing w:after="0" w:line="276" w:lineRule="auto"/>
            </w:pPr>
            <w:r>
              <w:rPr>
                <w:b w:val="0"/>
                <w:color w:val="233846"/>
                <w:sz w:val="20"/>
              </w:rPr>
              <w:t>應用層</w:t>
            </w:r>
          </w:p>
        </w:tc>
        <w:tc>
          <w:tcPr>
            <w:tcW w:type="dxa" w:w="3265"/>
            <w:vAlign w:val="center"/>
            <w:shd w:fill="FFFFFF"/>
            <w:tcMar>
              <w:top w:w="95" w:type="dxa"/>
              <w:left w:w="95" w:type="dxa"/>
              <w:bottom w:w="95" w:type="dxa"/>
              <w:right w:w="95" w:type="dxa"/>
            </w:tcMar>
          </w:tcPr>
          <w:p>
            <w:pPr>
              <w:spacing w:after="0" w:line="276" w:lineRule="auto"/>
            </w:pPr>
            <w:r>
              <w:rPr>
                <w:b w:val="0"/>
                <w:color w:val="233846"/>
                <w:sz w:val="20"/>
              </w:rPr>
              <w:t>TypeScript、Node.js、Hono</w:t>
            </w:r>
          </w:p>
        </w:tc>
        <w:tc>
          <w:tcPr>
            <w:tcW w:type="dxa" w:w="4129"/>
            <w:vAlign w:val="center"/>
            <w:shd w:fill="FFFFFF"/>
            <w:tcMar>
              <w:top w:w="95" w:type="dxa"/>
              <w:left w:w="95" w:type="dxa"/>
              <w:bottom w:w="95" w:type="dxa"/>
              <w:right w:w="95" w:type="dxa"/>
            </w:tcMar>
          </w:tcPr>
          <w:p>
            <w:pPr>
              <w:spacing w:after="0" w:line="276" w:lineRule="auto"/>
            </w:pPr>
            <w:r>
              <w:rPr>
                <w:b w:val="0"/>
                <w:color w:val="233846"/>
                <w:sz w:val="20"/>
              </w:rPr>
              <w:t>Google 登入、請求驗證、聚合讀取、配對與授權</w:t>
            </w:r>
          </w:p>
        </w:tc>
      </w:tr>
      <w:tr>
        <w:trPr>
          <w:cantSplit/>
        </w:trPr>
        <w:tc>
          <w:tcPr>
            <w:tcW w:type="dxa" w:w="2208"/>
            <w:vAlign w:val="center"/>
            <w:shd w:fill="F0F5F7"/>
            <w:tcMar>
              <w:top w:w="95" w:type="dxa"/>
              <w:left w:w="95" w:type="dxa"/>
              <w:bottom w:w="95" w:type="dxa"/>
              <w:right w:w="95" w:type="dxa"/>
            </w:tcMar>
          </w:tcPr>
          <w:p>
            <w:pPr>
              <w:spacing w:after="0" w:line="276" w:lineRule="auto"/>
            </w:pPr>
            <w:r>
              <w:rPr>
                <w:b w:val="0"/>
                <w:color w:val="233846"/>
                <w:sz w:val="20"/>
              </w:rPr>
              <w:t>匯入層</w:t>
            </w:r>
          </w:p>
        </w:tc>
        <w:tc>
          <w:tcPr>
            <w:tcW w:type="dxa" w:w="3265"/>
            <w:vAlign w:val="center"/>
            <w:shd w:fill="F0F5F7"/>
            <w:tcMar>
              <w:top w:w="95" w:type="dxa"/>
              <w:left w:w="95" w:type="dxa"/>
              <w:bottom w:w="95" w:type="dxa"/>
              <w:right w:w="95" w:type="dxa"/>
            </w:tcMar>
          </w:tcPr>
          <w:p>
            <w:pPr>
              <w:spacing w:after="0" w:line="276" w:lineRule="auto"/>
            </w:pPr>
            <w:r>
              <w:rPr>
                <w:b w:val="0"/>
                <w:color w:val="233846"/>
                <w:sz w:val="20"/>
              </w:rPr>
              <w:t>ingest service、extension、Takeout parser</w:t>
            </w:r>
          </w:p>
        </w:tc>
        <w:tc>
          <w:tcPr>
            <w:tcW w:type="dxa" w:w="4129"/>
            <w:vAlign w:val="center"/>
            <w:shd w:fill="F0F5F7"/>
            <w:tcMar>
              <w:top w:w="95" w:type="dxa"/>
              <w:left w:w="95" w:type="dxa"/>
              <w:bottom w:w="95" w:type="dxa"/>
              <w:right w:w="95" w:type="dxa"/>
            </w:tcMar>
          </w:tcPr>
          <w:p>
            <w:pPr>
              <w:spacing w:after="0" w:line="276" w:lineRule="auto"/>
            </w:pPr>
            <w:r>
              <w:rPr>
                <w:b w:val="0"/>
                <w:color w:val="233846"/>
                <w:sz w:val="20"/>
              </w:rPr>
              <w:t>將多來源輸入正規化為事件及影片資料</w:t>
            </w:r>
          </w:p>
        </w:tc>
      </w:tr>
      <w:tr>
        <w:trPr>
          <w:cantSplit/>
        </w:trPr>
        <w:tc>
          <w:tcPr>
            <w:tcW w:type="dxa" w:w="2208"/>
            <w:vAlign w:val="center"/>
            <w:shd w:fill="FFFFFF"/>
            <w:tcMar>
              <w:top w:w="95" w:type="dxa"/>
              <w:left w:w="95" w:type="dxa"/>
              <w:bottom w:w="95" w:type="dxa"/>
              <w:right w:w="95" w:type="dxa"/>
            </w:tcMar>
          </w:tcPr>
          <w:p>
            <w:pPr>
              <w:spacing w:after="0" w:line="276" w:lineRule="auto"/>
            </w:pPr>
            <w:r>
              <w:rPr>
                <w:b w:val="0"/>
                <w:color w:val="233846"/>
                <w:sz w:val="20"/>
              </w:rPr>
              <w:t>資料層</w:t>
            </w:r>
          </w:p>
        </w:tc>
        <w:tc>
          <w:tcPr>
            <w:tcW w:type="dxa" w:w="3265"/>
            <w:vAlign w:val="center"/>
            <w:shd w:fill="FFFFFF"/>
            <w:tcMar>
              <w:top w:w="95" w:type="dxa"/>
              <w:left w:w="95" w:type="dxa"/>
              <w:bottom w:w="95" w:type="dxa"/>
              <w:right w:w="95" w:type="dxa"/>
            </w:tcMar>
          </w:tcPr>
          <w:p>
            <w:pPr>
              <w:spacing w:after="0" w:line="276" w:lineRule="auto"/>
            </w:pPr>
            <w:r>
              <w:rPr>
                <w:b w:val="0"/>
                <w:color w:val="233846"/>
                <w:sz w:val="20"/>
              </w:rPr>
              <w:t>個人 SQLite 與 registry SQLite</w:t>
            </w:r>
          </w:p>
        </w:tc>
        <w:tc>
          <w:tcPr>
            <w:tcW w:type="dxa" w:w="4129"/>
            <w:vAlign w:val="center"/>
            <w:shd w:fill="FFFFFF"/>
            <w:tcMar>
              <w:top w:w="95" w:type="dxa"/>
              <w:left w:w="95" w:type="dxa"/>
              <w:bottom w:w="95" w:type="dxa"/>
              <w:right w:w="95" w:type="dxa"/>
            </w:tcMar>
          </w:tcPr>
          <w:p>
            <w:pPr>
              <w:spacing w:after="0" w:line="276" w:lineRule="auto"/>
            </w:pPr>
            <w:r>
              <w:rPr>
                <w:b w:val="0"/>
                <w:color w:val="233846"/>
                <w:sz w:val="20"/>
              </w:rPr>
              <w:t>個人歷史分庫；帳號、關係、作業與派生表示集中管理</w:t>
            </w:r>
          </w:p>
        </w:tc>
      </w:tr>
      <w:tr>
        <w:trPr>
          <w:cantSplit/>
        </w:trPr>
        <w:tc>
          <w:tcPr>
            <w:tcW w:type="dxa" w:w="2208"/>
            <w:vAlign w:val="center"/>
            <w:shd w:fill="F0F5F7"/>
            <w:tcMar>
              <w:top w:w="95" w:type="dxa"/>
              <w:left w:w="95" w:type="dxa"/>
              <w:bottom w:w="95" w:type="dxa"/>
              <w:right w:w="95" w:type="dxa"/>
            </w:tcMar>
          </w:tcPr>
          <w:p>
            <w:pPr>
              <w:spacing w:after="0" w:line="276" w:lineRule="auto"/>
            </w:pPr>
            <w:r>
              <w:rPr>
                <w:b w:val="0"/>
                <w:color w:val="233846"/>
                <w:sz w:val="20"/>
              </w:rPr>
              <w:t>背景層</w:t>
            </w:r>
          </w:p>
        </w:tc>
        <w:tc>
          <w:tcPr>
            <w:tcW w:type="dxa" w:w="3265"/>
            <w:vAlign w:val="center"/>
            <w:shd w:fill="F0F5F7"/>
            <w:tcMar>
              <w:top w:w="95" w:type="dxa"/>
              <w:left w:w="95" w:type="dxa"/>
              <w:bottom w:w="95" w:type="dxa"/>
              <w:right w:w="95" w:type="dxa"/>
            </w:tcMar>
          </w:tcPr>
          <w:p>
            <w:pPr>
              <w:spacing w:after="0" w:line="276" w:lineRule="auto"/>
            </w:pPr>
            <w:r>
              <w:rPr>
                <w:b w:val="0"/>
                <w:color w:val="233846"/>
                <w:sz w:val="20"/>
              </w:rPr>
              <w:t>metadata worker、matching v3 worker</w:t>
            </w:r>
          </w:p>
        </w:tc>
        <w:tc>
          <w:tcPr>
            <w:tcW w:type="dxa" w:w="4129"/>
            <w:vAlign w:val="center"/>
            <w:shd w:fill="F0F5F7"/>
            <w:tcMar>
              <w:top w:w="95" w:type="dxa"/>
              <w:left w:w="95" w:type="dxa"/>
              <w:bottom w:w="95" w:type="dxa"/>
              <w:right w:w="95" w:type="dxa"/>
            </w:tcMar>
          </w:tcPr>
          <w:p>
            <w:pPr>
              <w:spacing w:after="0" w:line="276" w:lineRule="auto"/>
            </w:pPr>
            <w:r>
              <w:rPr>
                <w:b w:val="0"/>
                <w:color w:val="233846"/>
                <w:sz w:val="20"/>
              </w:rPr>
              <w:t>metadata、分類、embedding、工作恢復與 profile 建立</w:t>
            </w:r>
          </w:p>
        </w:tc>
      </w:tr>
      <w:tr>
        <w:trPr>
          <w:cantSplit/>
        </w:trPr>
        <w:tc>
          <w:tcPr>
            <w:tcW w:type="dxa" w:w="2208"/>
            <w:vAlign w:val="center"/>
            <w:shd w:fill="FFFFFF"/>
            <w:tcMar>
              <w:top w:w="95" w:type="dxa"/>
              <w:left w:w="95" w:type="dxa"/>
              <w:bottom w:w="95" w:type="dxa"/>
              <w:right w:w="95" w:type="dxa"/>
            </w:tcMar>
          </w:tcPr>
          <w:p>
            <w:pPr>
              <w:spacing w:after="0" w:line="276" w:lineRule="auto"/>
            </w:pPr>
            <w:r>
              <w:rPr>
                <w:b w:val="0"/>
                <w:color w:val="233846"/>
                <w:sz w:val="20"/>
              </w:rPr>
              <w:t>AI 層</w:t>
            </w:r>
          </w:p>
        </w:tc>
        <w:tc>
          <w:tcPr>
            <w:tcW w:type="dxa" w:w="3265"/>
            <w:vAlign w:val="center"/>
            <w:shd w:fill="FFFFFF"/>
            <w:tcMar>
              <w:top w:w="95" w:type="dxa"/>
              <w:left w:w="95" w:type="dxa"/>
              <w:bottom w:w="95" w:type="dxa"/>
              <w:right w:w="95" w:type="dxa"/>
            </w:tcMar>
          </w:tcPr>
          <w:p>
            <w:pPr>
              <w:spacing w:after="0" w:line="276" w:lineRule="auto"/>
            </w:pPr>
            <w:r>
              <w:rPr>
                <w:b w:val="0"/>
                <w:color w:val="233846"/>
                <w:sz w:val="20"/>
              </w:rPr>
              <w:t>OpenAI 分類、Gemini embedding</w:t>
            </w:r>
          </w:p>
        </w:tc>
        <w:tc>
          <w:tcPr>
            <w:tcW w:type="dxa" w:w="4129"/>
            <w:vAlign w:val="center"/>
            <w:shd w:fill="FFFFFF"/>
            <w:tcMar>
              <w:top w:w="95" w:type="dxa"/>
              <w:left w:w="95" w:type="dxa"/>
              <w:bottom w:w="95" w:type="dxa"/>
              <w:right w:w="95" w:type="dxa"/>
            </w:tcMar>
          </w:tcPr>
          <w:p>
            <w:pPr>
              <w:spacing w:after="0" w:line="276" w:lineRule="auto"/>
            </w:pPr>
            <w:r>
              <w:rPr>
                <w:b w:val="0"/>
                <w:color w:val="233846"/>
                <w:sz w:val="20"/>
              </w:rPr>
              <w:t>分別完成語意標籤判讀與可比較的向量表示</w:t>
            </w:r>
          </w:p>
        </w:tc>
      </w:tr>
      <w:tr>
        <w:trPr>
          <w:cantSplit/>
        </w:trPr>
        <w:tc>
          <w:tcPr>
            <w:tcW w:type="dxa" w:w="2208"/>
            <w:vAlign w:val="center"/>
            <w:shd w:fill="F0F5F7"/>
            <w:tcMar>
              <w:top w:w="95" w:type="dxa"/>
              <w:left w:w="95" w:type="dxa"/>
              <w:bottom w:w="95" w:type="dxa"/>
              <w:right w:w="95" w:type="dxa"/>
            </w:tcMar>
          </w:tcPr>
          <w:p>
            <w:pPr>
              <w:spacing w:after="0" w:line="276" w:lineRule="auto"/>
            </w:pPr>
            <w:r>
              <w:rPr>
                <w:b w:val="0"/>
                <w:color w:val="233846"/>
                <w:sz w:val="20"/>
              </w:rPr>
              <w:t>數值層</w:t>
            </w:r>
          </w:p>
        </w:tc>
        <w:tc>
          <w:tcPr>
            <w:tcW w:type="dxa" w:w="3265"/>
            <w:vAlign w:val="center"/>
            <w:shd w:fill="F0F5F7"/>
            <w:tcMar>
              <w:top w:w="95" w:type="dxa"/>
              <w:left w:w="95" w:type="dxa"/>
              <w:bottom w:w="95" w:type="dxa"/>
              <w:right w:w="95" w:type="dxa"/>
            </w:tcMar>
          </w:tcPr>
          <w:p>
            <w:pPr>
              <w:spacing w:after="0" w:line="276" w:lineRule="auto"/>
            </w:pPr>
            <w:r>
              <w:rPr>
                <w:b w:val="0"/>
                <w:color w:val="233846"/>
                <w:sz w:val="20"/>
              </w:rPr>
              <w:t>Python、NumPy、scikit-learn、SciPy</w:t>
            </w:r>
          </w:p>
        </w:tc>
        <w:tc>
          <w:tcPr>
            <w:tcW w:type="dxa" w:w="4129"/>
            <w:vAlign w:val="center"/>
            <w:shd w:fill="F0F5F7"/>
            <w:tcMar>
              <w:top w:w="95" w:type="dxa"/>
              <w:left w:w="95" w:type="dxa"/>
              <w:bottom w:w="95" w:type="dxa"/>
              <w:right w:w="95" w:type="dxa"/>
            </w:tcMar>
          </w:tcPr>
          <w:p>
            <w:pPr>
              <w:spacing w:after="0" w:line="276" w:lineRule="auto"/>
            </w:pPr>
            <w:r>
              <w:rPr>
                <w:b w:val="0"/>
                <w:color w:val="233846"/>
                <w:sz w:val="20"/>
              </w:rPr>
              <w:t>加權 DBSCAN 與最佳傳輸，分群／比較分開執行</w:t>
            </w:r>
          </w:p>
        </w:tc>
      </w:tr>
    </w:tbl>
    <w:p>
      <w:pPr>
        <w:spacing w:after="20" w:before="0" w:line="40" w:lineRule="exact"/>
      </w:pPr>
      <w:r>
        <w:rPr>
          <w:sz w:val="4"/>
        </w:rPr>
      </w:r>
    </w:p>
    <w:p>
      <w:r>
        <w:t>Docker Compose 定義服務邊界，對外入口由既有代理／Tunnel 提供。分群容器與比較容器分離，避免長時間分群占住唯一的比較服務；它們仍會競爭宿主機資源，並不等於具備自動水平擴展。SQLite 分庫有利於每帳號隔離與生命週期管理，但應用程序及管理者仍可存取多個資料庫，不能視為作業系統層的強隔離。[3]</w:t>
      </w:r>
    </w:p>
    <w:p>
      <w:r>
        <w:br w:type="page"/>
      </w:r>
    </w:p>
    <w:p>
      <w:pPr>
        <w:pStyle w:val="Heading1"/>
      </w:pPr>
      <w:r>
        <w:t>3 資料模型與聚合流程</w:t>
      </w:r>
    </w:p>
    <w:p>
      <w:pPr>
        <w:pStyle w:val="Heading2"/>
      </w:pPr>
      <w:r>
        <w:t>3 1 正規化事件與來源精度</w:t>
      </w:r>
    </w:p>
    <w:p>
      <w:r>
        <w:t>匯入流程保留活動、影片、頻道、觀看事件與進度資料的不同角色。影片 ID 識別內容，事件識別某一次觀看；因此同一影片可以有多次事件。對來源只提供日期的資料，保留 day precision；取得較精確事件時，尋找同 identity、同台北日期的 placeholder，以避免把精度提升誤當成新增觀看。</w:t>
      </w:r>
    </w:p>
    <w:p>
      <w:r>
        <w:t>來源 identity 依可用資料選用影片 ID、有效 URL 或原始標題。匯入使用 transaction 與去重集合，降低重送造成的重複資料；交易性寫入並不消除逐列查詢成本，相關索引風險於第 10 節量化。[4]</w:t>
      </w:r>
    </w:p>
    <w:p>
      <w:pPr>
        <w:pStyle w:val="Heading2"/>
      </w:pPr>
      <w:r>
        <w:t>3 2 觀看時間推估與可重用中間表</w:t>
      </w:r>
    </w:p>
    <w:p>
      <w:r>
        <w:t>系統將觀看與搜尋活動放入時間軸，透過 SQL window function 的 LEAD 尋找下一筆活動，並結合實際量測秒數、鄰近量測、事件精度、影片長度及播放進度，產生推估觀看秒數。不同資料來源有不同可信度，估計值不能當成精確的播放紀錄。</w:t>
      </w:r>
    </w:p>
    <w:p>
      <w:r>
        <w:t>為避免 Dashboard、頻道與 Crystal 各自重做相同時間軸推估，Repository 建立每連線的 TEMP 推估事件表與索引。資料 revision 或時效改變時重新驗證／建立，後續聚合可共用此中間結果。此物化中間表可供目前的多個查詢重用；按日增量統計及 dirty-user 輪詢則列為後續改善。[4][5]</w:t>
      </w:r>
    </w:p>
    <w:p>
      <w:pPr>
        <w:pStyle w:val="Heading2"/>
      </w:pPr>
      <w:r>
        <w:t>3 3 三種表示的不同用途</w:t>
      </w:r>
    </w:p>
    <w:tbl>
      <w:tblPr>
        <w:tblW w:type="auto" w:w="0"/>
        <w:jc w:val="center"/>
        <w:tblLayout w:type="fixed"/>
        <w:tblLook w:firstColumn="1" w:firstRow="1" w:lastColumn="0" w:lastRow="0" w:noHBand="0" w:noVBand="1" w:val="04A0"/>
      </w:tblPr>
      <w:tblGrid>
        <w:gridCol w:w="2208"/>
        <w:gridCol w:w="3265"/>
        <w:gridCol w:w="4129"/>
      </w:tblGrid>
      <w:tr>
        <w:trPr>
          <w:cantSplit/>
          <w:tblHeader/>
        </w:trPr>
        <w:tc>
          <w:tcPr>
            <w:tcW w:type="dxa" w:w="2208"/>
            <w:vAlign w:val="center"/>
            <w:shd w:fill="183B50"/>
            <w:tcMar>
              <w:top w:w="95" w:type="dxa"/>
              <w:left w:w="95" w:type="dxa"/>
              <w:bottom w:w="95" w:type="dxa"/>
              <w:right w:w="95" w:type="dxa"/>
            </w:tcMar>
          </w:tcPr>
          <w:p>
            <w:pPr>
              <w:spacing w:after="0" w:line="276" w:lineRule="auto"/>
            </w:pPr>
            <w:r>
              <w:rPr>
                <w:b/>
                <w:color w:val="FFFFFF"/>
                <w:sz w:val="20"/>
              </w:rPr>
              <w:t>表示</w:t>
            </w:r>
          </w:p>
        </w:tc>
        <w:tc>
          <w:tcPr>
            <w:tcW w:type="dxa" w:w="3265"/>
            <w:vAlign w:val="center"/>
            <w:shd w:fill="183B50"/>
            <w:tcMar>
              <w:top w:w="95" w:type="dxa"/>
              <w:left w:w="95" w:type="dxa"/>
              <w:bottom w:w="95" w:type="dxa"/>
              <w:right w:w="95" w:type="dxa"/>
            </w:tcMar>
          </w:tcPr>
          <w:p>
            <w:pPr>
              <w:spacing w:after="0" w:line="276" w:lineRule="auto"/>
            </w:pPr>
            <w:r>
              <w:rPr>
                <w:b/>
                <w:color w:val="FFFFFF"/>
                <w:sz w:val="20"/>
              </w:rPr>
              <w:t>主要粒度</w:t>
            </w:r>
          </w:p>
        </w:tc>
        <w:tc>
          <w:tcPr>
            <w:tcW w:type="dxa" w:w="4129"/>
            <w:vAlign w:val="center"/>
            <w:shd w:fill="183B50"/>
            <w:tcMar>
              <w:top w:w="95" w:type="dxa"/>
              <w:left w:w="95" w:type="dxa"/>
              <w:bottom w:w="95" w:type="dxa"/>
              <w:right w:w="95" w:type="dxa"/>
            </w:tcMar>
          </w:tcPr>
          <w:p>
            <w:pPr>
              <w:spacing w:after="0" w:line="276" w:lineRule="auto"/>
            </w:pPr>
            <w:r>
              <w:rPr>
                <w:b/>
                <w:color w:val="FFFFFF"/>
                <w:sz w:val="20"/>
              </w:rPr>
              <w:t>用途與邊界</w:t>
            </w:r>
          </w:p>
        </w:tc>
      </w:tr>
      <w:tr>
        <w:trPr>
          <w:cantSplit/>
        </w:trPr>
        <w:tc>
          <w:tcPr>
            <w:tcW w:type="dxa" w:w="2208"/>
            <w:vAlign w:val="center"/>
            <w:shd w:fill="F0F5F7"/>
            <w:tcMar>
              <w:top w:w="95" w:type="dxa"/>
              <w:left w:w="95" w:type="dxa"/>
              <w:bottom w:w="95" w:type="dxa"/>
              <w:right w:w="95" w:type="dxa"/>
            </w:tcMar>
          </w:tcPr>
          <w:p>
            <w:pPr>
              <w:spacing w:after="0" w:line="276" w:lineRule="auto"/>
            </w:pPr>
            <w:r>
              <w:rPr>
                <w:b w:val="0"/>
                <w:color w:val="233846"/>
                <w:sz w:val="20"/>
              </w:rPr>
              <w:t>個人歷史與洞察</w:t>
            </w:r>
          </w:p>
        </w:tc>
        <w:tc>
          <w:tcPr>
            <w:tcW w:type="dxa" w:w="3265"/>
            <w:vAlign w:val="center"/>
            <w:shd w:fill="F0F5F7"/>
            <w:tcMar>
              <w:top w:w="95" w:type="dxa"/>
              <w:left w:w="95" w:type="dxa"/>
              <w:bottom w:w="95" w:type="dxa"/>
              <w:right w:w="95" w:type="dxa"/>
            </w:tcMar>
          </w:tcPr>
          <w:p>
            <w:pPr>
              <w:spacing w:after="0" w:line="276" w:lineRule="auto"/>
            </w:pPr>
            <w:r>
              <w:rPr>
                <w:b w:val="0"/>
                <w:color w:val="233846"/>
                <w:sz w:val="20"/>
              </w:rPr>
              <w:t>事件、時間、影片、頻道、個人分類</w:t>
            </w:r>
          </w:p>
        </w:tc>
        <w:tc>
          <w:tcPr>
            <w:tcW w:type="dxa" w:w="4129"/>
            <w:vAlign w:val="center"/>
            <w:shd w:fill="F0F5F7"/>
            <w:tcMar>
              <w:top w:w="95" w:type="dxa"/>
              <w:left w:w="95" w:type="dxa"/>
              <w:bottom w:w="95" w:type="dxa"/>
              <w:right w:w="95" w:type="dxa"/>
            </w:tcMar>
          </w:tcPr>
          <w:p>
            <w:pPr>
              <w:spacing w:after="0" w:line="276" w:lineRule="auto"/>
            </w:pPr>
            <w:r>
              <w:rPr>
                <w:b w:val="0"/>
                <w:color w:val="233846"/>
                <w:sz w:val="20"/>
              </w:rPr>
              <w:t>支援本人回顧與聚合；細節受頁面授權保護</w:t>
            </w:r>
          </w:p>
        </w:tc>
      </w:tr>
      <w:tr>
        <w:trPr>
          <w:cantSplit/>
        </w:trPr>
        <w:tc>
          <w:tcPr>
            <w:tcW w:type="dxa" w:w="2208"/>
            <w:vAlign w:val="center"/>
            <w:shd w:fill="FFFFFF"/>
            <w:tcMar>
              <w:top w:w="95" w:type="dxa"/>
              <w:left w:w="95" w:type="dxa"/>
              <w:bottom w:w="95" w:type="dxa"/>
              <w:right w:w="95" w:type="dxa"/>
            </w:tcMar>
          </w:tcPr>
          <w:p>
            <w:pPr>
              <w:spacing w:after="0" w:line="276" w:lineRule="auto"/>
            </w:pPr>
            <w:r>
              <w:rPr>
                <w:b w:val="0"/>
                <w:color w:val="233846"/>
                <w:sz w:val="20"/>
              </w:rPr>
              <w:t>近期整體配對表示</w:t>
            </w:r>
          </w:p>
        </w:tc>
        <w:tc>
          <w:tcPr>
            <w:tcW w:type="dxa" w:w="3265"/>
            <w:vAlign w:val="center"/>
            <w:shd w:fill="FFFFFF"/>
            <w:tcMar>
              <w:top w:w="95" w:type="dxa"/>
              <w:left w:w="95" w:type="dxa"/>
              <w:bottom w:w="95" w:type="dxa"/>
              <w:right w:w="95" w:type="dxa"/>
            </w:tcMar>
          </w:tcPr>
          <w:p>
            <w:pPr>
              <w:spacing w:after="0" w:line="276" w:lineRule="auto"/>
            </w:pPr>
            <w:r>
              <w:rPr>
                <w:b w:val="0"/>
                <w:color w:val="233846"/>
                <w:sz w:val="20"/>
              </w:rPr>
              <w:t>最近 90 天的主題與頻道聚合</w:t>
            </w:r>
          </w:p>
        </w:tc>
        <w:tc>
          <w:tcPr>
            <w:tcW w:type="dxa" w:w="4129"/>
            <w:vAlign w:val="center"/>
            <w:shd w:fill="FFFFFF"/>
            <w:tcMar>
              <w:top w:w="95" w:type="dxa"/>
              <w:left w:w="95" w:type="dxa"/>
              <w:bottom w:w="95" w:type="dxa"/>
              <w:right w:w="95" w:type="dxa"/>
            </w:tcMar>
          </w:tcPr>
          <w:p>
            <w:pPr>
              <w:spacing w:after="0" w:line="276" w:lineRule="auto"/>
            </w:pPr>
            <w:r>
              <w:rPr>
                <w:b w:val="0"/>
                <w:color w:val="233846"/>
                <w:sz w:val="20"/>
              </w:rPr>
              <w:t>提供整體合拍度及既有 Blend 流程</w:t>
            </w:r>
          </w:p>
        </w:tc>
      </w:tr>
      <w:tr>
        <w:trPr>
          <w:cantSplit/>
        </w:trPr>
        <w:tc>
          <w:tcPr>
            <w:tcW w:type="dxa" w:w="2208"/>
            <w:vAlign w:val="center"/>
            <w:shd w:fill="F0F5F7"/>
            <w:tcMar>
              <w:top w:w="95" w:type="dxa"/>
              <w:left w:w="95" w:type="dxa"/>
              <w:bottom w:w="95" w:type="dxa"/>
              <w:right w:w="95" w:type="dxa"/>
            </w:tcMar>
          </w:tcPr>
          <w:p>
            <w:pPr>
              <w:spacing w:after="0" w:line="276" w:lineRule="auto"/>
            </w:pPr>
            <w:r>
              <w:rPr>
                <w:b w:val="0"/>
                <w:color w:val="233846"/>
                <w:sz w:val="20"/>
              </w:rPr>
              <w:t>v3 興趣分布</w:t>
            </w:r>
          </w:p>
        </w:tc>
        <w:tc>
          <w:tcPr>
            <w:tcW w:type="dxa" w:w="3265"/>
            <w:vAlign w:val="center"/>
            <w:shd w:fill="F0F5F7"/>
            <w:tcMar>
              <w:top w:w="95" w:type="dxa"/>
              <w:left w:w="95" w:type="dxa"/>
              <w:bottom w:w="95" w:type="dxa"/>
              <w:right w:w="95" w:type="dxa"/>
            </w:tcMar>
          </w:tcPr>
          <w:p>
            <w:pPr>
              <w:spacing w:after="0" w:line="276" w:lineRule="auto"/>
            </w:pPr>
            <w:r>
              <w:rPr>
                <w:b w:val="0"/>
                <w:color w:val="233846"/>
                <w:sz w:val="20"/>
              </w:rPr>
              <w:t>每 genre 的語意群中心、質量、代表 tags</w:t>
            </w:r>
          </w:p>
        </w:tc>
        <w:tc>
          <w:tcPr>
            <w:tcW w:type="dxa" w:w="4129"/>
            <w:vAlign w:val="center"/>
            <w:shd w:fill="F0F5F7"/>
            <w:tcMar>
              <w:top w:w="95" w:type="dxa"/>
              <w:left w:w="95" w:type="dxa"/>
              <w:bottom w:w="95" w:type="dxa"/>
              <w:right w:w="95" w:type="dxa"/>
            </w:tcMar>
          </w:tcPr>
          <w:p>
            <w:pPr>
              <w:spacing w:after="0" w:line="276" w:lineRule="auto"/>
            </w:pPr>
            <w:r>
              <w:rPr>
                <w:b w:val="0"/>
                <w:color w:val="233846"/>
                <w:sz w:val="20"/>
              </w:rPr>
              <w:t>提供所選主題的分布比較；權重以不同影片支援數計</w:t>
            </w:r>
          </w:p>
        </w:tc>
      </w:tr>
    </w:tbl>
    <w:p>
      <w:pPr>
        <w:spacing w:after="20" w:before="0" w:line="40" w:lineRule="exact"/>
      </w:pPr>
      <w:r>
        <w:rPr>
          <w:sz w:val="4"/>
        </w:rPr>
      </w:r>
    </w:p>
    <w:p>
      <w:r>
        <w:t>v3 先取最近觀看的不同影片，再依影片 ID 固定排序並建立 fingerprint。預設 backfill 上限為 2,000 部；若要使每人的 20,000 部都參與 v3，需確認有效設定與資源。個人歷史保留量與投入 v3 的影片數是不同概念。[2][4]</w:t>
      </w:r>
    </w:p>
    <w:p>
      <w:r>
        <w:br w:type="page"/>
      </w:r>
    </w:p>
    <w:p>
      <w:pPr>
        <w:pStyle w:val="Heading1"/>
      </w:pPr>
      <w:r>
        <w:t>4 AI 應用與資料契約</w:t>
      </w:r>
    </w:p>
    <w:p>
      <w:pPr>
        <w:pStyle w:val="Heading2"/>
      </w:pPr>
      <w:r>
        <w:t>4 1 語言模型與向量模型分工</w:t>
      </w:r>
    </w:p>
    <w:p>
      <w:r>
        <w:t>v3 使用 OpenAI gpt-5.6-luna、low reasoning effort，將影片標題與原始 tags 分到固定內容 genres。模型回應經 Zod 檢查欄位、類別列舉值與批次筆數；不合法的單筆結果保留為失敗，已成功的同批結果仍可快取。這是應用層契約驗證，不將提示內的 JSON schema 宣稱為供應商保證正確的結構化輸出。[6]</w:t>
      </w:r>
    </w:p>
    <w:p>
      <w:r>
        <w:t>內容類別為 Politic、Music、Sport、Education、Video gaming、Streaming、News、Podcast；影片可屬於多類。第九類 channel type 另依公開頻道名稱與描述判斷經營類型，不加入內容 tag 分群。</w:t>
      </w:r>
    </w:p>
    <w:tbl>
      <w:tblPr>
        <w:tblW w:type="auto" w:w="0"/>
        <w:jc w:val="center"/>
        <w:tblLayout w:type="fixed"/>
        <w:tblLook w:firstColumn="1" w:firstRow="1" w:lastColumn="0" w:lastRow="0" w:noHBand="0" w:noVBand="1" w:val="04A0"/>
      </w:tblPr>
      <w:tblGrid>
        <w:gridCol w:w="2208"/>
        <w:gridCol w:w="3265"/>
        <w:gridCol w:w="4129"/>
      </w:tblGrid>
      <w:tr>
        <w:trPr>
          <w:cantSplit/>
          <w:tblHeader/>
        </w:trPr>
        <w:tc>
          <w:tcPr>
            <w:tcW w:type="dxa" w:w="2208"/>
            <w:vAlign w:val="center"/>
            <w:shd w:fill="183B50"/>
            <w:tcMar>
              <w:top w:w="95" w:type="dxa"/>
              <w:left w:w="95" w:type="dxa"/>
              <w:bottom w:w="95" w:type="dxa"/>
              <w:right w:w="95" w:type="dxa"/>
            </w:tcMar>
          </w:tcPr>
          <w:p>
            <w:pPr>
              <w:spacing w:after="0" w:line="276" w:lineRule="auto"/>
            </w:pPr>
            <w:r>
              <w:rPr>
                <w:b/>
                <w:color w:val="FFFFFF"/>
                <w:sz w:val="20"/>
              </w:rPr>
              <w:t>階段</w:t>
            </w:r>
          </w:p>
        </w:tc>
        <w:tc>
          <w:tcPr>
            <w:tcW w:type="dxa" w:w="3265"/>
            <w:vAlign w:val="center"/>
            <w:shd w:fill="183B50"/>
            <w:tcMar>
              <w:top w:w="95" w:type="dxa"/>
              <w:left w:w="95" w:type="dxa"/>
              <w:bottom w:w="95" w:type="dxa"/>
              <w:right w:w="95" w:type="dxa"/>
            </w:tcMar>
          </w:tcPr>
          <w:p>
            <w:pPr>
              <w:spacing w:after="0" w:line="276" w:lineRule="auto"/>
            </w:pPr>
            <w:r>
              <w:rPr>
                <w:b/>
                <w:color w:val="FFFFFF"/>
                <w:sz w:val="20"/>
              </w:rPr>
              <w:t>傳入外部服務的內容</w:t>
            </w:r>
          </w:p>
        </w:tc>
        <w:tc>
          <w:tcPr>
            <w:tcW w:type="dxa" w:w="4129"/>
            <w:vAlign w:val="center"/>
            <w:shd w:fill="183B50"/>
            <w:tcMar>
              <w:top w:w="95" w:type="dxa"/>
              <w:left w:w="95" w:type="dxa"/>
              <w:bottom w:w="95" w:type="dxa"/>
              <w:right w:w="95" w:type="dxa"/>
            </w:tcMar>
          </w:tcPr>
          <w:p>
            <w:pPr>
              <w:spacing w:after="0" w:line="276" w:lineRule="auto"/>
            </w:pPr>
            <w:r>
              <w:rPr>
                <w:b/>
                <w:color w:val="FFFFFF"/>
                <w:sz w:val="20"/>
              </w:rPr>
              <w:t>回傳與檢查</w:t>
            </w:r>
          </w:p>
        </w:tc>
      </w:tr>
      <w:tr>
        <w:trPr>
          <w:cantSplit/>
        </w:trPr>
        <w:tc>
          <w:tcPr>
            <w:tcW w:type="dxa" w:w="2208"/>
            <w:vAlign w:val="center"/>
            <w:shd w:fill="F0F5F7"/>
            <w:tcMar>
              <w:top w:w="95" w:type="dxa"/>
              <w:left w:w="95" w:type="dxa"/>
              <w:bottom w:w="95" w:type="dxa"/>
              <w:right w:w="95" w:type="dxa"/>
            </w:tcMar>
          </w:tcPr>
          <w:p>
            <w:pPr>
              <w:spacing w:after="0" w:line="276" w:lineRule="auto"/>
            </w:pPr>
            <w:r>
              <w:rPr>
                <w:b w:val="0"/>
                <w:color w:val="233846"/>
                <w:sz w:val="20"/>
              </w:rPr>
              <w:t>影片分類</w:t>
            </w:r>
          </w:p>
        </w:tc>
        <w:tc>
          <w:tcPr>
            <w:tcW w:type="dxa" w:w="3265"/>
            <w:vAlign w:val="center"/>
            <w:shd w:fill="F0F5F7"/>
            <w:tcMar>
              <w:top w:w="95" w:type="dxa"/>
              <w:left w:w="95" w:type="dxa"/>
              <w:bottom w:w="95" w:type="dxa"/>
              <w:right w:w="95" w:type="dxa"/>
            </w:tcMar>
          </w:tcPr>
          <w:p>
            <w:pPr>
              <w:spacing w:after="0" w:line="276" w:lineRule="auto"/>
            </w:pPr>
            <w:r>
              <w:rPr>
                <w:b w:val="0"/>
                <w:color w:val="233846"/>
                <w:sz w:val="20"/>
              </w:rPr>
              <w:t>公開標題與完整正規化原始 tags</w:t>
            </w:r>
          </w:p>
        </w:tc>
        <w:tc>
          <w:tcPr>
            <w:tcW w:type="dxa" w:w="4129"/>
            <w:vAlign w:val="center"/>
            <w:shd w:fill="F0F5F7"/>
            <w:tcMar>
              <w:top w:w="95" w:type="dxa"/>
              <w:left w:w="95" w:type="dxa"/>
              <w:bottom w:w="95" w:type="dxa"/>
              <w:right w:w="95" w:type="dxa"/>
            </w:tcMar>
          </w:tcPr>
          <w:p>
            <w:pPr>
              <w:spacing w:after="0" w:line="276" w:lineRule="auto"/>
            </w:pPr>
            <w:r>
              <w:rPr>
                <w:b w:val="0"/>
                <w:color w:val="233846"/>
                <w:sz w:val="20"/>
              </w:rPr>
              <w:t>genres 陣列；不生成 tags 或配對理由</w:t>
            </w:r>
          </w:p>
        </w:tc>
      </w:tr>
      <w:tr>
        <w:trPr>
          <w:cantSplit/>
        </w:trPr>
        <w:tc>
          <w:tcPr>
            <w:tcW w:type="dxa" w:w="2208"/>
            <w:vAlign w:val="center"/>
            <w:shd w:fill="FFFFFF"/>
            <w:tcMar>
              <w:top w:w="95" w:type="dxa"/>
              <w:left w:w="95" w:type="dxa"/>
              <w:bottom w:w="95" w:type="dxa"/>
              <w:right w:w="95" w:type="dxa"/>
            </w:tcMar>
          </w:tcPr>
          <w:p>
            <w:pPr>
              <w:spacing w:after="0" w:line="276" w:lineRule="auto"/>
            </w:pPr>
            <w:r>
              <w:rPr>
                <w:b w:val="0"/>
                <w:color w:val="233846"/>
                <w:sz w:val="20"/>
              </w:rPr>
              <w:t>語意 embedding</w:t>
            </w:r>
          </w:p>
        </w:tc>
        <w:tc>
          <w:tcPr>
            <w:tcW w:type="dxa" w:w="3265"/>
            <w:vAlign w:val="center"/>
            <w:shd w:fill="FFFFFF"/>
            <w:tcMar>
              <w:top w:w="95" w:type="dxa"/>
              <w:left w:w="95" w:type="dxa"/>
              <w:bottom w:w="95" w:type="dxa"/>
              <w:right w:w="95" w:type="dxa"/>
            </w:tcMar>
          </w:tcPr>
          <w:p>
            <w:pPr>
              <w:spacing w:after="0" w:line="276" w:lineRule="auto"/>
            </w:pPr>
            <w:r>
              <w:rPr>
                <w:b w:val="0"/>
                <w:color w:val="233846"/>
                <w:sz w:val="20"/>
              </w:rPr>
              <w:t>單個正規化 tag 文字，批次最多 64 個</w:t>
            </w:r>
          </w:p>
        </w:tc>
        <w:tc>
          <w:tcPr>
            <w:tcW w:type="dxa" w:w="4129"/>
            <w:vAlign w:val="center"/>
            <w:shd w:fill="FFFFFF"/>
            <w:tcMar>
              <w:top w:w="95" w:type="dxa"/>
              <w:left w:w="95" w:type="dxa"/>
              <w:bottom w:w="95" w:type="dxa"/>
              <w:right w:w="95" w:type="dxa"/>
            </w:tcMar>
          </w:tcPr>
          <w:p>
            <w:pPr>
              <w:spacing w:after="0" w:line="276" w:lineRule="auto"/>
            </w:pPr>
            <w:r>
              <w:rPr>
                <w:b w:val="0"/>
                <w:color w:val="233846"/>
                <w:sz w:val="20"/>
              </w:rPr>
              <w:t>預設 768 維；維度、有限值與非零長度檢查</w:t>
            </w:r>
          </w:p>
        </w:tc>
      </w:tr>
      <w:tr>
        <w:trPr>
          <w:cantSplit/>
        </w:trPr>
        <w:tc>
          <w:tcPr>
            <w:tcW w:type="dxa" w:w="2208"/>
            <w:vAlign w:val="center"/>
            <w:shd w:fill="F0F5F7"/>
            <w:tcMar>
              <w:top w:w="95" w:type="dxa"/>
              <w:left w:w="95" w:type="dxa"/>
              <w:bottom w:w="95" w:type="dxa"/>
              <w:right w:w="95" w:type="dxa"/>
            </w:tcMar>
          </w:tcPr>
          <w:p>
            <w:pPr>
              <w:spacing w:after="0" w:line="276" w:lineRule="auto"/>
            </w:pPr>
            <w:r>
              <w:rPr>
                <w:b w:val="0"/>
                <w:color w:val="233846"/>
                <w:sz w:val="20"/>
              </w:rPr>
              <w:t>頻道類型</w:t>
            </w:r>
          </w:p>
        </w:tc>
        <w:tc>
          <w:tcPr>
            <w:tcW w:type="dxa" w:w="3265"/>
            <w:vAlign w:val="center"/>
            <w:shd w:fill="F0F5F7"/>
            <w:tcMar>
              <w:top w:w="95" w:type="dxa"/>
              <w:left w:w="95" w:type="dxa"/>
              <w:bottom w:w="95" w:type="dxa"/>
              <w:right w:w="95" w:type="dxa"/>
            </w:tcMar>
          </w:tcPr>
          <w:p>
            <w:pPr>
              <w:spacing w:after="0" w:line="276" w:lineRule="auto"/>
            </w:pPr>
            <w:r>
              <w:rPr>
                <w:b w:val="0"/>
                <w:color w:val="233846"/>
                <w:sz w:val="20"/>
              </w:rPr>
              <w:t>公開頻道名稱與描述</w:t>
            </w:r>
          </w:p>
        </w:tc>
        <w:tc>
          <w:tcPr>
            <w:tcW w:type="dxa" w:w="4129"/>
            <w:vAlign w:val="center"/>
            <w:shd w:fill="F0F5F7"/>
            <w:tcMar>
              <w:top w:w="95" w:type="dxa"/>
              <w:left w:w="95" w:type="dxa"/>
              <w:bottom w:w="95" w:type="dxa"/>
              <w:right w:w="95" w:type="dxa"/>
            </w:tcMar>
          </w:tcPr>
          <w:p>
            <w:pPr>
              <w:spacing w:after="0" w:line="276" w:lineRule="auto"/>
            </w:pPr>
            <w:r>
              <w:rPr>
                <w:b w:val="0"/>
                <w:color w:val="233846"/>
                <w:sz w:val="20"/>
              </w:rPr>
              <w:t>五種經營類型的子集合及證據可用狀態</w:t>
            </w:r>
          </w:p>
        </w:tc>
      </w:tr>
    </w:tbl>
    <w:p>
      <w:pPr>
        <w:spacing w:after="20" w:before="0" w:line="40" w:lineRule="exact"/>
      </w:pPr>
      <w:r>
        <w:rPr>
          <w:sz w:val="4"/>
        </w:rPr>
      </w:r>
    </w:p>
    <w:p>
      <w:r>
        <w:t>搜尋詞、觀看時間戳、觀看次數、播放進度與使用者身分不屬於上述模型 payload。公開 metadata 本身仍視為不可信輸入，提示要求模型將其當作資料；本地列舉驗證可限制輸出形式，但不能取代分類內容的品質評估。[6]</w:t>
      </w:r>
    </w:p>
    <w:p>
      <w:pPr>
        <w:pStyle w:val="Heading2"/>
      </w:pPr>
      <w:r>
        <w:t>4 2 原始 tags 與缺資料語意</w:t>
      </w:r>
    </w:p>
    <w:p>
      <w:r>
        <w:t>新處理影片只產生 genres，原始 tags 進入每個適用 genre。沒有 tags 時，模型仍可依標題判斷類別，但系統不補造 tags；有 genre 卻沒有可用語意點，會影響該類別的資料充分性。過往已完成的快取保留來源標記；既有生成標籤與新處理的原始標籤仍可辨識來源。</w:t>
      </w:r>
    </w:p>
    <w:p>
      <w:r>
        <w:t>Gemini 的 task 設為 SEMANTIC_SIMILARITY，向量回傳後正規化成單位長度。文字採 NFKC、空白整理、移除前導井號及小寫化，以降低字面差異造成的重複鍵。標題／描述中的 hashtags 亦可進入來源 tags。[2][6][7]</w:t>
      </w:r>
    </w:p>
    <w:p>
      <w:pPr>
        <w:pStyle w:val="Heading2"/>
      </w:pPr>
      <w:r>
        <w:t>4 3 技術適切性</w:t>
      </w:r>
    </w:p>
    <w:p>
      <w:r>
        <w:t>LLM 適合處理語意不一致與多標籤判讀；embedding 適合比較不同文字表達的接近程度；數值分群與最佳傳輸則讓權重、門檻及分數可重現。這種分工使推薦理由可以回到具體群、權重與分數貢獻，而非依賴另一段自由生成文字。</w:t>
      </w:r>
    </w:p>
    <w:p>
      <w:r>
        <w:br w:type="page"/>
      </w:r>
    </w:p>
    <w:p>
      <w:pPr>
        <w:pStyle w:val="Heading1"/>
      </w:pPr>
      <w:r>
        <w:t>5 加權密度分群與興趣分布</w:t>
      </w:r>
    </w:p>
    <w:p>
      <w:pPr>
        <w:pStyle w:val="Heading2"/>
      </w:pPr>
      <w:r>
        <w:t>5 1 以不同影片支援數建立權重</w:t>
      </w:r>
    </w:p>
    <w:p>
      <w:r>
        <w:t>令 Vᵤ 為使用者 u 納入的不同影片集合，Aᵥ 為影片被指派的 genres，Tagsᵥ 為該影片的 tags。tag t 在 genre g 的質量定義為：</w:t>
      </w:r>
    </w:p>
    <w:p>
      <w:pPr>
        <w:spacing w:before="100" w:after="180"/>
        <w:jc w:val="center"/>
      </w:pPr>
      <w:r>
        <w:drawing>
          <wp:inline xmlns:a="http://schemas.openxmlformats.org/drawingml/2006/main" xmlns:pic="http://schemas.openxmlformats.org/drawingml/2006/picture">
            <wp:extent cx="3602736" cy="551688"/>
            <wp:docPr id="2" name="Picture 2" descr="w_{u,g,t}=\sum_{v\in V_u}\mathbf{1}[g\in A_v]\,\mathbf{1}[t\in Tags_v]"/>
            <wp:cNvGraphicFramePr>
              <a:graphicFrameLocks noChangeAspect="1"/>
            </wp:cNvGraphicFramePr>
            <a:graphic>
              <a:graphicData uri="http://schemas.openxmlformats.org/drawingml/2006/picture">
                <pic:pic>
                  <pic:nvPicPr>
                    <pic:cNvPr id="0" name="equation-1.png"/>
                    <pic:cNvPicPr/>
                  </pic:nvPicPr>
                  <pic:blipFill>
                    <a:blip r:embed="rId14"/>
                    <a:stretch>
                      <a:fillRect/>
                    </a:stretch>
                  </pic:blipFill>
                  <pic:spPr>
                    <a:xfrm>
                      <a:off x="0" y="0"/>
                      <a:ext cx="3602736" cy="551688"/>
                    </a:xfrm>
                    <a:prstGeom prst="rect"/>
                  </pic:spPr>
                </pic:pic>
              </a:graphicData>
            </a:graphic>
          </wp:inline>
        </w:drawing>
      </w:r>
    </w:p>
    <w:p>
      <w:r>
        <w:t>每部影片對同一 tag 最多貢獻一次。權重表示跨影片支援度，不是重看次數或觀看時間；一部影片可以支援多個 tags，也可以出現在多個 genres，因此 tag 質量不是互斥影片比例。</w:t>
      </w:r>
    </w:p>
    <w:p>
      <w:pPr>
        <w:pStyle w:val="Heading2"/>
      </w:pPr>
      <w:r>
        <w:t>5 2 加權 DBSCAN</w:t>
      </w:r>
    </w:p>
    <w:p>
      <w:r>
        <w:t>單位向量間使用 cosine distance。預設 eps 為 0.2、minSamples 為 5；sample_weight 使用前述影片支援數。加權鄰域達到密度門檻的點形成核心點，相連的高密度區域形成群，孤立低支援點可成為 noise。[8]</w:t>
      </w:r>
    </w:p>
    <w:p>
      <w:pPr>
        <w:spacing w:before="100" w:after="180"/>
        <w:jc w:val="center"/>
      </w:pPr>
      <w:r>
        <w:drawing>
          <wp:inline xmlns:a="http://schemas.openxmlformats.org/drawingml/2006/main" xmlns:pic="http://schemas.openxmlformats.org/drawingml/2006/picture">
            <wp:extent cx="4928616" cy="588264"/>
            <wp:docPr id="3" name="Picture 3" descr="d_{\cos}(x_i,x_j)=1-x_i^{\mathsf T}x_j,\qquad \sum_{j:d_{\cos}(x_i,x_j)\le\varepsilon}w_j\ge m"/>
            <wp:cNvGraphicFramePr>
              <a:graphicFrameLocks noChangeAspect="1"/>
            </wp:cNvGraphicFramePr>
            <a:graphic>
              <a:graphicData uri="http://schemas.openxmlformats.org/drawingml/2006/picture">
                <pic:pic>
                  <pic:nvPicPr>
                    <pic:cNvPr id="0" name="equation-2.png"/>
                    <pic:cNvPicPr/>
                  </pic:nvPicPr>
                  <pic:blipFill>
                    <a:blip r:embed="rId15"/>
                    <a:stretch>
                      <a:fillRect/>
                    </a:stretch>
                  </pic:blipFill>
                  <pic:spPr>
                    <a:xfrm>
                      <a:off x="0" y="0"/>
                      <a:ext cx="4928616" cy="588264"/>
                    </a:xfrm>
                    <a:prstGeom prst="rect"/>
                  </pic:spPr>
                </pic:pic>
              </a:graphicData>
            </a:graphic>
          </wp:inline>
        </w:drawing>
      </w:r>
    </w:p>
    <w:p>
      <w:r>
        <w:t>此模型可保留多個興趣中心，不需預先指定使用者應該有幾個興趣。它也使重複出現在不同影片中的單一 tag 能提供足夠密度；但結果仍受 embedding、eps、sample weight 與資料分布影響。</w:t>
      </w:r>
    </w:p>
    <w:p>
      <w:pPr>
        <w:pStyle w:val="Heading2"/>
      </w:pPr>
      <w:r>
        <w:t>5 3 群中心與保留覆蓋</w:t>
      </w:r>
    </w:p>
    <w:p>
      <w:r>
        <w:t>對群 C 計算加權平均後再正規化，並以群質量建立分布：</w:t>
      </w:r>
    </w:p>
    <w:p>
      <w:pPr>
        <w:spacing w:before="100" w:after="180"/>
        <w:jc w:val="center"/>
      </w:pPr>
      <w:r>
        <w:drawing>
          <wp:inline xmlns:a="http://schemas.openxmlformats.org/drawingml/2006/main" xmlns:pic="http://schemas.openxmlformats.org/drawingml/2006/picture">
            <wp:extent cx="5141976" cy="646176"/>
            <wp:docPr id="4" name="Picture 4" descr="\mu_C=\frac{\sum_{t\in C}w_t x_t}{\left\|\sum_{t\in C}w_t x_t\right\|_2},\qquad p_C=\frac{\sum_{t\in C}w_t}{\sum_{D\in\mathcal R}\sum_{t\in D}w_t}"/>
            <wp:cNvGraphicFramePr>
              <a:graphicFrameLocks noChangeAspect="1"/>
            </wp:cNvGraphicFramePr>
            <a:graphic>
              <a:graphicData uri="http://schemas.openxmlformats.org/drawingml/2006/picture">
                <pic:pic>
                  <pic:nvPicPr>
                    <pic:cNvPr id="0" name="equation-3.png"/>
                    <pic:cNvPicPr/>
                  </pic:nvPicPr>
                  <pic:blipFill>
                    <a:blip r:embed="rId16"/>
                    <a:stretch>
                      <a:fillRect/>
                    </a:stretch>
                  </pic:blipFill>
                  <pic:spPr>
                    <a:xfrm>
                      <a:off x="0" y="0"/>
                      <a:ext cx="5141976" cy="646176"/>
                    </a:xfrm>
                    <a:prstGeom prst="rect"/>
                  </pic:spPr>
                </pic:pic>
              </a:graphicData>
            </a:graphic>
          </wp:inline>
        </w:drawing>
      </w:r>
    </w:p>
    <w:p>
      <w:r>
        <w:t>群質量低於總 tag 質量 5% 的群被排除，其餘最多保留十群，構成集合 R；每群保留五個代表 tags。retainedCoverage 另記錄保留質量相對於全部 tag 質量的比例，避免重新正規化後掩蓋資料流失。若已有點但覆蓋低於 50%，結果標記為資料不足／暫定，不能把剩下的小群視為完整興趣。[2][8]</w:t>
      </w:r>
    </w:p>
    <w:p>
      <w:r>
        <w:br w:type="page"/>
      </w:r>
    </w:p>
    <w:p>
      <w:pPr>
        <w:pStyle w:val="Heading1"/>
      </w:pPr>
      <w:r>
        <w:t>6 最佳傳輸配對與可核對解釋</w:t>
      </w:r>
    </w:p>
    <w:p>
      <w:pPr>
        <w:pStyle w:val="Heading2"/>
      </w:pPr>
      <w:r>
        <w:t>6 1 相似度 kernel 與運輸問題</w:t>
      </w:r>
    </w:p>
    <w:p>
      <w:r>
        <w:t>令兩位使用者在某一 genre 的保留群分布為 p 與 q，群中心為 μ 與 ν。先以預設門檻 τ＝0.7 將 cosine similarity 映射到零至一：</w:t>
      </w:r>
    </w:p>
    <w:p>
      <w:pPr>
        <w:spacing w:before="100" w:after="180"/>
        <w:jc w:val="center"/>
      </w:pPr>
      <w:r>
        <w:drawing>
          <wp:inline xmlns:a="http://schemas.openxmlformats.org/drawingml/2006/main" xmlns:pic="http://schemas.openxmlformats.org/drawingml/2006/picture">
            <wp:extent cx="2862072" cy="731520"/>
            <wp:docPr id="5" name="Picture 5" descr="k_{ij}=\operatorname{clip}\!\left(\frac{\mu_i^{\mathsf T}\nu_j-\tau}{1-\tau},0,1\right)"/>
            <wp:cNvGraphicFramePr>
              <a:graphicFrameLocks noChangeAspect="1"/>
            </wp:cNvGraphicFramePr>
            <a:graphic>
              <a:graphicData uri="http://schemas.openxmlformats.org/drawingml/2006/picture">
                <pic:pic>
                  <pic:nvPicPr>
                    <pic:cNvPr id="0" name="equation-4.png"/>
                    <pic:cNvPicPr/>
                  </pic:nvPicPr>
                  <pic:blipFill>
                    <a:blip r:embed="rId17"/>
                    <a:stretch>
                      <a:fillRect/>
                    </a:stretch>
                  </pic:blipFill>
                  <pic:spPr>
                    <a:xfrm>
                      <a:off x="0" y="0"/>
                      <a:ext cx="2862072" cy="731520"/>
                    </a:xfrm>
                    <a:prstGeom prst="rect"/>
                  </pic:spPr>
                </pic:pic>
              </a:graphicData>
            </a:graphic>
          </wp:inline>
        </w:drawing>
      </w:r>
    </w:p>
    <w:p>
      <w:r>
        <w:t>接著求解平衡最佳傳輸。πᵢⱼ 表示從左側群 i 配到右側群 j 的質量，每一側的群權重都必須守恆：</w:t>
      </w:r>
    </w:p>
    <w:p>
      <w:pPr>
        <w:spacing w:before="100" w:after="180"/>
        <w:jc w:val="center"/>
      </w:pPr>
      <w:r>
        <w:drawing>
          <wp:inline xmlns:a="http://schemas.openxmlformats.org/drawingml/2006/main" xmlns:pic="http://schemas.openxmlformats.org/drawingml/2006/picture">
            <wp:extent cx="5522976" cy="557784"/>
            <wp:docPr id="6" name="Picture 6" descr="S_g=\max_{\pi\ge0}\sum_{i,j}\pi_{ij}k_{ij}\quad\text{s.t.}\quad\sum_j\pi_{ij}=p_i,\ \sum_i\pi_{ij}=q_j"/>
            <wp:cNvGraphicFramePr>
              <a:graphicFrameLocks noChangeAspect="1"/>
            </wp:cNvGraphicFramePr>
            <a:graphic>
              <a:graphicData uri="http://schemas.openxmlformats.org/drawingml/2006/picture">
                <pic:pic>
                  <pic:nvPicPr>
                    <pic:cNvPr id="0" name="equation-5.png"/>
                    <pic:cNvPicPr/>
                  </pic:nvPicPr>
                  <pic:blipFill>
                    <a:blip r:embed="rId18"/>
                    <a:stretch>
                      <a:fillRect/>
                    </a:stretch>
                  </pic:blipFill>
                  <pic:spPr>
                    <a:xfrm>
                      <a:off x="0" y="0"/>
                      <a:ext cx="5522976" cy="557784"/>
                    </a:xfrm>
                    <a:prstGeom prst="rect"/>
                  </pic:spPr>
                </pic:pic>
              </a:graphicData>
            </a:graphic>
          </wp:inline>
        </w:drawing>
      </w:r>
    </w:p>
    <w:p>
      <w:r>
        <w:t>實作以 SciPy linprog 與 HiGHS 最小化運輸成本 1－k，與上式等價。最多十群對十群，因此最多 100 個變數、20 列等式約束。HiGHS 自動選擇求解方法，本文不宣稱其固定為某個三次複雜度。[8][9]</w:t>
      </w:r>
    </w:p>
    <w:p>
      <w:pPr>
        <w:pStyle w:val="Heading2"/>
      </w:pPr>
      <w:r>
        <w:t>6 2 小交集不應代表整體完全相同</w:t>
      </w:r>
    </w:p>
    <w:p>
      <w:r>
        <w:t>固定向量測試中，A 的球類質量為 10、拳擊為 9；B 的球類質量 4 成為 noise，拳擊為 100。A 有兩群，B 保留拳擊一群。兩人雖然共享拳擊，但最多只有 A 的拳擊質量能以相似度一運輸，所得分數為 9／19，約 47.37%，而非 100%。B 的保留覆蓋仍為 100／104，另行呈現。[10]</w:t>
      </w:r>
    </w:p>
    <w:p>
      <w:pPr>
        <w:pStyle w:val="Heading2"/>
      </w:pPr>
      <w:r>
        <w:t>6 3 多類別分數與解釋</w:t>
      </w:r>
    </w:p>
    <w:p>
      <w:r>
        <w:t>所選 genres 等權平均。已處理且確定為空的類別給零；缺少可計算資料的類別使總分不可用，不重新縮小分母來提高分數。未完成掃描、低覆蓋或仍有處理工作的快照保留 provisional 狀態。[2]</w:t>
      </w:r>
    </w:p>
    <w:p>
      <w:pPr>
        <w:spacing w:before="100" w:after="180"/>
        <w:jc w:val="center"/>
      </w:pPr>
      <w:r>
        <w:drawing>
          <wp:inline xmlns:a="http://schemas.openxmlformats.org/drawingml/2006/main" xmlns:pic="http://schemas.openxmlformats.org/drawingml/2006/picture">
            <wp:extent cx="5897880" cy="626758"/>
            <wp:docPr id="7" name="Picture 7" descr="S=\frac{1}{|\mathcal G|}\sum_{g\in\mathcal G}S_g\qquad\text{when all selected genres are computable}"/>
            <wp:cNvGraphicFramePr>
              <a:graphicFrameLocks noChangeAspect="1"/>
            </wp:cNvGraphicFramePr>
            <a:graphic>
              <a:graphicData uri="http://schemas.openxmlformats.org/drawingml/2006/picture">
                <pic:pic>
                  <pic:nvPicPr>
                    <pic:cNvPr id="0" name="equation-6.png"/>
                    <pic:cNvPicPr/>
                  </pic:nvPicPr>
                  <pic:blipFill>
                    <a:blip r:embed="rId19"/>
                    <a:stretch>
                      <a:fillRect/>
                    </a:stretch>
                  </pic:blipFill>
                  <pic:spPr>
                    <a:xfrm>
                      <a:off x="0" y="0"/>
                      <a:ext cx="5897880" cy="626758"/>
                    </a:xfrm>
                    <a:prstGeom prst="rect"/>
                  </pic:spPr>
                </pic:pic>
              </a:graphicData>
            </a:graphic>
          </wp:inline>
        </w:drawing>
      </w:r>
    </w:p>
    <w:p>
      <w:r>
        <w:t>說明取自運輸解中實際貢獻最大的群對，呈現代表 tags、雙方群占比與分數貢獻。解釋與分數使用同一輪廓快照；不另外呼叫 LLM 生成推薦理由。channel type 則使用五維 one-hot 類型分布，不經 tag DBSCAN，其分數等價於直方圖交集。[2][8]</w:t>
      </w:r>
    </w:p>
    <w:p>
      <w:r>
        <w:br w:type="page"/>
      </w:r>
    </w:p>
    <w:p>
      <w:pPr>
        <w:pStyle w:val="Heading1"/>
      </w:pPr>
      <w:r>
        <w:t>7 配對整合與 API 契約</w:t>
      </w:r>
    </w:p>
    <w:p>
      <w:pPr>
        <w:pStyle w:val="Heading2"/>
      </w:pPr>
      <w:r>
        <w:t>7 1 兩種分數保持不同語意</w:t>
      </w:r>
    </w:p>
    <w:tbl>
      <w:tblPr>
        <w:tblW w:type="auto" w:w="0"/>
        <w:jc w:val="center"/>
        <w:tblLayout w:type="fixed"/>
        <w:tblLook w:firstColumn="1" w:firstRow="1" w:lastColumn="0" w:lastRow="0" w:noHBand="0" w:noVBand="1" w:val="04A0"/>
      </w:tblPr>
      <w:tblGrid>
        <w:gridCol w:w="2208"/>
        <w:gridCol w:w="3265"/>
        <w:gridCol w:w="4129"/>
      </w:tblGrid>
      <w:tr>
        <w:trPr>
          <w:cantSplit/>
          <w:tblHeader/>
        </w:trPr>
        <w:tc>
          <w:tcPr>
            <w:tcW w:type="dxa" w:w="2208"/>
            <w:vAlign w:val="center"/>
            <w:shd w:fill="183B50"/>
            <w:tcMar>
              <w:top w:w="95" w:type="dxa"/>
              <w:left w:w="95" w:type="dxa"/>
              <w:bottom w:w="95" w:type="dxa"/>
              <w:right w:w="95" w:type="dxa"/>
            </w:tcMar>
          </w:tcPr>
          <w:p>
            <w:pPr>
              <w:spacing w:after="0" w:line="276" w:lineRule="auto"/>
            </w:pPr>
            <w:r>
              <w:rPr>
                <w:b/>
                <w:color w:val="FFFFFF"/>
                <w:sz w:val="20"/>
              </w:rPr>
              <w:t>項目</w:t>
            </w:r>
          </w:p>
        </w:tc>
        <w:tc>
          <w:tcPr>
            <w:tcW w:type="dxa" w:w="3265"/>
            <w:vAlign w:val="center"/>
            <w:shd w:fill="183B50"/>
            <w:tcMar>
              <w:top w:w="95" w:type="dxa"/>
              <w:left w:w="95" w:type="dxa"/>
              <w:bottom w:w="95" w:type="dxa"/>
              <w:right w:w="95" w:type="dxa"/>
            </w:tcMar>
          </w:tcPr>
          <w:p>
            <w:pPr>
              <w:spacing w:after="0" w:line="276" w:lineRule="auto"/>
            </w:pPr>
            <w:r>
              <w:rPr>
                <w:b/>
                <w:color w:val="FFFFFF"/>
                <w:sz w:val="20"/>
              </w:rPr>
              <w:t>整體合拍度</w:t>
            </w:r>
          </w:p>
        </w:tc>
        <w:tc>
          <w:tcPr>
            <w:tcW w:type="dxa" w:w="4129"/>
            <w:vAlign w:val="center"/>
            <w:shd w:fill="183B50"/>
            <w:tcMar>
              <w:top w:w="95" w:type="dxa"/>
              <w:left w:w="95" w:type="dxa"/>
              <w:bottom w:w="95" w:type="dxa"/>
              <w:right w:w="95" w:type="dxa"/>
            </w:tcMar>
          </w:tcPr>
          <w:p>
            <w:pPr>
              <w:spacing w:after="0" w:line="276" w:lineRule="auto"/>
            </w:pPr>
            <w:r>
              <w:rPr>
                <w:b/>
                <w:color w:val="FFFFFF"/>
                <w:sz w:val="20"/>
              </w:rPr>
              <w:t>v3 主題合拍度</w:t>
            </w:r>
          </w:p>
        </w:tc>
      </w:tr>
      <w:tr>
        <w:trPr>
          <w:cantSplit/>
        </w:trPr>
        <w:tc>
          <w:tcPr>
            <w:tcW w:type="dxa" w:w="2208"/>
            <w:vAlign w:val="center"/>
            <w:shd w:fill="F0F5F7"/>
            <w:tcMar>
              <w:top w:w="95" w:type="dxa"/>
              <w:left w:w="95" w:type="dxa"/>
              <w:bottom w:w="95" w:type="dxa"/>
              <w:right w:w="95" w:type="dxa"/>
            </w:tcMar>
          </w:tcPr>
          <w:p>
            <w:pPr>
              <w:spacing w:after="0" w:line="276" w:lineRule="auto"/>
            </w:pPr>
            <w:r>
              <w:rPr>
                <w:b w:val="0"/>
                <w:color w:val="233846"/>
                <w:sz w:val="20"/>
              </w:rPr>
              <w:t>主要資料</w:t>
            </w:r>
          </w:p>
        </w:tc>
        <w:tc>
          <w:tcPr>
            <w:tcW w:type="dxa" w:w="3265"/>
            <w:vAlign w:val="center"/>
            <w:shd w:fill="F0F5F7"/>
            <w:tcMar>
              <w:top w:w="95" w:type="dxa"/>
              <w:left w:w="95" w:type="dxa"/>
              <w:bottom w:w="95" w:type="dxa"/>
              <w:right w:w="95" w:type="dxa"/>
            </w:tcMar>
          </w:tcPr>
          <w:p>
            <w:pPr>
              <w:spacing w:after="0" w:line="276" w:lineRule="auto"/>
            </w:pPr>
            <w:r>
              <w:rPr>
                <w:b w:val="0"/>
                <w:color w:val="233846"/>
                <w:sz w:val="20"/>
              </w:rPr>
              <w:t>最近 90 天的 canonical 主題及頻道聚合</w:t>
            </w:r>
          </w:p>
        </w:tc>
        <w:tc>
          <w:tcPr>
            <w:tcW w:type="dxa" w:w="4129"/>
            <w:vAlign w:val="center"/>
            <w:shd w:fill="F0F5F7"/>
            <w:tcMar>
              <w:top w:w="95" w:type="dxa"/>
              <w:left w:w="95" w:type="dxa"/>
              <w:bottom w:w="95" w:type="dxa"/>
              <w:right w:w="95" w:type="dxa"/>
            </w:tcMar>
          </w:tcPr>
          <w:p>
            <w:pPr>
              <w:spacing w:after="0" w:line="276" w:lineRule="auto"/>
            </w:pPr>
            <w:r>
              <w:rPr>
                <w:b w:val="0"/>
                <w:color w:val="233846"/>
                <w:sz w:val="20"/>
              </w:rPr>
              <w:t>納入來源影片的 genre 語意群分布</w:t>
            </w:r>
          </w:p>
        </w:tc>
      </w:tr>
      <w:tr>
        <w:trPr>
          <w:cantSplit/>
        </w:trPr>
        <w:tc>
          <w:tcPr>
            <w:tcW w:type="dxa" w:w="2208"/>
            <w:vAlign w:val="center"/>
            <w:shd w:fill="FFFFFF"/>
            <w:tcMar>
              <w:top w:w="95" w:type="dxa"/>
              <w:left w:w="95" w:type="dxa"/>
              <w:bottom w:w="95" w:type="dxa"/>
              <w:right w:w="95" w:type="dxa"/>
            </w:tcMar>
          </w:tcPr>
          <w:p>
            <w:pPr>
              <w:spacing w:after="0" w:line="276" w:lineRule="auto"/>
            </w:pPr>
            <w:r>
              <w:rPr>
                <w:b w:val="0"/>
                <w:color w:val="233846"/>
                <w:sz w:val="20"/>
              </w:rPr>
              <w:t>比較方法</w:t>
            </w:r>
          </w:p>
        </w:tc>
        <w:tc>
          <w:tcPr>
            <w:tcW w:type="dxa" w:w="3265"/>
            <w:vAlign w:val="center"/>
            <w:shd w:fill="FFFFFF"/>
            <w:tcMar>
              <w:top w:w="95" w:type="dxa"/>
              <w:left w:w="95" w:type="dxa"/>
              <w:bottom w:w="95" w:type="dxa"/>
              <w:right w:w="95" w:type="dxa"/>
            </w:tcMar>
          </w:tcPr>
          <w:p>
            <w:pPr>
              <w:spacing w:after="0" w:line="276" w:lineRule="auto"/>
            </w:pPr>
            <w:r>
              <w:rPr>
                <w:b w:val="0"/>
                <w:color w:val="233846"/>
                <w:sz w:val="20"/>
              </w:rPr>
              <w:t>主題／頻道 cosine 與固定校準曲線</w:t>
            </w:r>
          </w:p>
        </w:tc>
        <w:tc>
          <w:tcPr>
            <w:tcW w:type="dxa" w:w="4129"/>
            <w:vAlign w:val="center"/>
            <w:shd w:fill="FFFFFF"/>
            <w:tcMar>
              <w:top w:w="95" w:type="dxa"/>
              <w:left w:w="95" w:type="dxa"/>
              <w:bottom w:w="95" w:type="dxa"/>
              <w:right w:w="95" w:type="dxa"/>
            </w:tcMar>
          </w:tcPr>
          <w:p>
            <w:pPr>
              <w:spacing w:after="0" w:line="276" w:lineRule="auto"/>
            </w:pPr>
            <w:r>
              <w:rPr>
                <w:b w:val="0"/>
                <w:color w:val="233846"/>
                <w:sz w:val="20"/>
              </w:rPr>
              <w:t>每類最佳傳輸，所選類別等權平均</w:t>
            </w:r>
          </w:p>
        </w:tc>
      </w:tr>
      <w:tr>
        <w:trPr>
          <w:cantSplit/>
        </w:trPr>
        <w:tc>
          <w:tcPr>
            <w:tcW w:type="dxa" w:w="2208"/>
            <w:vAlign w:val="center"/>
            <w:shd w:fill="F0F5F7"/>
            <w:tcMar>
              <w:top w:w="95" w:type="dxa"/>
              <w:left w:w="95" w:type="dxa"/>
              <w:bottom w:w="95" w:type="dxa"/>
              <w:right w:w="95" w:type="dxa"/>
            </w:tcMar>
          </w:tcPr>
          <w:p>
            <w:pPr>
              <w:spacing w:after="0" w:line="276" w:lineRule="auto"/>
            </w:pPr>
            <w:r>
              <w:rPr>
                <w:b w:val="0"/>
                <w:color w:val="233846"/>
                <w:sz w:val="20"/>
              </w:rPr>
              <w:t>資料不足</w:t>
            </w:r>
          </w:p>
        </w:tc>
        <w:tc>
          <w:tcPr>
            <w:tcW w:type="dxa" w:w="3265"/>
            <w:vAlign w:val="center"/>
            <w:shd w:fill="F0F5F7"/>
            <w:tcMar>
              <w:top w:w="95" w:type="dxa"/>
              <w:left w:w="95" w:type="dxa"/>
              <w:bottom w:w="95" w:type="dxa"/>
              <w:right w:w="95" w:type="dxa"/>
            </w:tcMar>
          </w:tcPr>
          <w:p>
            <w:pPr>
              <w:spacing w:after="0" w:line="276" w:lineRule="auto"/>
            </w:pPr>
            <w:r>
              <w:rPr>
                <w:b w:val="0"/>
                <w:color w:val="233846"/>
                <w:sz w:val="20"/>
              </w:rPr>
              <w:t>依既有資料資格與可用維度處理</w:t>
            </w:r>
          </w:p>
        </w:tc>
        <w:tc>
          <w:tcPr>
            <w:tcW w:type="dxa" w:w="4129"/>
            <w:vAlign w:val="center"/>
            <w:shd w:fill="F0F5F7"/>
            <w:tcMar>
              <w:top w:w="95" w:type="dxa"/>
              <w:left w:w="95" w:type="dxa"/>
              <w:bottom w:w="95" w:type="dxa"/>
              <w:right w:w="95" w:type="dxa"/>
            </w:tcMar>
          </w:tcPr>
          <w:p>
            <w:pPr>
              <w:spacing w:after="0" w:line="276" w:lineRule="auto"/>
            </w:pPr>
            <w:r>
              <w:rPr>
                <w:b w:val="0"/>
                <w:color w:val="233846"/>
                <w:sz w:val="20"/>
              </w:rPr>
              <w:t>缺少所選類別資料時總分不可用</w:t>
            </w:r>
          </w:p>
        </w:tc>
      </w:tr>
      <w:tr>
        <w:trPr>
          <w:cantSplit/>
        </w:trPr>
        <w:tc>
          <w:tcPr>
            <w:tcW w:type="dxa" w:w="2208"/>
            <w:vAlign w:val="center"/>
            <w:shd w:fill="FFFFFF"/>
            <w:tcMar>
              <w:top w:w="95" w:type="dxa"/>
              <w:left w:w="95" w:type="dxa"/>
              <w:bottom w:w="95" w:type="dxa"/>
              <w:right w:w="95" w:type="dxa"/>
            </w:tcMar>
          </w:tcPr>
          <w:p>
            <w:pPr>
              <w:spacing w:after="0" w:line="276" w:lineRule="auto"/>
            </w:pPr>
            <w:r>
              <w:rPr>
                <w:b w:val="0"/>
                <w:color w:val="233846"/>
                <w:sz w:val="20"/>
              </w:rPr>
              <w:t>使用位置</w:t>
            </w:r>
          </w:p>
        </w:tc>
        <w:tc>
          <w:tcPr>
            <w:tcW w:type="dxa" w:w="3265"/>
            <w:vAlign w:val="center"/>
            <w:shd w:fill="FFFFFF"/>
            <w:tcMar>
              <w:top w:w="95" w:type="dxa"/>
              <w:left w:w="95" w:type="dxa"/>
              <w:bottom w:w="95" w:type="dxa"/>
              <w:right w:w="95" w:type="dxa"/>
            </w:tcMar>
          </w:tcPr>
          <w:p>
            <w:pPr>
              <w:spacing w:after="0" w:line="276" w:lineRule="auto"/>
            </w:pPr>
            <w:r>
              <w:rPr>
                <w:b w:val="0"/>
                <w:color w:val="233846"/>
                <w:sz w:val="20"/>
              </w:rPr>
              <w:t>成員清單與既有比較流程</w:t>
            </w:r>
          </w:p>
        </w:tc>
        <w:tc>
          <w:tcPr>
            <w:tcW w:type="dxa" w:w="4129"/>
            <w:vAlign w:val="center"/>
            <w:shd w:fill="FFFFFF"/>
            <w:tcMar>
              <w:top w:w="95" w:type="dxa"/>
              <w:left w:w="95" w:type="dxa"/>
              <w:bottom w:w="95" w:type="dxa"/>
              <w:right w:w="95" w:type="dxa"/>
            </w:tcMar>
          </w:tcPr>
          <w:p>
            <w:pPr>
              <w:spacing w:after="0" w:line="276" w:lineRule="auto"/>
            </w:pPr>
            <w:r>
              <w:rPr>
                <w:b w:val="0"/>
                <w:color w:val="233846"/>
                <w:sz w:val="20"/>
              </w:rPr>
              <w:t>Matches 中的我的主題與主題結果</w:t>
            </w:r>
          </w:p>
        </w:tc>
      </w:tr>
    </w:tbl>
    <w:p>
      <w:pPr>
        <w:spacing w:after="20" w:before="0" w:line="40" w:lineRule="exact"/>
      </w:pPr>
      <w:r>
        <w:rPr>
          <w:sz w:val="4"/>
        </w:rPr>
      </w:r>
    </w:p>
    <w:p>
      <w:r>
        <w:t>整體合拍度使用固定校準參數：主題 cosine 以線性區間調整，頻道 cosine 以指數曲線調整，避免兩種稀疏度不同的向量直接共用尺度。既有配對資格包含至少 200 筆近期觀看、14 個活動日；主題維度另檢查分類覆蓋。此路徑與 v3 的分數不混合，避免同一百分比具有模糊定義。[1]</w:t>
      </w:r>
    </w:p>
    <w:p>
      <w:pPr>
        <w:pStyle w:val="Heading2"/>
      </w:pPr>
      <w:r>
        <w:t>7 2 線上請求與回應狀態</w:t>
      </w:r>
    </w:p>
    <w:p>
      <w:r>
        <w:t>正式入口為 /matches。啟用 v3 時，同頁保留具名成員、頭像、Profile、好友邀請與 Blend；沒有可計算分數以「—」表示，不製造假分數。/matching-v3 轉向整合入口的主題檢視。[2]</w:t>
      </w:r>
    </w:p>
    <w:p>
      <w:r>
        <w:t>POST /api/matching-v3/match 驗證所選 genres 與使用者目前同意，載入相同演算法版本的 profile，逐候選比較，再重新檢查帳號、session、類別同意及 profile 時間。每個使用者同一時間已有配對請求時回傳 matching_in_progress；profile 未就緒則回傳 profile_pending。可計算與可揭露是兩個不同判斷。[2]</w:t>
      </w:r>
    </w:p>
    <w:p>
      <w:pPr>
        <w:pStyle w:val="Heading2"/>
      </w:pPr>
      <w:r>
        <w:t>7 3 行為一致性</w:t>
      </w:r>
    </w:p>
    <w:p>
      <w:r>
        <w:t>公開帳號可依正式產品規則直接 Blend；好友可查看 Overview 與 Insights；History 與 Recap 仍需要本人或有效 dashboard key。v3 類別選擇控制主題配對揭露，不等於授予所有私人頁面的存取權，也不要求公開 Blend 等待 v3 profile 完成。</w:t>
      </w:r>
    </w:p>
    <w:p>
      <w:r>
        <w:t>介面將整體分數、主題分數及暫定狀態分別標示。這使既有探索體驗與更細緻的分布模型能共存，且可逐步驗證新模型，而不讓使用者在兩個互不相通的入口重複操作。</w:t>
      </w:r>
    </w:p>
    <w:p>
      <w:r>
        <w:br w:type="page"/>
      </w:r>
    </w:p>
    <w:p>
      <w:pPr>
        <w:pStyle w:val="Heading1"/>
      </w:pPr>
      <w:r>
        <w:t>8 非同步工作排程與一致性</w:t>
      </w:r>
    </w:p>
    <w:p>
      <w:pPr>
        <w:pStyle w:val="Heading2"/>
      </w:pPr>
      <w:r>
        <w:t>8 1 租約與原子發布</w:t>
      </w:r>
    </w:p>
    <w:p>
      <w:r>
        <w:t>每帳號工作保存 fingerprint、演算法版本、狀態、租約 token、租約期限、重試次數與時間。原子 UPDATE RETURNING 領取 queued 或過期的 running 工作，取得 180 秒租約；處理期間更新心跳。這提供可恢復的工作領取，不將外部 API 請求宣稱為 exactly once。[11]</w:t>
      </w:r>
    </w:p>
    <w:p>
      <w:r>
        <w:t>工作提交前重新驗證使用者與來源；發布時以 registry transaction 檢查目前工作的 fingerprint、演算法版本與租約 token，再一起保存 profile 與 done 狀態。若來源更新使舊 token 失效，舊工作不能覆蓋新版本。暫定 preview 使用 compare-and-swap 條件，避免非同步分群覆蓋較新的正式結果。[11]</w:t>
      </w:r>
    </w:p>
    <w:p>
      <w:pPr>
        <w:keepNext/>
        <w:jc w:val="center"/>
      </w:pPr>
      <w:r>
        <w:drawing>
          <wp:inline xmlns:a="http://schemas.openxmlformats.org/drawingml/2006/main" xmlns:pic="http://schemas.openxmlformats.org/drawingml/2006/picture">
            <wp:extent cx="5943600" cy="2696066"/>
            <wp:docPr id="8" name="Picture 8" descr="工作狀態與發布流程"/>
            <wp:cNvGraphicFramePr>
              <a:graphicFrameLocks noChangeAspect="1"/>
            </wp:cNvGraphicFramePr>
            <a:graphic>
              <a:graphicData uri="http://schemas.openxmlformats.org/drawingml/2006/picture">
                <pic:pic>
                  <pic:nvPicPr>
                    <pic:cNvPr id="0" name="jobs.png"/>
                    <pic:cNvPicPr/>
                  </pic:nvPicPr>
                  <pic:blipFill>
                    <a:blip r:embed="rId20"/>
                    <a:stretch>
                      <a:fillRect/>
                    </a:stretch>
                  </pic:blipFill>
                  <pic:spPr>
                    <a:xfrm>
                      <a:off x="0" y="0"/>
                      <a:ext cx="5943600" cy="2696066"/>
                    </a:xfrm>
                    <a:prstGeom prst="rect"/>
                  </pic:spPr>
                </pic:pic>
              </a:graphicData>
            </a:graphic>
          </wp:inline>
        </w:drawing>
      </w:r>
    </w:p>
    <w:p>
      <w:pPr>
        <w:pStyle w:val="Caption"/>
      </w:pPr>
      <w:r>
        <w:t>圖 2　成功快取可跨重試保留；profile 的發布必須通過當下版本與租約檢查。</w:t>
      </w:r>
    </w:p>
    <w:p>
      <w:pPr>
        <w:pStyle w:val="Heading2"/>
      </w:pPr>
      <w:r>
        <w:t>8 2 大量批次與供應商隔離</w:t>
      </w:r>
    </w:p>
    <w:p>
      <w:r>
        <w:t>帳號內的分類批次可同時排入，共用 GPT 執行上限；Gemini embedding 有獨立佇列，不設本地同時執行上限。dispatch 每個 event-loop turn 最多啟動 32 個待辦並讓出 I/O，避免單次龐大的 microtask burst；這是事件迴圈公平性，不是固定 RPM 限速。[6][11]</w:t>
      </w:r>
    </w:p>
    <w:p>
      <w:r>
        <w:t>同一 worker／store 的 in-flight map 先登記再派送，以減少跨帳號重複請求；成功結果另落入 SQLite 快取。此 in-flight 去重主要是程序內機制，不能推論任意增加 worker 副本後仍具全域 exactly-once。外部服務成功但本地寫入前中斷，也可能需要重送。</w:t>
      </w:r>
    </w:p>
    <w:p>
      <w:pPr>
        <w:pStyle w:val="Heading2"/>
      </w:pPr>
      <w:r>
        <w:t>8 3 部分成功與重試</w:t>
      </w:r>
    </w:p>
    <w:p>
      <w:r>
        <w:t>分類批次逐列驗證並保存成功資料，重試可縮小批次。Promise.allSettled 等待已派送的同帳號工作結束後才釋放租約，避免失敗回應提早退出而留下仍在寫入的兄弟批次。429、5xx 與 timeout 保留 cooldown／退避，監控記錄安全錯誤碼、操作類型、進度與 token 用量，不保存完整 provider 錯誤內容。[6][11]</w:t>
      </w:r>
    </w:p>
    <w:p>
      <w:r>
        <w:br w:type="page"/>
      </w:r>
    </w:p>
    <w:p>
      <w:pPr>
        <w:pStyle w:val="Heading1"/>
      </w:pPr>
      <w:r>
        <w:t>9 資料保護與授權一致性</w:t>
      </w:r>
    </w:p>
    <w:p>
      <w:pPr>
        <w:pStyle w:val="Heading2"/>
      </w:pPr>
      <w:r>
        <w:t>9 1 最小化外部資料與儲存邊界</w:t>
      </w:r>
    </w:p>
    <w:p>
      <w:r>
        <w:t>個人觀看、搜尋及進度資料保留在個人 SQLite；registry 保存帳號、關係、工作、共享模型快取與個人聚合 profile。搜尋內容以 AES-256-GCM 欄位加密，使用隨機 nonce 與認證標記；這不代表整個資料庫或所有觀看紀錄都已加密。session、capture 與 dashboard token 使用雜湊查找，避免 registry 保存可直接使用的原始 token。[12]</w:t>
      </w:r>
    </w:p>
    <w:p>
      <w:r>
        <w:t>數值服務只接收 tag 向量、群中心與權重等衍生資料，不接收完整時間軸；這些衍生資料仍可能反映個人興趣，因此部署於內部網路，請求需驗證 compute token，且不記錄輸入向量／tags。</w:t>
      </w:r>
    </w:p>
    <w:p>
      <w:pPr>
        <w:pStyle w:val="Heading2"/>
      </w:pPr>
      <w:r>
        <w:t>9 2 授權矩陣</w:t>
      </w:r>
    </w:p>
    <w:tbl>
      <w:tblPr>
        <w:tblW w:type="auto" w:w="0"/>
        <w:jc w:val="center"/>
        <w:tblLayout w:type="fixed"/>
        <w:tblLook w:firstColumn="1" w:firstRow="1" w:lastColumn="0" w:lastRow="0" w:noHBand="0" w:noVBand="1" w:val="04A0"/>
      </w:tblPr>
      <w:tblGrid>
        <w:gridCol w:w="4801"/>
        <w:gridCol w:w="4801"/>
      </w:tblGrid>
      <w:tr>
        <w:trPr>
          <w:cantSplit/>
          <w:tblHeader/>
        </w:trPr>
        <w:tc>
          <w:tcPr>
            <w:tcW w:type="dxa" w:w="4801"/>
            <w:vAlign w:val="center"/>
            <w:shd w:fill="183B50"/>
            <w:tcMar>
              <w:top w:w="95" w:type="dxa"/>
              <w:left w:w="95" w:type="dxa"/>
              <w:bottom w:w="95" w:type="dxa"/>
              <w:right w:w="95" w:type="dxa"/>
            </w:tcMar>
          </w:tcPr>
          <w:p>
            <w:pPr>
              <w:spacing w:after="0" w:line="276" w:lineRule="auto"/>
            </w:pPr>
            <w:r>
              <w:rPr>
                <w:b/>
                <w:color w:val="FFFFFF"/>
                <w:sz w:val="20"/>
              </w:rPr>
              <w:t>對象或資料</w:t>
            </w:r>
          </w:p>
        </w:tc>
        <w:tc>
          <w:tcPr>
            <w:tcW w:type="dxa" w:w="4801"/>
            <w:vAlign w:val="center"/>
            <w:shd w:fill="183B50"/>
            <w:tcMar>
              <w:top w:w="95" w:type="dxa"/>
              <w:left w:w="95" w:type="dxa"/>
              <w:bottom w:w="95" w:type="dxa"/>
              <w:right w:w="95" w:type="dxa"/>
            </w:tcMar>
          </w:tcPr>
          <w:p>
            <w:pPr>
              <w:spacing w:after="0" w:line="276" w:lineRule="auto"/>
            </w:pPr>
            <w:r>
              <w:rPr>
                <w:b/>
                <w:color w:val="FFFFFF"/>
                <w:sz w:val="20"/>
              </w:rPr>
              <w:t>可見性規則</w:t>
            </w:r>
          </w:p>
        </w:tc>
      </w:tr>
      <w:tr>
        <w:trPr>
          <w:cantSplit/>
        </w:trPr>
        <w:tc>
          <w:tcPr>
            <w:tcW w:type="dxa" w:w="4801"/>
            <w:vAlign w:val="center"/>
            <w:shd w:fill="F0F5F7"/>
            <w:tcMar>
              <w:top w:w="95" w:type="dxa"/>
              <w:left w:w="95" w:type="dxa"/>
              <w:bottom w:w="95" w:type="dxa"/>
              <w:right w:w="95" w:type="dxa"/>
            </w:tcMar>
          </w:tcPr>
          <w:p>
            <w:pPr>
              <w:spacing w:after="0" w:line="276" w:lineRule="auto"/>
            </w:pPr>
            <w:r>
              <w:rPr>
                <w:b w:val="0"/>
                <w:color w:val="233846"/>
                <w:sz w:val="20"/>
              </w:rPr>
              <w:t>公開 Profile 與 Overview／Insights</w:t>
            </w:r>
          </w:p>
        </w:tc>
        <w:tc>
          <w:tcPr>
            <w:tcW w:type="dxa" w:w="4801"/>
            <w:vAlign w:val="center"/>
            <w:shd w:fill="F0F5F7"/>
            <w:tcMar>
              <w:top w:w="95" w:type="dxa"/>
              <w:left w:w="95" w:type="dxa"/>
              <w:bottom w:w="95" w:type="dxa"/>
              <w:right w:w="95" w:type="dxa"/>
            </w:tcMar>
          </w:tcPr>
          <w:p>
            <w:pPr>
              <w:spacing w:after="0" w:line="276" w:lineRule="auto"/>
            </w:pPr>
            <w:r>
              <w:rPr>
                <w:b w:val="0"/>
                <w:color w:val="233846"/>
                <w:sz w:val="20"/>
              </w:rPr>
              <w:t>依帳號公開設定提供</w:t>
            </w:r>
          </w:p>
        </w:tc>
      </w:tr>
      <w:tr>
        <w:trPr>
          <w:cantSplit/>
        </w:trPr>
        <w:tc>
          <w:tcPr>
            <w:tcW w:type="dxa" w:w="4801"/>
            <w:vAlign w:val="center"/>
            <w:shd w:fill="FFFFFF"/>
            <w:tcMar>
              <w:top w:w="95" w:type="dxa"/>
              <w:left w:w="95" w:type="dxa"/>
              <w:bottom w:w="95" w:type="dxa"/>
              <w:right w:w="95" w:type="dxa"/>
            </w:tcMar>
          </w:tcPr>
          <w:p>
            <w:pPr>
              <w:spacing w:after="0" w:line="276" w:lineRule="auto"/>
            </w:pPr>
            <w:r>
              <w:rPr>
                <w:b w:val="0"/>
                <w:color w:val="233846"/>
                <w:sz w:val="20"/>
              </w:rPr>
              <w:t>私人帳號 Overview／Insights</w:t>
            </w:r>
          </w:p>
        </w:tc>
        <w:tc>
          <w:tcPr>
            <w:tcW w:type="dxa" w:w="4801"/>
            <w:vAlign w:val="center"/>
            <w:shd w:fill="FFFFFF"/>
            <w:tcMar>
              <w:top w:w="95" w:type="dxa"/>
              <w:left w:w="95" w:type="dxa"/>
              <w:bottom w:w="95" w:type="dxa"/>
              <w:right w:w="95" w:type="dxa"/>
            </w:tcMar>
          </w:tcPr>
          <w:p>
            <w:pPr>
              <w:spacing w:after="0" w:line="276" w:lineRule="auto"/>
            </w:pPr>
            <w:r>
              <w:rPr>
                <w:b w:val="0"/>
                <w:color w:val="233846"/>
                <w:sz w:val="20"/>
              </w:rPr>
              <w:t>本人或符合既有好友／key 規則</w:t>
            </w:r>
          </w:p>
        </w:tc>
      </w:tr>
      <w:tr>
        <w:trPr>
          <w:cantSplit/>
        </w:trPr>
        <w:tc>
          <w:tcPr>
            <w:tcW w:type="dxa" w:w="4801"/>
            <w:vAlign w:val="center"/>
            <w:shd w:fill="F0F5F7"/>
            <w:tcMar>
              <w:top w:w="95" w:type="dxa"/>
              <w:left w:w="95" w:type="dxa"/>
              <w:bottom w:w="95" w:type="dxa"/>
              <w:right w:w="95" w:type="dxa"/>
            </w:tcMar>
          </w:tcPr>
          <w:p>
            <w:pPr>
              <w:spacing w:after="0" w:line="276" w:lineRule="auto"/>
            </w:pPr>
            <w:r>
              <w:rPr>
                <w:b w:val="0"/>
                <w:color w:val="233846"/>
                <w:sz w:val="20"/>
              </w:rPr>
              <w:t>History／Recap</w:t>
            </w:r>
          </w:p>
        </w:tc>
        <w:tc>
          <w:tcPr>
            <w:tcW w:type="dxa" w:w="4801"/>
            <w:vAlign w:val="center"/>
            <w:shd w:fill="F0F5F7"/>
            <w:tcMar>
              <w:top w:w="95" w:type="dxa"/>
              <w:left w:w="95" w:type="dxa"/>
              <w:bottom w:w="95" w:type="dxa"/>
              <w:right w:w="95" w:type="dxa"/>
            </w:tcMar>
          </w:tcPr>
          <w:p>
            <w:pPr>
              <w:spacing w:after="0" w:line="276" w:lineRule="auto"/>
            </w:pPr>
            <w:r>
              <w:rPr>
                <w:b w:val="0"/>
                <w:color w:val="233846"/>
                <w:sz w:val="20"/>
              </w:rPr>
              <w:t>本人或有效 dashboard key；好友身分本身不充分</w:t>
            </w:r>
          </w:p>
        </w:tc>
      </w:tr>
      <w:tr>
        <w:trPr>
          <w:cantSplit/>
        </w:trPr>
        <w:tc>
          <w:tcPr>
            <w:tcW w:type="dxa" w:w="4801"/>
            <w:vAlign w:val="center"/>
            <w:shd w:fill="FFFFFF"/>
            <w:tcMar>
              <w:top w:w="95" w:type="dxa"/>
              <w:left w:w="95" w:type="dxa"/>
              <w:bottom w:w="95" w:type="dxa"/>
              <w:right w:w="95" w:type="dxa"/>
            </w:tcMar>
          </w:tcPr>
          <w:p>
            <w:pPr>
              <w:spacing w:after="0" w:line="276" w:lineRule="auto"/>
            </w:pPr>
            <w:r>
              <w:rPr>
                <w:b w:val="0"/>
                <w:color w:val="233846"/>
                <w:sz w:val="20"/>
              </w:rPr>
              <w:t>v3 身分與分數</w:t>
            </w:r>
          </w:p>
        </w:tc>
        <w:tc>
          <w:tcPr>
            <w:tcW w:type="dxa" w:w="4801"/>
            <w:vAlign w:val="center"/>
            <w:shd w:fill="FFFFFF"/>
            <w:tcMar>
              <w:top w:w="95" w:type="dxa"/>
              <w:left w:w="95" w:type="dxa"/>
              <w:bottom w:w="95" w:type="dxa"/>
              <w:right w:w="95" w:type="dxa"/>
            </w:tcMar>
          </w:tcPr>
          <w:p>
            <w:pPr>
              <w:spacing w:after="0" w:line="276" w:lineRule="auto"/>
            </w:pPr>
            <w:r>
              <w:rPr>
                <w:b w:val="0"/>
                <w:color w:val="233846"/>
                <w:sz w:val="20"/>
              </w:rPr>
              <w:t>候選資格、雙方 opt-in 及所選類別同意</w:t>
            </w:r>
          </w:p>
        </w:tc>
      </w:tr>
      <w:tr>
        <w:trPr>
          <w:cantSplit/>
        </w:trPr>
        <w:tc>
          <w:tcPr>
            <w:tcW w:type="dxa" w:w="4801"/>
            <w:vAlign w:val="center"/>
            <w:shd w:fill="F0F5F7"/>
            <w:tcMar>
              <w:top w:w="95" w:type="dxa"/>
              <w:left w:w="95" w:type="dxa"/>
              <w:bottom w:w="95" w:type="dxa"/>
              <w:right w:w="95" w:type="dxa"/>
            </w:tcMar>
          </w:tcPr>
          <w:p>
            <w:pPr>
              <w:spacing w:after="0" w:line="276" w:lineRule="auto"/>
            </w:pPr>
            <w:r>
              <w:rPr>
                <w:b w:val="0"/>
                <w:color w:val="233846"/>
                <w:sz w:val="20"/>
              </w:rPr>
              <w:t>v3 代表 tags、權重與理由</w:t>
            </w:r>
          </w:p>
        </w:tc>
        <w:tc>
          <w:tcPr>
            <w:tcW w:type="dxa" w:w="4801"/>
            <w:vAlign w:val="center"/>
            <w:shd w:fill="F0F5F7"/>
            <w:tcMar>
              <w:top w:w="95" w:type="dxa"/>
              <w:left w:w="95" w:type="dxa"/>
              <w:bottom w:w="95" w:type="dxa"/>
              <w:right w:w="95" w:type="dxa"/>
            </w:tcMar>
          </w:tcPr>
          <w:p>
            <w:pPr>
              <w:spacing w:after="0" w:line="276" w:lineRule="auto"/>
            </w:pPr>
            <w:r>
              <w:rPr>
                <w:b w:val="0"/>
                <w:color w:val="233846"/>
                <w:sz w:val="20"/>
              </w:rPr>
              <w:t>上述條件外，目標需公開或雙方已成為好友</w:t>
            </w:r>
          </w:p>
        </w:tc>
      </w:tr>
      <w:tr>
        <w:trPr>
          <w:cantSplit/>
        </w:trPr>
        <w:tc>
          <w:tcPr>
            <w:tcW w:type="dxa" w:w="4801"/>
            <w:vAlign w:val="center"/>
            <w:shd w:fill="FFFFFF"/>
            <w:tcMar>
              <w:top w:w="95" w:type="dxa"/>
              <w:left w:w="95" w:type="dxa"/>
              <w:bottom w:w="95" w:type="dxa"/>
              <w:right w:w="95" w:type="dxa"/>
            </w:tcMar>
          </w:tcPr>
          <w:p>
            <w:pPr>
              <w:spacing w:after="0" w:line="276" w:lineRule="auto"/>
            </w:pPr>
            <w:r>
              <w:rPr>
                <w:b w:val="0"/>
                <w:color w:val="233846"/>
                <w:sz w:val="20"/>
              </w:rPr>
              <w:t>原始向量、私人搜尋、登入憑證</w:t>
            </w:r>
          </w:p>
        </w:tc>
        <w:tc>
          <w:tcPr>
            <w:tcW w:type="dxa" w:w="4801"/>
            <w:vAlign w:val="center"/>
            <w:shd w:fill="FFFFFF"/>
            <w:tcMar>
              <w:top w:w="95" w:type="dxa"/>
              <w:left w:w="95" w:type="dxa"/>
              <w:bottom w:w="95" w:type="dxa"/>
              <w:right w:w="95" w:type="dxa"/>
            </w:tcMar>
          </w:tcPr>
          <w:p>
            <w:pPr>
              <w:spacing w:after="0" w:line="276" w:lineRule="auto"/>
            </w:pPr>
            <w:r>
              <w:rPr>
                <w:b w:val="0"/>
                <w:color w:val="233846"/>
                <w:sz w:val="20"/>
              </w:rPr>
              <w:t>不作為配對 API 的揭露內容</w:t>
            </w:r>
          </w:p>
        </w:tc>
      </w:tr>
    </w:tbl>
    <w:p>
      <w:pPr>
        <w:spacing w:after="20" w:before="0" w:line="40" w:lineRule="exact"/>
      </w:pPr>
      <w:r>
        <w:rPr>
          <w:sz w:val="4"/>
        </w:rPr>
      </w:r>
    </w:p>
    <w:p>
      <w:pPr>
        <w:pStyle w:val="Heading2"/>
      </w:pPr>
      <w:r>
        <w:t>9 3 消除非同步授權競態</w:t>
      </w:r>
    </w:p>
    <w:p>
      <w:r>
        <w:t>配對可能等待多次 HTTP。若只在請求開始檢查同意，對方在計算中途關閉配對、撤回類別或關閉公開狀態，結果仍可能過時。實作因此在候選計算後及整批非同步計算完成後重查 session、成員資格、關係與 profile builtAt，通過後才投影具名結果及詳細內容。[2]</w:t>
      </w:r>
    </w:p>
    <w:p>
      <w:r>
        <w:t>好友操作 token 綁定使用者與有效期限；拒絕、撤銷及關係變更由伺服器處理。退出配對與刪除生命週期有獨立測試，涵蓋舊 token、既有關係、session 與派生資料的失效。資料快取只減少運算，不快取授權結論或已渲染 HTML。[5][12]</w:t>
      </w:r>
    </w:p>
    <w:p>
      <w:r>
        <w:br w:type="page"/>
      </w:r>
    </w:p>
    <w:p>
      <w:pPr>
        <w:pStyle w:val="Heading1"/>
      </w:pPr>
      <w:r>
        <w:t>10 複雜度與兩百萬筆資料情境</w:t>
      </w:r>
    </w:p>
    <w:p>
      <w:r>
        <w:t>令 U＝100、每人不同影片 V＝20,000，基準觀看事件 W＝V；重看時 W 可以更大。G 為所選類別數，T 為單人單類不同 tags，d 預設 768；b 為分類批次大小，Qᵤ 為帳號 u 的查詢成本。100 個帳號不等於 100 個同時互動者。[13]</w:t>
      </w:r>
    </w:p>
    <w:tbl>
      <w:tblPr>
        <w:tblW w:type="auto" w:w="0"/>
        <w:jc w:val="center"/>
        <w:tblLayout w:type="fixed"/>
        <w:tblLook w:firstColumn="1" w:firstRow="1" w:lastColumn="0" w:lastRow="0" w:noHBand="0" w:noVBand="1" w:val="04A0"/>
      </w:tblPr>
      <w:tblGrid>
        <w:gridCol w:w="2208"/>
        <w:gridCol w:w="3265"/>
        <w:gridCol w:w="4129"/>
      </w:tblGrid>
      <w:tr>
        <w:trPr>
          <w:cantSplit/>
          <w:tblHeader/>
        </w:trPr>
        <w:tc>
          <w:tcPr>
            <w:tcW w:type="dxa" w:w="2208"/>
            <w:vAlign w:val="center"/>
            <w:shd w:fill="183B50"/>
            <w:tcMar>
              <w:top w:w="95" w:type="dxa"/>
              <w:left w:w="95" w:type="dxa"/>
              <w:bottom w:w="95" w:type="dxa"/>
              <w:right w:w="95" w:type="dxa"/>
            </w:tcMar>
          </w:tcPr>
          <w:p>
            <w:pPr>
              <w:spacing w:after="0" w:line="276" w:lineRule="auto"/>
            </w:pPr>
            <w:r>
              <w:rPr>
                <w:b/>
                <w:color w:val="FFFFFF"/>
                <w:sz w:val="20"/>
              </w:rPr>
              <w:t>環節</w:t>
            </w:r>
          </w:p>
        </w:tc>
        <w:tc>
          <w:tcPr>
            <w:tcW w:type="dxa" w:w="3265"/>
            <w:vAlign w:val="center"/>
            <w:shd w:fill="183B50"/>
            <w:tcMar>
              <w:top w:w="95" w:type="dxa"/>
              <w:left w:w="95" w:type="dxa"/>
              <w:bottom w:w="95" w:type="dxa"/>
              <w:right w:w="95" w:type="dxa"/>
            </w:tcMar>
          </w:tcPr>
          <w:p>
            <w:pPr>
              <w:spacing w:after="0" w:line="276" w:lineRule="auto"/>
            </w:pPr>
            <w:r>
              <w:rPr>
                <w:b/>
                <w:color w:val="FFFFFF"/>
                <w:sz w:val="20"/>
              </w:rPr>
              <w:t>工作量模型</w:t>
            </w:r>
          </w:p>
        </w:tc>
        <w:tc>
          <w:tcPr>
            <w:tcW w:type="dxa" w:w="4129"/>
            <w:vAlign w:val="center"/>
            <w:shd w:fill="183B50"/>
            <w:tcMar>
              <w:top w:w="95" w:type="dxa"/>
              <w:left w:w="95" w:type="dxa"/>
              <w:bottom w:w="95" w:type="dxa"/>
              <w:right w:w="95" w:type="dxa"/>
            </w:tcMar>
          </w:tcPr>
          <w:p>
            <w:pPr>
              <w:spacing w:after="0" w:line="276" w:lineRule="auto"/>
            </w:pPr>
            <w:r>
              <w:rPr>
                <w:b/>
                <w:color w:val="FFFFFF"/>
                <w:sz w:val="20"/>
              </w:rPr>
              <w:t>此情境的主要風險</w:t>
            </w:r>
          </w:p>
        </w:tc>
      </w:tr>
      <w:tr>
        <w:trPr>
          <w:cantSplit/>
        </w:trPr>
        <w:tc>
          <w:tcPr>
            <w:tcW w:type="dxa" w:w="2208"/>
            <w:vAlign w:val="center"/>
            <w:shd w:fill="F0F5F7"/>
            <w:tcMar>
              <w:top w:w="95" w:type="dxa"/>
              <w:left w:w="95" w:type="dxa"/>
              <w:bottom w:w="95" w:type="dxa"/>
              <w:right w:w="95" w:type="dxa"/>
            </w:tcMar>
          </w:tcPr>
          <w:p>
            <w:pPr>
              <w:spacing w:after="0" w:line="276" w:lineRule="auto"/>
            </w:pPr>
            <w:r>
              <w:rPr>
                <w:b w:val="0"/>
                <w:color w:val="233846"/>
                <w:sz w:val="20"/>
              </w:rPr>
              <w:t>分類 API</w:t>
            </w:r>
          </w:p>
        </w:tc>
        <w:tc>
          <w:tcPr>
            <w:tcW w:type="dxa" w:w="3265"/>
            <w:vAlign w:val="center"/>
            <w:shd w:fill="F0F5F7"/>
            <w:tcMar>
              <w:top w:w="95" w:type="dxa"/>
              <w:left w:w="95" w:type="dxa"/>
              <w:bottom w:w="95" w:type="dxa"/>
              <w:right w:w="95" w:type="dxa"/>
            </w:tcMar>
          </w:tcPr>
          <w:p>
            <w:pPr>
              <w:spacing w:after="0" w:line="276" w:lineRule="auto"/>
            </w:pPr>
            <w:r>
              <w:rPr>
                <w:b w:val="0"/>
                <w:color w:val="233846"/>
                <w:sz w:val="20"/>
              </w:rPr>
              <w:t>無重疊冷快取約 UV／b 次</w:t>
            </w:r>
          </w:p>
        </w:tc>
        <w:tc>
          <w:tcPr>
            <w:tcW w:type="dxa" w:w="4129"/>
            <w:vAlign w:val="center"/>
            <w:shd w:fill="F0F5F7"/>
            <w:tcMar>
              <w:top w:w="95" w:type="dxa"/>
              <w:left w:w="95" w:type="dxa"/>
              <w:bottom w:w="95" w:type="dxa"/>
              <w:right w:w="95" w:type="dxa"/>
            </w:tcMar>
          </w:tcPr>
          <w:p>
            <w:pPr>
              <w:spacing w:after="0" w:line="276" w:lineRule="auto"/>
            </w:pPr>
            <w:r>
              <w:rPr>
                <w:b w:val="0"/>
                <w:color w:val="233846"/>
                <w:sz w:val="20"/>
              </w:rPr>
              <w:t>b＝5 時約 40 萬次；快取重疊可減少</w:t>
            </w:r>
          </w:p>
        </w:tc>
      </w:tr>
      <w:tr>
        <w:trPr>
          <w:cantSplit/>
        </w:trPr>
        <w:tc>
          <w:tcPr>
            <w:tcW w:type="dxa" w:w="2208"/>
            <w:vAlign w:val="center"/>
            <w:shd w:fill="FFFFFF"/>
            <w:tcMar>
              <w:top w:w="95" w:type="dxa"/>
              <w:left w:w="95" w:type="dxa"/>
              <w:bottom w:w="95" w:type="dxa"/>
              <w:right w:w="95" w:type="dxa"/>
            </w:tcMar>
          </w:tcPr>
          <w:p>
            <w:pPr>
              <w:spacing w:after="0" w:line="276" w:lineRule="auto"/>
            </w:pPr>
            <w:r>
              <w:rPr>
                <w:b w:val="0"/>
                <w:color w:val="233846"/>
                <w:sz w:val="20"/>
              </w:rPr>
              <w:t>DBSCAN</w:t>
            </w:r>
          </w:p>
        </w:tc>
        <w:tc>
          <w:tcPr>
            <w:tcW w:type="dxa" w:w="3265"/>
            <w:vAlign w:val="center"/>
            <w:shd w:fill="FFFFFF"/>
            <w:tcMar>
              <w:top w:w="95" w:type="dxa"/>
              <w:left w:w="95" w:type="dxa"/>
              <w:bottom w:w="95" w:type="dxa"/>
              <w:right w:w="95" w:type="dxa"/>
            </w:tcMar>
          </w:tcPr>
          <w:p>
            <w:pPr>
              <w:spacing w:after="0" w:line="276" w:lineRule="auto"/>
            </w:pPr>
            <w:r>
              <w:rPr>
                <w:b w:val="0"/>
                <w:color w:val="233846"/>
                <w:sz w:val="20"/>
              </w:rPr>
              <w:t>距離成本與 dΣT² 成正比；空間 O(Td＋T²)</w:t>
            </w:r>
          </w:p>
        </w:tc>
        <w:tc>
          <w:tcPr>
            <w:tcW w:type="dxa" w:w="4129"/>
            <w:vAlign w:val="center"/>
            <w:shd w:fill="FFFFFF"/>
            <w:tcMar>
              <w:top w:w="95" w:type="dxa"/>
              <w:left w:w="95" w:type="dxa"/>
              <w:bottom w:w="95" w:type="dxa"/>
              <w:right w:w="95" w:type="dxa"/>
            </w:tcMar>
          </w:tcPr>
          <w:p>
            <w:pPr>
              <w:spacing w:after="0" w:line="276" w:lineRule="auto"/>
            </w:pPr>
            <w:r>
              <w:rPr>
                <w:b w:val="0"/>
                <w:color w:val="233846"/>
                <w:sz w:val="20"/>
              </w:rPr>
              <w:t>單類 tags 達 10,000 的記憶體；超限失敗</w:t>
            </w:r>
          </w:p>
        </w:tc>
      </w:tr>
      <w:tr>
        <w:trPr>
          <w:cantSplit/>
        </w:trPr>
        <w:tc>
          <w:tcPr>
            <w:tcW w:type="dxa" w:w="2208"/>
            <w:vAlign w:val="center"/>
            <w:shd w:fill="F0F5F7"/>
            <w:tcMar>
              <w:top w:w="95" w:type="dxa"/>
              <w:left w:w="95" w:type="dxa"/>
              <w:bottom w:w="95" w:type="dxa"/>
              <w:right w:w="95" w:type="dxa"/>
            </w:tcMar>
          </w:tcPr>
          <w:p>
            <w:pPr>
              <w:spacing w:after="0" w:line="276" w:lineRule="auto"/>
            </w:pPr>
            <w:r>
              <w:rPr>
                <w:b w:val="0"/>
                <w:color w:val="233846"/>
                <w:sz w:val="20"/>
              </w:rPr>
              <w:t>source 與跨帳號聚合</w:t>
            </w:r>
          </w:p>
        </w:tc>
        <w:tc>
          <w:tcPr>
            <w:tcW w:type="dxa" w:w="3265"/>
            <w:vAlign w:val="center"/>
            <w:shd w:fill="F0F5F7"/>
            <w:tcMar>
              <w:top w:w="95" w:type="dxa"/>
              <w:left w:w="95" w:type="dxa"/>
              <w:bottom w:w="95" w:type="dxa"/>
              <w:right w:w="95" w:type="dxa"/>
            </w:tcMar>
          </w:tcPr>
          <w:p>
            <w:pPr>
              <w:spacing w:after="0" w:line="276" w:lineRule="auto"/>
            </w:pPr>
            <w:r>
              <w:rPr>
                <w:b w:val="0"/>
                <w:color w:val="233846"/>
                <w:sz w:val="20"/>
              </w:rPr>
              <w:t>Σ Qᵤ；排序／join 常含 W log W</w:t>
            </w:r>
          </w:p>
        </w:tc>
        <w:tc>
          <w:tcPr>
            <w:tcW w:type="dxa" w:w="4129"/>
            <w:vAlign w:val="center"/>
            <w:shd w:fill="F0F5F7"/>
            <w:tcMar>
              <w:top w:w="95" w:type="dxa"/>
              <w:left w:w="95" w:type="dxa"/>
              <w:bottom w:w="95" w:type="dxa"/>
              <w:right w:w="95" w:type="dxa"/>
            </w:tcMar>
          </w:tcPr>
          <w:p>
            <w:pPr>
              <w:spacing w:after="0" w:line="276" w:lineRule="auto"/>
            </w:pPr>
            <w:r>
              <w:rPr>
                <w:b w:val="0"/>
                <w:color w:val="233846"/>
                <w:sz w:val="20"/>
              </w:rPr>
              <w:t>無工作仍反覆全站掃描、冷請求扇出</w:t>
            </w:r>
          </w:p>
        </w:tc>
      </w:tr>
      <w:tr>
        <w:trPr>
          <w:cantSplit/>
        </w:trPr>
        <w:tc>
          <w:tcPr>
            <w:tcW w:type="dxa" w:w="2208"/>
            <w:vAlign w:val="center"/>
            <w:shd w:fill="FFFFFF"/>
            <w:tcMar>
              <w:top w:w="95" w:type="dxa"/>
              <w:left w:w="95" w:type="dxa"/>
              <w:bottom w:w="95" w:type="dxa"/>
              <w:right w:w="95" w:type="dxa"/>
            </w:tcMar>
          </w:tcPr>
          <w:p>
            <w:pPr>
              <w:spacing w:after="0" w:line="276" w:lineRule="auto"/>
            </w:pPr>
            <w:r>
              <w:rPr>
                <w:b w:val="0"/>
                <w:color w:val="233846"/>
                <w:sz w:val="20"/>
              </w:rPr>
              <w:t>配對</w:t>
            </w:r>
          </w:p>
        </w:tc>
        <w:tc>
          <w:tcPr>
            <w:tcW w:type="dxa" w:w="3265"/>
            <w:vAlign w:val="center"/>
            <w:shd w:fill="FFFFFF"/>
            <w:tcMar>
              <w:top w:w="95" w:type="dxa"/>
              <w:left w:w="95" w:type="dxa"/>
              <w:bottom w:w="95" w:type="dxa"/>
              <w:right w:w="95" w:type="dxa"/>
            </w:tcMar>
          </w:tcPr>
          <w:p>
            <w:pPr>
              <w:spacing w:after="0" w:line="276" w:lineRule="auto"/>
            </w:pPr>
            <w:r>
              <w:rPr>
                <w:b w:val="0"/>
                <w:color w:val="233846"/>
                <w:sz w:val="20"/>
              </w:rPr>
              <w:t>單人 O(UG)；全站 O(U²G) 個比較</w:t>
            </w:r>
          </w:p>
        </w:tc>
        <w:tc>
          <w:tcPr>
            <w:tcW w:type="dxa" w:w="4129"/>
            <w:vAlign w:val="center"/>
            <w:shd w:fill="FFFFFF"/>
            <w:tcMar>
              <w:top w:w="95" w:type="dxa"/>
              <w:left w:w="95" w:type="dxa"/>
              <w:bottom w:w="95" w:type="dxa"/>
              <w:right w:w="95" w:type="dxa"/>
            </w:tcMar>
          </w:tcPr>
          <w:p>
            <w:pPr>
              <w:spacing w:after="0" w:line="276" w:lineRule="auto"/>
            </w:pPr>
            <w:r>
              <w:rPr>
                <w:b w:val="0"/>
                <w:color w:val="233846"/>
                <w:sz w:val="20"/>
              </w:rPr>
              <w:t>一人九類最多 891 個邏輯比較</w:t>
            </w:r>
          </w:p>
        </w:tc>
      </w:tr>
      <w:tr>
        <w:trPr>
          <w:cantSplit/>
        </w:trPr>
        <w:tc>
          <w:tcPr>
            <w:tcW w:type="dxa" w:w="2208"/>
            <w:vAlign w:val="center"/>
            <w:shd w:fill="F0F5F7"/>
            <w:tcMar>
              <w:top w:w="95" w:type="dxa"/>
              <w:left w:w="95" w:type="dxa"/>
              <w:bottom w:w="95" w:type="dxa"/>
              <w:right w:w="95" w:type="dxa"/>
            </w:tcMar>
          </w:tcPr>
          <w:p>
            <w:pPr>
              <w:spacing w:after="0" w:line="276" w:lineRule="auto"/>
            </w:pPr>
            <w:r>
              <w:rPr>
                <w:b w:val="0"/>
                <w:color w:val="233846"/>
                <w:sz w:val="20"/>
              </w:rPr>
              <w:t>精確事件匯入查找</w:t>
            </w:r>
          </w:p>
        </w:tc>
        <w:tc>
          <w:tcPr>
            <w:tcW w:type="dxa" w:w="3265"/>
            <w:vAlign w:val="center"/>
            <w:shd w:fill="F0F5F7"/>
            <w:tcMar>
              <w:top w:w="95" w:type="dxa"/>
              <w:left w:w="95" w:type="dxa"/>
              <w:bottom w:w="95" w:type="dxa"/>
              <w:right w:w="95" w:type="dxa"/>
            </w:tcMar>
          </w:tcPr>
          <w:p>
            <w:pPr>
              <w:spacing w:after="0" w:line="276" w:lineRule="auto"/>
            </w:pPr>
            <w:r>
              <w:rPr>
                <w:b w:val="0"/>
                <w:color w:val="233846"/>
                <w:sz w:val="20"/>
              </w:rPr>
              <w:t>目前特定 query plan 可達 O(UV²)</w:t>
            </w:r>
          </w:p>
        </w:tc>
        <w:tc>
          <w:tcPr>
            <w:tcW w:type="dxa" w:w="4129"/>
            <w:vAlign w:val="center"/>
            <w:shd w:fill="F0F5F7"/>
            <w:tcMar>
              <w:top w:w="95" w:type="dxa"/>
              <w:left w:w="95" w:type="dxa"/>
              <w:bottom w:w="95" w:type="dxa"/>
              <w:right w:w="95" w:type="dxa"/>
            </w:tcMar>
          </w:tcPr>
          <w:p>
            <w:pPr>
              <w:spacing w:after="0" w:line="276" w:lineRule="auto"/>
            </w:pPr>
            <w:r>
              <w:rPr>
                <w:b w:val="0"/>
                <w:color w:val="233846"/>
                <w:sz w:val="20"/>
              </w:rPr>
              <w:t>逐筆 placeholder 查找反覆掃歷史</w:t>
            </w:r>
          </w:p>
        </w:tc>
      </w:tr>
    </w:tbl>
    <w:p>
      <w:pPr>
        <w:spacing w:after="20" w:before="0" w:line="40" w:lineRule="exact"/>
      </w:pPr>
      <w:r>
        <w:rPr>
          <w:sz w:val="4"/>
        </w:rPr>
      </w:r>
    </w:p>
    <w:p>
      <w:r>
        <w:t>觀看時間推估的退化項為各影片未量測事件數與同片事件數乘積的總和。令 nᵥ 為同片觀看數；基準中每部只看一次，Σnᵥ²＝20,000，而不是 4 億；不能把極端重看分布的平方界直接當成 demo 的現況。</w:t>
      </w:r>
    </w:p>
    <w:p>
      <w:pPr>
        <w:pStyle w:val="Heading2"/>
      </w:pPr>
      <w:r>
        <w:t>10 1 隔離合成量測</w:t>
      </w:r>
    </w:p>
    <w:p>
      <w:r>
        <w:t>測試以真正 Repository migrations 建立記憶體資料庫，含 20,000 部不同影片、2,000 頻道、730 天、每部八個固定 tags，三次中位數；環境為 Apple M5 Pro、Node 24.2.0、SQLite 3.50.0。[13]</w:t>
      </w:r>
    </w:p>
    <w:tbl>
      <w:tblPr>
        <w:tblW w:type="auto" w:w="0"/>
        <w:jc w:val="center"/>
        <w:tblLayout w:type="fixed"/>
        <w:tblLook w:firstColumn="1" w:firstRow="1" w:lastColumn="0" w:lastRow="0" w:noHBand="0" w:noVBand="1" w:val="04A0"/>
      </w:tblPr>
      <w:tblGrid>
        <w:gridCol w:w="2208"/>
        <w:gridCol w:w="3265"/>
        <w:gridCol w:w="4129"/>
      </w:tblGrid>
      <w:tr>
        <w:trPr>
          <w:cantSplit/>
          <w:tblHeader/>
        </w:trPr>
        <w:tc>
          <w:tcPr>
            <w:tcW w:type="dxa" w:w="2208"/>
            <w:vAlign w:val="center"/>
            <w:shd w:fill="183B50"/>
            <w:tcMar>
              <w:top w:w="95" w:type="dxa"/>
              <w:left w:w="95" w:type="dxa"/>
              <w:bottom w:w="95" w:type="dxa"/>
              <w:right w:w="95" w:type="dxa"/>
            </w:tcMar>
          </w:tcPr>
          <w:p>
            <w:pPr>
              <w:spacing w:after="0" w:line="276" w:lineRule="auto"/>
            </w:pPr>
            <w:r>
              <w:rPr>
                <w:b/>
                <w:color w:val="FFFFFF"/>
                <w:sz w:val="20"/>
              </w:rPr>
              <w:t>單帳號操作</w:t>
            </w:r>
          </w:p>
        </w:tc>
        <w:tc>
          <w:tcPr>
            <w:tcW w:type="dxa" w:w="3265"/>
            <w:vAlign w:val="center"/>
            <w:shd w:fill="183B50"/>
            <w:tcMar>
              <w:top w:w="95" w:type="dxa"/>
              <w:left w:w="95" w:type="dxa"/>
              <w:bottom w:w="95" w:type="dxa"/>
              <w:right w:w="95" w:type="dxa"/>
            </w:tcMar>
          </w:tcPr>
          <w:p>
            <w:pPr>
              <w:spacing w:after="0" w:line="276" w:lineRule="auto"/>
            </w:pPr>
            <w:r>
              <w:rPr>
                <w:b/>
                <w:color w:val="FFFFFF"/>
                <w:sz w:val="20"/>
              </w:rPr>
              <w:t>中位數</w:t>
            </w:r>
          </w:p>
        </w:tc>
        <w:tc>
          <w:tcPr>
            <w:tcW w:type="dxa" w:w="4129"/>
            <w:vAlign w:val="center"/>
            <w:shd w:fill="183B50"/>
            <w:tcMar>
              <w:top w:w="95" w:type="dxa"/>
              <w:left w:w="95" w:type="dxa"/>
              <w:bottom w:w="95" w:type="dxa"/>
              <w:right w:w="95" w:type="dxa"/>
            </w:tcMar>
          </w:tcPr>
          <w:p>
            <w:pPr>
              <w:spacing w:after="0" w:line="276" w:lineRule="auto"/>
            </w:pPr>
            <w:r>
              <w:rPr>
                <w:b/>
                <w:color w:val="FFFFFF"/>
                <w:sz w:val="20"/>
              </w:rPr>
              <w:t>解讀</w:t>
            </w:r>
          </w:p>
        </w:tc>
      </w:tr>
      <w:tr>
        <w:trPr>
          <w:cantSplit/>
        </w:trPr>
        <w:tc>
          <w:tcPr>
            <w:tcW w:type="dxa" w:w="2208"/>
            <w:vAlign w:val="center"/>
            <w:shd w:fill="F0F5F7"/>
            <w:tcMar>
              <w:top w:w="95" w:type="dxa"/>
              <w:left w:w="95" w:type="dxa"/>
              <w:bottom w:w="95" w:type="dxa"/>
              <w:right w:w="95" w:type="dxa"/>
            </w:tcMar>
          </w:tcPr>
          <w:p>
            <w:pPr>
              <w:spacing w:after="0" w:line="276" w:lineRule="auto"/>
            </w:pPr>
            <w:r>
              <w:rPr>
                <w:b w:val="0"/>
                <w:color w:val="233846"/>
                <w:sz w:val="20"/>
              </w:rPr>
              <w:t>source 輸出全部 20,000 部</w:t>
            </w:r>
          </w:p>
        </w:tc>
        <w:tc>
          <w:tcPr>
            <w:tcW w:type="dxa" w:w="3265"/>
            <w:vAlign w:val="center"/>
            <w:shd w:fill="F0F5F7"/>
            <w:tcMar>
              <w:top w:w="95" w:type="dxa"/>
              <w:left w:w="95" w:type="dxa"/>
              <w:bottom w:w="95" w:type="dxa"/>
              <w:right w:w="95" w:type="dxa"/>
            </w:tcMar>
          </w:tcPr>
          <w:p>
            <w:pPr>
              <w:spacing w:after="0" w:line="276" w:lineRule="auto"/>
            </w:pPr>
            <w:r>
              <w:rPr>
                <w:b w:val="0"/>
                <w:color w:val="233846"/>
                <w:sz w:val="20"/>
              </w:rPr>
              <w:t>90.479 ms</w:t>
            </w:r>
          </w:p>
        </w:tc>
        <w:tc>
          <w:tcPr>
            <w:tcW w:type="dxa" w:w="4129"/>
            <w:vAlign w:val="center"/>
            <w:shd w:fill="F0F5F7"/>
            <w:tcMar>
              <w:top w:w="95" w:type="dxa"/>
              <w:left w:w="95" w:type="dxa"/>
              <w:bottom w:w="95" w:type="dxa"/>
              <w:right w:w="95" w:type="dxa"/>
            </w:tcMar>
          </w:tcPr>
          <w:p>
            <w:pPr>
              <w:spacing w:after="0" w:line="276" w:lineRule="auto"/>
            </w:pPr>
            <w:r>
              <w:rPr>
                <w:b w:val="0"/>
                <w:color w:val="233846"/>
                <w:sz w:val="20"/>
              </w:rPr>
              <w:t>同成本線性外推百人一輪約 9.05 秒</w:t>
            </w:r>
          </w:p>
        </w:tc>
      </w:tr>
      <w:tr>
        <w:trPr>
          <w:cantSplit/>
        </w:trPr>
        <w:tc>
          <w:tcPr>
            <w:tcW w:type="dxa" w:w="2208"/>
            <w:vAlign w:val="center"/>
            <w:shd w:fill="FFFFFF"/>
            <w:tcMar>
              <w:top w:w="95" w:type="dxa"/>
              <w:left w:w="95" w:type="dxa"/>
              <w:bottom w:w="95" w:type="dxa"/>
              <w:right w:w="95" w:type="dxa"/>
            </w:tcMar>
          </w:tcPr>
          <w:p>
            <w:pPr>
              <w:spacing w:after="0" w:line="276" w:lineRule="auto"/>
            </w:pPr>
            <w:r>
              <w:rPr>
                <w:b w:val="0"/>
                <w:color w:val="233846"/>
                <w:sz w:val="20"/>
              </w:rPr>
              <w:t>重建推估事件 TEMP 表</w:t>
            </w:r>
          </w:p>
        </w:tc>
        <w:tc>
          <w:tcPr>
            <w:tcW w:type="dxa" w:w="3265"/>
            <w:vAlign w:val="center"/>
            <w:shd w:fill="FFFFFF"/>
            <w:tcMar>
              <w:top w:w="95" w:type="dxa"/>
              <w:left w:w="95" w:type="dxa"/>
              <w:bottom w:w="95" w:type="dxa"/>
              <w:right w:w="95" w:type="dxa"/>
            </w:tcMar>
          </w:tcPr>
          <w:p>
            <w:pPr>
              <w:spacing w:after="0" w:line="276" w:lineRule="auto"/>
            </w:pPr>
            <w:r>
              <w:rPr>
                <w:b w:val="0"/>
                <w:color w:val="233846"/>
                <w:sz w:val="20"/>
              </w:rPr>
              <w:t>50.285 ms</w:t>
            </w:r>
          </w:p>
        </w:tc>
        <w:tc>
          <w:tcPr>
            <w:tcW w:type="dxa" w:w="4129"/>
            <w:vAlign w:val="center"/>
            <w:shd w:fill="FFFFFF"/>
            <w:tcMar>
              <w:top w:w="95" w:type="dxa"/>
              <w:left w:w="95" w:type="dxa"/>
              <w:bottom w:w="95" w:type="dxa"/>
              <w:right w:w="95" w:type="dxa"/>
            </w:tcMar>
          </w:tcPr>
          <w:p>
            <w:pPr>
              <w:spacing w:after="0" w:line="276" w:lineRule="auto"/>
            </w:pPr>
            <w:r>
              <w:rPr>
                <w:b w:val="0"/>
                <w:color w:val="233846"/>
                <w:sz w:val="20"/>
              </w:rPr>
              <w:t>包含中間表及索引，不含外部 API</w:t>
            </w:r>
          </w:p>
        </w:tc>
      </w:tr>
      <w:tr>
        <w:trPr>
          <w:cantSplit/>
        </w:trPr>
        <w:tc>
          <w:tcPr>
            <w:tcW w:type="dxa" w:w="2208"/>
            <w:vAlign w:val="center"/>
            <w:shd w:fill="F0F5F7"/>
            <w:tcMar>
              <w:top w:w="95" w:type="dxa"/>
              <w:left w:w="95" w:type="dxa"/>
              <w:bottom w:w="95" w:type="dxa"/>
              <w:right w:w="95" w:type="dxa"/>
            </w:tcMar>
          </w:tcPr>
          <w:p>
            <w:pPr>
              <w:spacing w:after="0" w:line="276" w:lineRule="auto"/>
            </w:pPr>
            <w:r>
              <w:rPr>
                <w:b w:val="0"/>
                <w:color w:val="233846"/>
                <w:sz w:val="20"/>
              </w:rPr>
              <w:t>TEMP 已存在的 overview</w:t>
            </w:r>
          </w:p>
        </w:tc>
        <w:tc>
          <w:tcPr>
            <w:tcW w:type="dxa" w:w="3265"/>
            <w:vAlign w:val="center"/>
            <w:shd w:fill="F0F5F7"/>
            <w:tcMar>
              <w:top w:w="95" w:type="dxa"/>
              <w:left w:w="95" w:type="dxa"/>
              <w:bottom w:w="95" w:type="dxa"/>
              <w:right w:w="95" w:type="dxa"/>
            </w:tcMar>
          </w:tcPr>
          <w:p>
            <w:pPr>
              <w:spacing w:after="0" w:line="276" w:lineRule="auto"/>
            </w:pPr>
            <w:r>
              <w:rPr>
                <w:b w:val="0"/>
                <w:color w:val="233846"/>
                <w:sz w:val="20"/>
              </w:rPr>
              <w:t>115.062 ms</w:t>
            </w:r>
          </w:p>
        </w:tc>
        <w:tc>
          <w:tcPr>
            <w:tcW w:type="dxa" w:w="4129"/>
            <w:vAlign w:val="center"/>
            <w:shd w:fill="F0F5F7"/>
            <w:tcMar>
              <w:top w:w="95" w:type="dxa"/>
              <w:left w:w="95" w:type="dxa"/>
              <w:bottom w:w="95" w:type="dxa"/>
              <w:right w:w="95" w:type="dxa"/>
            </w:tcMar>
          </w:tcPr>
          <w:p>
            <w:pPr>
              <w:spacing w:after="0" w:line="276" w:lineRule="auto"/>
            </w:pPr>
            <w:r>
              <w:rPr>
                <w:b w:val="0"/>
                <w:color w:val="233846"/>
                <w:sz w:val="20"/>
              </w:rPr>
              <w:t>尚非 HTTP 端到端時間</w:t>
            </w:r>
          </w:p>
        </w:tc>
      </w:tr>
      <w:tr>
        <w:trPr>
          <w:cantSplit/>
        </w:trPr>
        <w:tc>
          <w:tcPr>
            <w:tcW w:type="dxa" w:w="2208"/>
            <w:vAlign w:val="center"/>
            <w:shd w:fill="FFFFFF"/>
            <w:tcMar>
              <w:top w:w="95" w:type="dxa"/>
              <w:left w:w="95" w:type="dxa"/>
              <w:bottom w:w="95" w:type="dxa"/>
              <w:right w:w="95" w:type="dxa"/>
            </w:tcMar>
          </w:tcPr>
          <w:p>
            <w:pPr>
              <w:spacing w:after="0" w:line="276" w:lineRule="auto"/>
            </w:pPr>
            <w:r>
              <w:rPr>
                <w:b w:val="0"/>
                <w:color w:val="233846"/>
                <w:sz w:val="20"/>
              </w:rPr>
              <w:t>TEMP 已存在的全時段 Insights</w:t>
            </w:r>
          </w:p>
        </w:tc>
        <w:tc>
          <w:tcPr>
            <w:tcW w:type="dxa" w:w="3265"/>
            <w:vAlign w:val="center"/>
            <w:shd w:fill="FFFFFF"/>
            <w:tcMar>
              <w:top w:w="95" w:type="dxa"/>
              <w:left w:w="95" w:type="dxa"/>
              <w:bottom w:w="95" w:type="dxa"/>
              <w:right w:w="95" w:type="dxa"/>
            </w:tcMar>
          </w:tcPr>
          <w:p>
            <w:pPr>
              <w:spacing w:after="0" w:line="276" w:lineRule="auto"/>
            </w:pPr>
            <w:r>
              <w:rPr>
                <w:b w:val="0"/>
                <w:color w:val="233846"/>
                <w:sz w:val="20"/>
              </w:rPr>
              <w:t>418.756 ms</w:t>
            </w:r>
          </w:p>
        </w:tc>
        <w:tc>
          <w:tcPr>
            <w:tcW w:type="dxa" w:w="4129"/>
            <w:vAlign w:val="center"/>
            <w:shd w:fill="FFFFFF"/>
            <w:tcMar>
              <w:top w:w="95" w:type="dxa"/>
              <w:left w:w="95" w:type="dxa"/>
              <w:bottom w:w="95" w:type="dxa"/>
              <w:right w:w="95" w:type="dxa"/>
            </w:tcMar>
          </w:tcPr>
          <w:p>
            <w:pPr>
              <w:spacing w:after="0" w:line="276" w:lineRule="auto"/>
            </w:pPr>
            <w:r>
              <w:rPr>
                <w:b w:val="0"/>
                <w:color w:val="233846"/>
                <w:sz w:val="20"/>
              </w:rPr>
              <w:t>不含路由的全站參考母體</w:t>
            </w:r>
          </w:p>
        </w:tc>
      </w:tr>
      <w:tr>
        <w:trPr>
          <w:cantSplit/>
        </w:trPr>
        <w:tc>
          <w:tcPr>
            <w:tcW w:type="dxa" w:w="2208"/>
            <w:vAlign w:val="center"/>
            <w:shd w:fill="F0F5F7"/>
            <w:tcMar>
              <w:top w:w="95" w:type="dxa"/>
              <w:left w:w="95" w:type="dxa"/>
              <w:bottom w:w="95" w:type="dxa"/>
              <w:right w:w="95" w:type="dxa"/>
            </w:tcMar>
          </w:tcPr>
          <w:p>
            <w:pPr>
              <w:spacing w:after="0" w:line="276" w:lineRule="auto"/>
            </w:pPr>
            <w:r>
              <w:rPr>
                <w:b w:val="0"/>
                <w:color w:val="233846"/>
                <w:sz w:val="20"/>
              </w:rPr>
              <w:t>100 次 placeholder 查找</w:t>
            </w:r>
          </w:p>
        </w:tc>
        <w:tc>
          <w:tcPr>
            <w:tcW w:type="dxa" w:w="3265"/>
            <w:vAlign w:val="center"/>
            <w:shd w:fill="F0F5F7"/>
            <w:tcMar>
              <w:top w:w="95" w:type="dxa"/>
              <w:left w:w="95" w:type="dxa"/>
              <w:bottom w:w="95" w:type="dxa"/>
              <w:right w:w="95" w:type="dxa"/>
            </w:tcMar>
          </w:tcPr>
          <w:p>
            <w:pPr>
              <w:spacing w:after="0" w:line="276" w:lineRule="auto"/>
            </w:pPr>
            <w:r>
              <w:rPr>
                <w:b w:val="0"/>
                <w:color w:val="233846"/>
                <w:sz w:val="20"/>
              </w:rPr>
              <w:t>46.188 ms</w:t>
            </w:r>
          </w:p>
        </w:tc>
        <w:tc>
          <w:tcPr>
            <w:tcW w:type="dxa" w:w="4129"/>
            <w:vAlign w:val="center"/>
            <w:shd w:fill="F0F5F7"/>
            <w:tcMar>
              <w:top w:w="95" w:type="dxa"/>
              <w:left w:w="95" w:type="dxa"/>
              <w:bottom w:w="95" w:type="dxa"/>
              <w:right w:w="95" w:type="dxa"/>
            </w:tcMar>
          </w:tcPr>
          <w:p>
            <w:pPr>
              <w:spacing w:after="0" w:line="276" w:lineRule="auto"/>
            </w:pPr>
            <w:r>
              <w:rPr>
                <w:b w:val="0"/>
                <w:color w:val="233846"/>
                <w:sz w:val="20"/>
              </w:rPr>
              <w:t>合成 expression index 後為 0.051 ms</w:t>
            </w:r>
          </w:p>
        </w:tc>
      </w:tr>
    </w:tbl>
    <w:p>
      <w:pPr>
        <w:spacing w:after="20" w:before="0" w:line="40" w:lineRule="exact"/>
      </w:pPr>
      <w:r>
        <w:rPr>
          <w:sz w:val="4"/>
        </w:rPr>
      </w:r>
    </w:p>
    <w:p>
      <w:r>
        <w:t>目前 worker 無待辦時約等待 5 秒再進入 source 掃描；跨日 fingerprint 亦可能導致內容重分群。改善順序為版本／dirty-user 檢查、拆開頻道 TTL、匯入索引、摘要與精確配對快取，再驗證稀疏分群。上述改善為後續迭代項目，尚未納入本版實作。正式 100 人並發與 DBSCAN 峰值仍需壓測。</w:t>
      </w:r>
    </w:p>
    <w:p>
      <w:r>
        <w:br w:type="page"/>
      </w:r>
    </w:p>
    <w:p>
      <w:pPr>
        <w:pStyle w:val="Heading1"/>
      </w:pPr>
      <w:r>
        <w:t>11 驗證方法與穩定性證據</w:t>
      </w:r>
    </w:p>
    <w:p>
      <w:pPr>
        <w:pStyle w:val="Heading2"/>
      </w:pPr>
      <w:r>
        <w:t>11 1 可重現驗證</w:t>
      </w:r>
    </w:p>
    <w:p>
      <w:r>
        <w:t>本次以 lockfile 重新安裝本地依賴後執行 npm run check。TypeScript 檢查通過；Node 測試共 307 項，306 通過、0 失敗、1 跳過。首輪跳過項為選配的 Node 至 Python HTTP 整合測試；另啟動隔離 localhost 數值服務後，已獨立補測通過該項。這證明合成向量的跨服務計算契約，不等於正式環境負載驗收。[14]</w:t>
      </w:r>
    </w:p>
    <w:p>
      <w:r>
        <w:t>Python 數值測試使用隔離環境與 requirements.txt 的固定版本，結果見本節驗證表。所有 fixture 使用合成身分與固定向量，未讀取正式使用者資料，未呼叫付費分類或 embedding API。</w:t>
      </w:r>
    </w:p>
    <w:tbl>
      <w:tblPr>
        <w:tblW w:type="auto" w:w="0"/>
        <w:jc w:val="center"/>
        <w:tblLayout w:type="fixed"/>
        <w:tblLook w:firstColumn="1" w:firstRow="1" w:lastColumn="0" w:lastRow="0" w:noHBand="0" w:noVBand="1" w:val="04A0"/>
      </w:tblPr>
      <w:tblGrid>
        <w:gridCol w:w="2208"/>
        <w:gridCol w:w="3265"/>
        <w:gridCol w:w="4129"/>
      </w:tblGrid>
      <w:tr>
        <w:trPr>
          <w:cantSplit/>
          <w:tblHeader/>
        </w:trPr>
        <w:tc>
          <w:tcPr>
            <w:tcW w:type="dxa" w:w="2208"/>
            <w:vAlign w:val="center"/>
            <w:shd w:fill="183B50"/>
            <w:tcMar>
              <w:top w:w="95" w:type="dxa"/>
              <w:left w:w="95" w:type="dxa"/>
              <w:bottom w:w="95" w:type="dxa"/>
              <w:right w:w="95" w:type="dxa"/>
            </w:tcMar>
          </w:tcPr>
          <w:p>
            <w:pPr>
              <w:spacing w:after="0" w:line="276" w:lineRule="auto"/>
            </w:pPr>
            <w:r>
              <w:rPr>
                <w:b/>
                <w:color w:val="FFFFFF"/>
                <w:sz w:val="20"/>
              </w:rPr>
              <w:t>驗證範圍</w:t>
            </w:r>
          </w:p>
        </w:tc>
        <w:tc>
          <w:tcPr>
            <w:tcW w:type="dxa" w:w="3265"/>
            <w:vAlign w:val="center"/>
            <w:shd w:fill="183B50"/>
            <w:tcMar>
              <w:top w:w="95" w:type="dxa"/>
              <w:left w:w="95" w:type="dxa"/>
              <w:bottom w:w="95" w:type="dxa"/>
              <w:right w:w="95" w:type="dxa"/>
            </w:tcMar>
          </w:tcPr>
          <w:p>
            <w:pPr>
              <w:spacing w:after="0" w:line="276" w:lineRule="auto"/>
            </w:pPr>
            <w:r>
              <w:rPr>
                <w:b/>
                <w:color w:val="FFFFFF"/>
                <w:sz w:val="20"/>
              </w:rPr>
              <w:t>核心性質與案例</w:t>
            </w:r>
          </w:p>
        </w:tc>
        <w:tc>
          <w:tcPr>
            <w:tcW w:type="dxa" w:w="4129"/>
            <w:vAlign w:val="center"/>
            <w:shd w:fill="183B50"/>
            <w:tcMar>
              <w:top w:w="95" w:type="dxa"/>
              <w:left w:w="95" w:type="dxa"/>
              <w:bottom w:w="95" w:type="dxa"/>
              <w:right w:w="95" w:type="dxa"/>
            </w:tcMar>
          </w:tcPr>
          <w:p>
            <w:pPr>
              <w:spacing w:after="0" w:line="276" w:lineRule="auto"/>
            </w:pPr>
            <w:r>
              <w:rPr>
                <w:b/>
                <w:color w:val="FFFFFF"/>
                <w:sz w:val="20"/>
              </w:rPr>
              <w:t>證據定位</w:t>
            </w:r>
          </w:p>
        </w:tc>
      </w:tr>
      <w:tr>
        <w:trPr>
          <w:cantSplit/>
        </w:trPr>
        <w:tc>
          <w:tcPr>
            <w:tcW w:type="dxa" w:w="2208"/>
            <w:vAlign w:val="center"/>
            <w:shd w:fill="F0F5F7"/>
            <w:tcMar>
              <w:top w:w="95" w:type="dxa"/>
              <w:left w:w="95" w:type="dxa"/>
              <w:bottom w:w="95" w:type="dxa"/>
              <w:right w:w="95" w:type="dxa"/>
            </w:tcMar>
          </w:tcPr>
          <w:p>
            <w:pPr>
              <w:spacing w:after="0" w:line="276" w:lineRule="auto"/>
            </w:pPr>
            <w:r>
              <w:rPr>
                <w:b w:val="0"/>
                <w:color w:val="233846"/>
                <w:sz w:val="20"/>
              </w:rPr>
              <w:t>TypeScript 與 Node 測試</w:t>
            </w:r>
          </w:p>
        </w:tc>
        <w:tc>
          <w:tcPr>
            <w:tcW w:type="dxa" w:w="3265"/>
            <w:vAlign w:val="center"/>
            <w:shd w:fill="F0F5F7"/>
            <w:tcMar>
              <w:top w:w="95" w:type="dxa"/>
              <w:left w:w="95" w:type="dxa"/>
              <w:bottom w:w="95" w:type="dxa"/>
              <w:right w:w="95" w:type="dxa"/>
            </w:tcMar>
          </w:tcPr>
          <w:p>
            <w:pPr>
              <w:spacing w:after="0" w:line="276" w:lineRule="auto"/>
            </w:pPr>
            <w:r>
              <w:rPr>
                <w:b w:val="0"/>
                <w:color w:val="233846"/>
                <w:sz w:val="20"/>
              </w:rPr>
              <w:t>匯入、聚合、配對、授權、失敗與監控</w:t>
            </w:r>
          </w:p>
        </w:tc>
        <w:tc>
          <w:tcPr>
            <w:tcW w:type="dxa" w:w="4129"/>
            <w:vAlign w:val="center"/>
            <w:shd w:fill="F0F5F7"/>
            <w:tcMar>
              <w:top w:w="95" w:type="dxa"/>
              <w:left w:w="95" w:type="dxa"/>
              <w:bottom w:w="95" w:type="dxa"/>
              <w:right w:w="95" w:type="dxa"/>
            </w:tcMar>
          </w:tcPr>
          <w:p>
            <w:pPr>
              <w:spacing w:after="0" w:line="276" w:lineRule="auto"/>
            </w:pPr>
            <w:r>
              <w:rPr>
                <w:b w:val="0"/>
                <w:color w:val="233846"/>
                <w:sz w:val="20"/>
              </w:rPr>
              <w:t>首輪 306 通過；跳過的 HTTP 項另補測通過</w:t>
            </w:r>
          </w:p>
        </w:tc>
      </w:tr>
      <w:tr>
        <w:trPr>
          <w:cantSplit/>
        </w:trPr>
        <w:tc>
          <w:tcPr>
            <w:tcW w:type="dxa" w:w="2208"/>
            <w:vAlign w:val="center"/>
            <w:shd w:fill="FFFFFF"/>
            <w:tcMar>
              <w:top w:w="95" w:type="dxa"/>
              <w:left w:w="95" w:type="dxa"/>
              <w:bottom w:w="95" w:type="dxa"/>
              <w:right w:w="95" w:type="dxa"/>
            </w:tcMar>
          </w:tcPr>
          <w:p>
            <w:pPr>
              <w:spacing w:after="0" w:line="276" w:lineRule="auto"/>
            </w:pPr>
            <w:r>
              <w:rPr>
                <w:b w:val="0"/>
                <w:color w:val="233846"/>
                <w:sz w:val="20"/>
              </w:rPr>
              <w:t>Python 數值測試</w:t>
            </w:r>
          </w:p>
        </w:tc>
        <w:tc>
          <w:tcPr>
            <w:tcW w:type="dxa" w:w="3265"/>
            <w:vAlign w:val="center"/>
            <w:shd w:fill="FFFFFF"/>
            <w:tcMar>
              <w:top w:w="95" w:type="dxa"/>
              <w:left w:w="95" w:type="dxa"/>
              <w:bottom w:w="95" w:type="dxa"/>
              <w:right w:w="95" w:type="dxa"/>
            </w:tcMar>
          </w:tcPr>
          <w:p>
            <w:pPr>
              <w:spacing w:after="0" w:line="276" w:lineRule="auto"/>
            </w:pPr>
            <w:r>
              <w:rPr>
                <w:b w:val="0"/>
                <w:color w:val="233846"/>
                <w:sz w:val="20"/>
              </w:rPr>
              <w:t>對稱性、同分布、質量守恆、noise、十群上限、無效向量</w:t>
            </w:r>
          </w:p>
        </w:tc>
        <w:tc>
          <w:tcPr>
            <w:tcW w:type="dxa" w:w="4129"/>
            <w:vAlign w:val="center"/>
            <w:shd w:fill="FFFFFF"/>
            <w:tcMar>
              <w:top w:w="95" w:type="dxa"/>
              <w:left w:w="95" w:type="dxa"/>
              <w:bottom w:w="95" w:type="dxa"/>
              <w:right w:w="95" w:type="dxa"/>
            </w:tcMar>
          </w:tcPr>
          <w:p>
            <w:pPr>
              <w:spacing w:after="0" w:line="276" w:lineRule="auto"/>
            </w:pPr>
            <w:r>
              <w:rPr>
                <w:b w:val="0"/>
                <w:color w:val="233846"/>
                <w:sz w:val="20"/>
              </w:rPr>
              <w:t>test_compute.py；6 項全部通過</w:t>
            </w:r>
          </w:p>
        </w:tc>
      </w:tr>
      <w:tr>
        <w:trPr>
          <w:cantSplit/>
        </w:trPr>
        <w:tc>
          <w:tcPr>
            <w:tcW w:type="dxa" w:w="2208"/>
            <w:vAlign w:val="center"/>
            <w:shd w:fill="F0F5F7"/>
            <w:tcMar>
              <w:top w:w="95" w:type="dxa"/>
              <w:left w:w="95" w:type="dxa"/>
              <w:bottom w:w="95" w:type="dxa"/>
              <w:right w:w="95" w:type="dxa"/>
            </w:tcMar>
          </w:tcPr>
          <w:p>
            <w:pPr>
              <w:spacing w:after="0" w:line="276" w:lineRule="auto"/>
            </w:pPr>
            <w:r>
              <w:rPr>
                <w:b w:val="0"/>
                <w:color w:val="233846"/>
                <w:sz w:val="20"/>
              </w:rPr>
              <w:t>v3 排程</w:t>
            </w:r>
          </w:p>
        </w:tc>
        <w:tc>
          <w:tcPr>
            <w:tcW w:type="dxa" w:w="3265"/>
            <w:vAlign w:val="center"/>
            <w:shd w:fill="F0F5F7"/>
            <w:tcMar>
              <w:top w:w="95" w:type="dxa"/>
              <w:left w:w="95" w:type="dxa"/>
              <w:bottom w:w="95" w:type="dxa"/>
              <w:right w:w="95" w:type="dxa"/>
            </w:tcMar>
          </w:tcPr>
          <w:p>
            <w:pPr>
              <w:spacing w:after="0" w:line="276" w:lineRule="auto"/>
            </w:pPr>
            <w:r>
              <w:rPr>
                <w:b w:val="0"/>
                <w:color w:val="233846"/>
                <w:sz w:val="20"/>
              </w:rPr>
              <w:t>同帳號批次並行、GPT／Gemini 隔離、等待兄弟工作、重試</w:t>
            </w:r>
          </w:p>
        </w:tc>
        <w:tc>
          <w:tcPr>
            <w:tcW w:type="dxa" w:w="4129"/>
            <w:vAlign w:val="center"/>
            <w:shd w:fill="F0F5F7"/>
            <w:tcMar>
              <w:top w:w="95" w:type="dxa"/>
              <w:left w:w="95" w:type="dxa"/>
              <w:bottom w:w="95" w:type="dxa"/>
              <w:right w:w="95" w:type="dxa"/>
            </w:tcMar>
          </w:tcPr>
          <w:p>
            <w:pPr>
              <w:spacing w:after="0" w:line="276" w:lineRule="auto"/>
            </w:pPr>
            <w:r>
              <w:rPr>
                <w:b w:val="0"/>
                <w:color w:val="233846"/>
                <w:sz w:val="20"/>
              </w:rPr>
              <w:t>matching-v3、matching-dispatch、gemini-keys tests</w:t>
            </w:r>
          </w:p>
        </w:tc>
      </w:tr>
      <w:tr>
        <w:trPr>
          <w:cantSplit/>
        </w:trPr>
        <w:tc>
          <w:tcPr>
            <w:tcW w:type="dxa" w:w="2208"/>
            <w:vAlign w:val="center"/>
            <w:shd w:fill="FFFFFF"/>
            <w:tcMar>
              <w:top w:w="95" w:type="dxa"/>
              <w:left w:w="95" w:type="dxa"/>
              <w:bottom w:w="95" w:type="dxa"/>
              <w:right w:w="95" w:type="dxa"/>
            </w:tcMar>
          </w:tcPr>
          <w:p>
            <w:pPr>
              <w:spacing w:after="0" w:line="276" w:lineRule="auto"/>
            </w:pPr>
            <w:r>
              <w:rPr>
                <w:b w:val="0"/>
                <w:color w:val="233846"/>
                <w:sz w:val="20"/>
              </w:rPr>
              <w:t>產品授權</w:t>
            </w:r>
          </w:p>
        </w:tc>
        <w:tc>
          <w:tcPr>
            <w:tcW w:type="dxa" w:w="3265"/>
            <w:vAlign w:val="center"/>
            <w:shd w:fill="FFFFFF"/>
            <w:tcMar>
              <w:top w:w="95" w:type="dxa"/>
              <w:left w:w="95" w:type="dxa"/>
              <w:bottom w:w="95" w:type="dxa"/>
              <w:right w:w="95" w:type="dxa"/>
            </w:tcMar>
          </w:tcPr>
          <w:p>
            <w:pPr>
              <w:spacing w:after="0" w:line="276" w:lineRule="auto"/>
            </w:pPr>
            <w:r>
              <w:rPr>
                <w:b w:val="0"/>
                <w:color w:val="233846"/>
                <w:sz w:val="20"/>
              </w:rPr>
              <w:t>私人／公開／好友、退出、類別撤回、過期 token</w:t>
            </w:r>
          </w:p>
        </w:tc>
        <w:tc>
          <w:tcPr>
            <w:tcW w:type="dxa" w:w="4129"/>
            <w:vAlign w:val="center"/>
            <w:shd w:fill="FFFFFF"/>
            <w:tcMar>
              <w:top w:w="95" w:type="dxa"/>
              <w:left w:w="95" w:type="dxa"/>
              <w:bottom w:w="95" w:type="dxa"/>
              <w:right w:w="95" w:type="dxa"/>
            </w:tcMar>
          </w:tcPr>
          <w:p>
            <w:pPr>
              <w:spacing w:after="0" w:line="276" w:lineRule="auto"/>
            </w:pPr>
            <w:r>
              <w:rPr>
                <w:b w:val="0"/>
                <w:color w:val="233846"/>
                <w:sz w:val="20"/>
              </w:rPr>
              <w:t>matching-integration、privacy-lifecycle tests</w:t>
            </w:r>
          </w:p>
        </w:tc>
      </w:tr>
      <w:tr>
        <w:trPr>
          <w:cantSplit/>
        </w:trPr>
        <w:tc>
          <w:tcPr>
            <w:tcW w:type="dxa" w:w="2208"/>
            <w:vAlign w:val="center"/>
            <w:shd w:fill="F0F5F7"/>
            <w:tcMar>
              <w:top w:w="95" w:type="dxa"/>
              <w:left w:w="95" w:type="dxa"/>
              <w:bottom w:w="95" w:type="dxa"/>
              <w:right w:w="95" w:type="dxa"/>
            </w:tcMar>
          </w:tcPr>
          <w:p>
            <w:pPr>
              <w:spacing w:after="0" w:line="276" w:lineRule="auto"/>
            </w:pPr>
            <w:r>
              <w:rPr>
                <w:b w:val="0"/>
                <w:color w:val="233846"/>
                <w:sz w:val="20"/>
              </w:rPr>
              <w:t>效能定位</w:t>
            </w:r>
          </w:p>
        </w:tc>
        <w:tc>
          <w:tcPr>
            <w:tcW w:type="dxa" w:w="3265"/>
            <w:vAlign w:val="center"/>
            <w:shd w:fill="F0F5F7"/>
            <w:tcMar>
              <w:top w:w="95" w:type="dxa"/>
              <w:left w:w="95" w:type="dxa"/>
              <w:bottom w:w="95" w:type="dxa"/>
              <w:right w:w="95" w:type="dxa"/>
            </w:tcMar>
          </w:tcPr>
          <w:p>
            <w:pPr>
              <w:spacing w:after="0" w:line="276" w:lineRule="auto"/>
            </w:pPr>
            <w:r>
              <w:rPr>
                <w:b w:val="0"/>
                <w:color w:val="233846"/>
                <w:sz w:val="20"/>
              </w:rPr>
              <w:t>單人 20,000 筆、查詢計畫、索引前後差異</w:t>
            </w:r>
          </w:p>
        </w:tc>
        <w:tc>
          <w:tcPr>
            <w:tcW w:type="dxa" w:w="4129"/>
            <w:vAlign w:val="center"/>
            <w:shd w:fill="F0F5F7"/>
            <w:tcMar>
              <w:top w:w="95" w:type="dxa"/>
              <w:left w:w="95" w:type="dxa"/>
              <w:bottom w:w="95" w:type="dxa"/>
              <w:right w:w="95" w:type="dxa"/>
            </w:tcMar>
          </w:tcPr>
          <w:p>
            <w:pPr>
              <w:spacing w:after="0" w:line="276" w:lineRule="auto"/>
            </w:pPr>
            <w:r>
              <w:rPr>
                <w:b w:val="0"/>
                <w:color w:val="233846"/>
                <w:sz w:val="20"/>
              </w:rPr>
              <w:t>demo-load-probe 與 evidence JSON</w:t>
            </w:r>
          </w:p>
        </w:tc>
      </w:tr>
    </w:tbl>
    <w:p>
      <w:pPr>
        <w:spacing w:after="20" w:before="0" w:line="40" w:lineRule="exact"/>
      </w:pPr>
      <w:r>
        <w:rPr>
          <w:sz w:val="4"/>
        </w:rPr>
      </w:r>
    </w:p>
    <w:p>
      <w:pPr>
        <w:pStyle w:val="Heading2"/>
      </w:pPr>
      <w:r>
        <w:t>11 2 CI 與可觀測性</w:t>
      </w:r>
    </w:p>
    <w:p>
      <w:r>
        <w:t>GitHub Actions 定義 Node 22 的 npm ci、npm run check 與 production image build。這是目前 CI 流程定義；本次本地通過不等於已查證每個遠端工作流均成功。Python 六項測試需依文件另外執行，不將它描述為已納入該 Node CI。[14]</w:t>
      </w:r>
    </w:p>
    <w:p>
      <w:r>
        <w:t>應用提供 healthz 與 readyz，以區分服務存活與依賴／worker／備份狀態。v3 admin 監控以 session 與 allowlist 保護，呈現 worker 心跳、批次進度、成功／部分成功／失敗、併發及 token 用量。現有指標支援故障定位，但不足以取代 HTTP p95／p99 與事件迴圈延遲量測。</w:t>
      </w:r>
    </w:p>
    <w:p>
      <w:pPr>
        <w:pStyle w:val="Heading2"/>
      </w:pPr>
      <w:r>
        <w:t>11 3 尚待完成的容量與品質驗收</w:t>
      </w:r>
    </w:p>
    <w:p>
      <w:r>
        <w:t>下一階段需在隔離的百帳號資料上測試 1、10、100 個同時互動者，涵蓋冷／暖快取、匯入、背景分群及跨日刷新，量測 CPU、RSS、SQL 鎖等待、RPC 排隊與 HTTP 尾延遲。語意品質則需人工標註與盲測，調整 eps、similarity floor 及覆蓋門檻；目前初始門檻不宣稱已完成真人校準。</w:t>
      </w:r>
    </w:p>
    <w:p>
      <w:r>
        <w:br w:type="page"/>
      </w:r>
    </w:p>
    <w:p>
      <w:pPr>
        <w:pStyle w:val="Heading1"/>
      </w:pPr>
      <w:r>
        <w:t>12 展示流程與開源品質</w:t>
      </w:r>
    </w:p>
    <w:p>
      <w:pPr>
        <w:pStyle w:val="Heading2"/>
      </w:pPr>
      <w:r>
        <w:t>12 1 可重播的展示敘事</w:t>
      </w:r>
    </w:p>
    <w:tbl>
      <w:tblPr>
        <w:tblW w:type="auto" w:w="0"/>
        <w:jc w:val="center"/>
        <w:tblLayout w:type="fixed"/>
        <w:tblLook w:firstColumn="1" w:firstRow="1" w:lastColumn="0" w:lastRow="0" w:noHBand="0" w:noVBand="1" w:val="04A0"/>
      </w:tblPr>
      <w:tblGrid>
        <w:gridCol w:w="2208"/>
        <w:gridCol w:w="3265"/>
        <w:gridCol w:w="4129"/>
      </w:tblGrid>
      <w:tr>
        <w:trPr>
          <w:cantSplit/>
          <w:tblHeader/>
        </w:trPr>
        <w:tc>
          <w:tcPr>
            <w:tcW w:type="dxa" w:w="2208"/>
            <w:vAlign w:val="center"/>
            <w:shd w:fill="183B50"/>
            <w:tcMar>
              <w:top w:w="95" w:type="dxa"/>
              <w:left w:w="95" w:type="dxa"/>
              <w:bottom w:w="95" w:type="dxa"/>
              <w:right w:w="95" w:type="dxa"/>
            </w:tcMar>
          </w:tcPr>
          <w:p>
            <w:pPr>
              <w:spacing w:after="0" w:line="276" w:lineRule="auto"/>
            </w:pPr>
            <w:r>
              <w:rPr>
                <w:b/>
                <w:color w:val="FFFFFF"/>
                <w:sz w:val="20"/>
              </w:rPr>
              <w:t>步驟</w:t>
            </w:r>
          </w:p>
        </w:tc>
        <w:tc>
          <w:tcPr>
            <w:tcW w:type="dxa" w:w="3265"/>
            <w:vAlign w:val="center"/>
            <w:shd w:fill="183B50"/>
            <w:tcMar>
              <w:top w:w="95" w:type="dxa"/>
              <w:left w:w="95" w:type="dxa"/>
              <w:bottom w:w="95" w:type="dxa"/>
              <w:right w:w="95" w:type="dxa"/>
            </w:tcMar>
          </w:tcPr>
          <w:p>
            <w:pPr>
              <w:spacing w:after="0" w:line="276" w:lineRule="auto"/>
            </w:pPr>
            <w:r>
              <w:rPr>
                <w:b/>
                <w:color w:val="FFFFFF"/>
                <w:sz w:val="20"/>
              </w:rPr>
              <w:t>評審看到的操作</w:t>
            </w:r>
          </w:p>
        </w:tc>
        <w:tc>
          <w:tcPr>
            <w:tcW w:type="dxa" w:w="4129"/>
            <w:vAlign w:val="center"/>
            <w:shd w:fill="183B50"/>
            <w:tcMar>
              <w:top w:w="95" w:type="dxa"/>
              <w:left w:w="95" w:type="dxa"/>
              <w:bottom w:w="95" w:type="dxa"/>
              <w:right w:w="95" w:type="dxa"/>
            </w:tcMar>
          </w:tcPr>
          <w:p>
            <w:pPr>
              <w:spacing w:after="0" w:line="276" w:lineRule="auto"/>
            </w:pPr>
            <w:r>
              <w:rPr>
                <w:b/>
                <w:color w:val="FFFFFF"/>
                <w:sz w:val="20"/>
              </w:rPr>
              <w:t>對應技術證據</w:t>
            </w:r>
          </w:p>
        </w:tc>
      </w:tr>
      <w:tr>
        <w:trPr>
          <w:cantSplit/>
        </w:trPr>
        <w:tc>
          <w:tcPr>
            <w:tcW w:type="dxa" w:w="2208"/>
            <w:vAlign w:val="center"/>
            <w:shd w:fill="F0F5F7"/>
            <w:tcMar>
              <w:top w:w="95" w:type="dxa"/>
              <w:left w:w="95" w:type="dxa"/>
              <w:bottom w:w="95" w:type="dxa"/>
              <w:right w:w="95" w:type="dxa"/>
            </w:tcMar>
          </w:tcPr>
          <w:p>
            <w:pPr>
              <w:spacing w:after="0" w:line="276" w:lineRule="auto"/>
            </w:pPr>
            <w:r>
              <w:rPr>
                <w:b w:val="0"/>
                <w:color w:val="233846"/>
                <w:sz w:val="20"/>
              </w:rPr>
              <w:t>匯入與處理</w:t>
            </w:r>
          </w:p>
        </w:tc>
        <w:tc>
          <w:tcPr>
            <w:tcW w:type="dxa" w:w="3265"/>
            <w:vAlign w:val="center"/>
            <w:shd w:fill="F0F5F7"/>
            <w:tcMar>
              <w:top w:w="95" w:type="dxa"/>
              <w:left w:w="95" w:type="dxa"/>
              <w:bottom w:w="95" w:type="dxa"/>
              <w:right w:w="95" w:type="dxa"/>
            </w:tcMar>
          </w:tcPr>
          <w:p>
            <w:pPr>
              <w:spacing w:after="0" w:line="276" w:lineRule="auto"/>
            </w:pPr>
            <w:r>
              <w:rPr>
                <w:b w:val="0"/>
                <w:color w:val="233846"/>
                <w:sz w:val="20"/>
              </w:rPr>
              <w:t>合成帳號匯入觀看資料，查看處理狀態</w:t>
            </w:r>
          </w:p>
        </w:tc>
        <w:tc>
          <w:tcPr>
            <w:tcW w:type="dxa" w:w="4129"/>
            <w:vAlign w:val="center"/>
            <w:shd w:fill="F0F5F7"/>
            <w:tcMar>
              <w:top w:w="95" w:type="dxa"/>
              <w:left w:w="95" w:type="dxa"/>
              <w:bottom w:w="95" w:type="dxa"/>
              <w:right w:w="95" w:type="dxa"/>
            </w:tcMar>
          </w:tcPr>
          <w:p>
            <w:pPr>
              <w:spacing w:after="0" w:line="276" w:lineRule="auto"/>
            </w:pPr>
            <w:r>
              <w:rPr>
                <w:b w:val="0"/>
                <w:color w:val="233846"/>
                <w:sz w:val="20"/>
              </w:rPr>
              <w:t>正規化、去重、可恢復 pipeline</w:t>
            </w:r>
          </w:p>
        </w:tc>
      </w:tr>
      <w:tr>
        <w:trPr>
          <w:cantSplit/>
        </w:trPr>
        <w:tc>
          <w:tcPr>
            <w:tcW w:type="dxa" w:w="2208"/>
            <w:vAlign w:val="center"/>
            <w:shd w:fill="FFFFFF"/>
            <w:tcMar>
              <w:top w:w="95" w:type="dxa"/>
              <w:left w:w="95" w:type="dxa"/>
              <w:bottom w:w="95" w:type="dxa"/>
              <w:right w:w="95" w:type="dxa"/>
            </w:tcMar>
          </w:tcPr>
          <w:p>
            <w:pPr>
              <w:spacing w:after="0" w:line="276" w:lineRule="auto"/>
            </w:pPr>
            <w:r>
              <w:rPr>
                <w:b w:val="0"/>
                <w:color w:val="233846"/>
                <w:sz w:val="20"/>
              </w:rPr>
              <w:t>私人洞察</w:t>
            </w:r>
          </w:p>
        </w:tc>
        <w:tc>
          <w:tcPr>
            <w:tcW w:type="dxa" w:w="3265"/>
            <w:vAlign w:val="center"/>
            <w:shd w:fill="FFFFFF"/>
            <w:tcMar>
              <w:top w:w="95" w:type="dxa"/>
              <w:left w:w="95" w:type="dxa"/>
              <w:bottom w:w="95" w:type="dxa"/>
              <w:right w:w="95" w:type="dxa"/>
            </w:tcMar>
          </w:tcPr>
          <w:p>
            <w:pPr>
              <w:spacing w:after="0" w:line="276" w:lineRule="auto"/>
            </w:pPr>
            <w:r>
              <w:rPr>
                <w:b w:val="0"/>
                <w:color w:val="233846"/>
                <w:sz w:val="20"/>
              </w:rPr>
              <w:t>Overview 與 Insights 的主題、頻道及時間變化</w:t>
            </w:r>
          </w:p>
        </w:tc>
        <w:tc>
          <w:tcPr>
            <w:tcW w:type="dxa" w:w="4129"/>
            <w:vAlign w:val="center"/>
            <w:shd w:fill="FFFFFF"/>
            <w:tcMar>
              <w:top w:w="95" w:type="dxa"/>
              <w:left w:w="95" w:type="dxa"/>
              <w:bottom w:w="95" w:type="dxa"/>
              <w:right w:w="95" w:type="dxa"/>
            </w:tcMar>
          </w:tcPr>
          <w:p>
            <w:pPr>
              <w:spacing w:after="0" w:line="276" w:lineRule="auto"/>
            </w:pPr>
            <w:r>
              <w:rPr>
                <w:b w:val="0"/>
                <w:color w:val="233846"/>
                <w:sz w:val="20"/>
              </w:rPr>
              <w:t>事件推估、聚合與 TEMP 中間表</w:t>
            </w:r>
          </w:p>
        </w:tc>
      </w:tr>
      <w:tr>
        <w:trPr>
          <w:cantSplit/>
        </w:trPr>
        <w:tc>
          <w:tcPr>
            <w:tcW w:type="dxa" w:w="2208"/>
            <w:vAlign w:val="center"/>
            <w:shd w:fill="F0F5F7"/>
            <w:tcMar>
              <w:top w:w="95" w:type="dxa"/>
              <w:left w:w="95" w:type="dxa"/>
              <w:bottom w:w="95" w:type="dxa"/>
              <w:right w:w="95" w:type="dxa"/>
            </w:tcMar>
          </w:tcPr>
          <w:p>
            <w:pPr>
              <w:spacing w:after="0" w:line="276" w:lineRule="auto"/>
            </w:pPr>
            <w:r>
              <w:rPr>
                <w:b w:val="0"/>
                <w:color w:val="233846"/>
                <w:sz w:val="20"/>
              </w:rPr>
              <w:t>同好探索</w:t>
            </w:r>
          </w:p>
        </w:tc>
        <w:tc>
          <w:tcPr>
            <w:tcW w:type="dxa" w:w="3265"/>
            <w:vAlign w:val="center"/>
            <w:shd w:fill="F0F5F7"/>
            <w:tcMar>
              <w:top w:w="95" w:type="dxa"/>
              <w:left w:w="95" w:type="dxa"/>
              <w:bottom w:w="95" w:type="dxa"/>
              <w:right w:w="95" w:type="dxa"/>
            </w:tcMar>
          </w:tcPr>
          <w:p>
            <w:pPr>
              <w:spacing w:after="0" w:line="276" w:lineRule="auto"/>
            </w:pPr>
            <w:r>
              <w:rPr>
                <w:b w:val="0"/>
                <w:color w:val="233846"/>
                <w:sz w:val="20"/>
              </w:rPr>
              <w:t>Matches 中的具名成員、整體與主題分數</w:t>
            </w:r>
          </w:p>
        </w:tc>
        <w:tc>
          <w:tcPr>
            <w:tcW w:type="dxa" w:w="4129"/>
            <w:vAlign w:val="center"/>
            <w:shd w:fill="F0F5F7"/>
            <w:tcMar>
              <w:top w:w="95" w:type="dxa"/>
              <w:left w:w="95" w:type="dxa"/>
              <w:bottom w:w="95" w:type="dxa"/>
              <w:right w:w="95" w:type="dxa"/>
            </w:tcMar>
          </w:tcPr>
          <w:p>
            <w:pPr>
              <w:spacing w:after="0" w:line="276" w:lineRule="auto"/>
            </w:pPr>
            <w:r>
              <w:rPr>
                <w:b w:val="0"/>
                <w:color w:val="233846"/>
                <w:sz w:val="20"/>
              </w:rPr>
              <w:t>兩條表示路徑與狀態整合</w:t>
            </w:r>
          </w:p>
        </w:tc>
      </w:tr>
      <w:tr>
        <w:trPr>
          <w:cantSplit/>
        </w:trPr>
        <w:tc>
          <w:tcPr>
            <w:tcW w:type="dxa" w:w="2208"/>
            <w:vAlign w:val="center"/>
            <w:shd w:fill="FFFFFF"/>
            <w:tcMar>
              <w:top w:w="95" w:type="dxa"/>
              <w:left w:w="95" w:type="dxa"/>
              <w:bottom w:w="95" w:type="dxa"/>
              <w:right w:w="95" w:type="dxa"/>
            </w:tcMar>
          </w:tcPr>
          <w:p>
            <w:pPr>
              <w:spacing w:after="0" w:line="276" w:lineRule="auto"/>
            </w:pPr>
            <w:r>
              <w:rPr>
                <w:b w:val="0"/>
                <w:color w:val="233846"/>
                <w:sz w:val="20"/>
              </w:rPr>
              <w:t>分布解釋</w:t>
            </w:r>
          </w:p>
        </w:tc>
        <w:tc>
          <w:tcPr>
            <w:tcW w:type="dxa" w:w="3265"/>
            <w:vAlign w:val="center"/>
            <w:shd w:fill="FFFFFF"/>
            <w:tcMar>
              <w:top w:w="95" w:type="dxa"/>
              <w:left w:w="95" w:type="dxa"/>
              <w:bottom w:w="95" w:type="dxa"/>
              <w:right w:w="95" w:type="dxa"/>
            </w:tcMar>
          </w:tcPr>
          <w:p>
            <w:pPr>
              <w:spacing w:after="0" w:line="276" w:lineRule="auto"/>
            </w:pPr>
            <w:r>
              <w:rPr>
                <w:b w:val="0"/>
                <w:color w:val="233846"/>
                <w:sz w:val="20"/>
              </w:rPr>
              <w:t>展示 47.37% 固定向量案例及共同群貢獻</w:t>
            </w:r>
          </w:p>
        </w:tc>
        <w:tc>
          <w:tcPr>
            <w:tcW w:type="dxa" w:w="4129"/>
            <w:vAlign w:val="center"/>
            <w:shd w:fill="FFFFFF"/>
            <w:tcMar>
              <w:top w:w="95" w:type="dxa"/>
              <w:left w:w="95" w:type="dxa"/>
              <w:bottom w:w="95" w:type="dxa"/>
              <w:right w:w="95" w:type="dxa"/>
            </w:tcMar>
          </w:tcPr>
          <w:p>
            <w:pPr>
              <w:spacing w:after="0" w:line="276" w:lineRule="auto"/>
            </w:pPr>
            <w:r>
              <w:rPr>
                <w:b w:val="0"/>
                <w:color w:val="233846"/>
                <w:sz w:val="20"/>
              </w:rPr>
              <w:t>加權 DBSCAN 與最佳傳輸</w:t>
            </w:r>
          </w:p>
        </w:tc>
      </w:tr>
      <w:tr>
        <w:trPr>
          <w:cantSplit/>
        </w:trPr>
        <w:tc>
          <w:tcPr>
            <w:tcW w:type="dxa" w:w="2208"/>
            <w:vAlign w:val="center"/>
            <w:shd w:fill="F0F5F7"/>
            <w:tcMar>
              <w:top w:w="95" w:type="dxa"/>
              <w:left w:w="95" w:type="dxa"/>
              <w:bottom w:w="95" w:type="dxa"/>
              <w:right w:w="95" w:type="dxa"/>
            </w:tcMar>
          </w:tcPr>
          <w:p>
            <w:pPr>
              <w:spacing w:after="0" w:line="276" w:lineRule="auto"/>
            </w:pPr>
            <w:r>
              <w:rPr>
                <w:b w:val="0"/>
                <w:color w:val="233846"/>
                <w:sz w:val="20"/>
              </w:rPr>
              <w:t>授權變更</w:t>
            </w:r>
          </w:p>
        </w:tc>
        <w:tc>
          <w:tcPr>
            <w:tcW w:type="dxa" w:w="3265"/>
            <w:vAlign w:val="center"/>
            <w:shd w:fill="F0F5F7"/>
            <w:tcMar>
              <w:top w:w="95" w:type="dxa"/>
              <w:left w:w="95" w:type="dxa"/>
              <w:bottom w:w="95" w:type="dxa"/>
              <w:right w:w="95" w:type="dxa"/>
            </w:tcMar>
          </w:tcPr>
          <w:p>
            <w:pPr>
              <w:spacing w:after="0" w:line="276" w:lineRule="auto"/>
            </w:pPr>
            <w:r>
              <w:rPr>
                <w:b w:val="0"/>
                <w:color w:val="233846"/>
                <w:sz w:val="20"/>
              </w:rPr>
              <w:t>發出／接受好友邀請，再撤回關係或類別</w:t>
            </w:r>
          </w:p>
        </w:tc>
        <w:tc>
          <w:tcPr>
            <w:tcW w:type="dxa" w:w="4129"/>
            <w:vAlign w:val="center"/>
            <w:shd w:fill="F0F5F7"/>
            <w:tcMar>
              <w:top w:w="95" w:type="dxa"/>
              <w:left w:w="95" w:type="dxa"/>
              <w:bottom w:w="95" w:type="dxa"/>
              <w:right w:w="95" w:type="dxa"/>
            </w:tcMar>
          </w:tcPr>
          <w:p>
            <w:pPr>
              <w:spacing w:after="0" w:line="276" w:lineRule="auto"/>
            </w:pPr>
            <w:r>
              <w:rPr>
                <w:b w:val="0"/>
                <w:color w:val="233846"/>
                <w:sz w:val="20"/>
              </w:rPr>
              <w:t>server-side 授權與非同步重驗</w:t>
            </w:r>
          </w:p>
        </w:tc>
      </w:tr>
      <w:tr>
        <w:trPr>
          <w:cantSplit/>
        </w:trPr>
        <w:tc>
          <w:tcPr>
            <w:tcW w:type="dxa" w:w="2208"/>
            <w:vAlign w:val="center"/>
            <w:shd w:fill="FFFFFF"/>
            <w:tcMar>
              <w:top w:w="95" w:type="dxa"/>
              <w:left w:w="95" w:type="dxa"/>
              <w:bottom w:w="95" w:type="dxa"/>
              <w:right w:w="95" w:type="dxa"/>
            </w:tcMar>
          </w:tcPr>
          <w:p>
            <w:pPr>
              <w:spacing w:after="0" w:line="276" w:lineRule="auto"/>
            </w:pPr>
            <w:r>
              <w:rPr>
                <w:b w:val="0"/>
                <w:color w:val="233846"/>
                <w:sz w:val="20"/>
              </w:rPr>
              <w:t>恢復與維運</w:t>
            </w:r>
          </w:p>
        </w:tc>
        <w:tc>
          <w:tcPr>
            <w:tcW w:type="dxa" w:w="3265"/>
            <w:vAlign w:val="center"/>
            <w:shd w:fill="FFFFFF"/>
            <w:tcMar>
              <w:top w:w="95" w:type="dxa"/>
              <w:left w:w="95" w:type="dxa"/>
              <w:bottom w:w="95" w:type="dxa"/>
              <w:right w:w="95" w:type="dxa"/>
            </w:tcMar>
          </w:tcPr>
          <w:p>
            <w:pPr>
              <w:spacing w:after="0" w:line="276" w:lineRule="auto"/>
            </w:pPr>
            <w:r>
              <w:rPr>
                <w:b w:val="0"/>
                <w:color w:val="233846"/>
                <w:sz w:val="20"/>
              </w:rPr>
              <w:t>以合成測試重現部分成功、重試與過期租約</w:t>
            </w:r>
          </w:p>
        </w:tc>
        <w:tc>
          <w:tcPr>
            <w:tcW w:type="dxa" w:w="4129"/>
            <w:vAlign w:val="center"/>
            <w:shd w:fill="FFFFFF"/>
            <w:tcMar>
              <w:top w:w="95" w:type="dxa"/>
              <w:left w:w="95" w:type="dxa"/>
              <w:bottom w:w="95" w:type="dxa"/>
              <w:right w:w="95" w:type="dxa"/>
            </w:tcMar>
          </w:tcPr>
          <w:p>
            <w:pPr>
              <w:spacing w:after="0" w:line="276" w:lineRule="auto"/>
            </w:pPr>
            <w:r>
              <w:rPr>
                <w:b w:val="0"/>
                <w:color w:val="233846"/>
                <w:sz w:val="20"/>
              </w:rPr>
              <w:t>成功快取、token、原子發布</w:t>
            </w:r>
          </w:p>
        </w:tc>
      </w:tr>
    </w:tbl>
    <w:p>
      <w:pPr>
        <w:spacing w:after="20" w:before="0" w:line="40" w:lineRule="exact"/>
      </w:pPr>
      <w:r>
        <w:rPr>
          <w:sz w:val="4"/>
        </w:rPr>
      </w:r>
    </w:p>
    <w:p>
      <w:r>
        <w:t>既有 npm run demo:matching 提供可重設的 Alice／Bob 合成社交流程。完整 v3 展示需要另備完成的合成 profile 或明確的測試 provider；不能把原有雙帳號示範直接當成真實模型處理兩百萬筆的展示證據。</w:t>
      </w:r>
    </w:p>
    <w:p>
      <w:pPr>
        <w:pStyle w:val="Heading2"/>
      </w:pPr>
      <w:r>
        <w:t>12 2 開源可檢查性</w:t>
      </w:r>
    </w:p>
    <w:p>
      <w:r>
        <w:t>專案提供 MIT LICENSE、README 安裝步驟、package-lock.json、固定 Python requirements、Docker Compose、測試與第三方來源聲明。程式依職責分為資料、YouTube、matching v3 與數值服務模組；第 13 節提供可直接追到實作與測試的連結。[3][14][15]</w:t>
      </w:r>
    </w:p>
    <w:p>
      <w:r>
        <w:t>模型 API、Google 登入與真實 YouTube metadata 需要外部憑證；合成測試以 fake provider 與暫存資料庫重現核心契約。開源程式不包含服務供應商模型權重，也不代表第三方素材全部由本專案 MIT 授權。</w:t>
      </w:r>
    </w:p>
    <w:p>
      <w:pPr>
        <w:pStyle w:val="Heading2"/>
      </w:pPr>
      <w:r>
        <w:t>12 3 技術演進優先順序</w:t>
      </w:r>
    </w:p>
    <w:p>
      <w:r>
        <w:t>短期先消除重複 source 掃描與不必要分群，建立精確摘要／配對快取並修正匯入索引。中期以實測鄰居密度驗證稀疏分群、profile 版本查找與比較批次化。語意品質研究應比較不同門檻、向量與分布方法對相關性的影響，再決定是否引入近似演算法。</w:t>
      </w:r>
    </w:p>
    <w:p>
      <w:r>
        <w:t>這些工作各有明確的觸發條件與驗證方式；容量擴展以保留分數語意、授權與資料完整性為前提。系統現有的難度在於協調資料、AI、數值運算與權限狀態，而後續優化重點是減少相同工作的重複發生。</w:t>
      </w:r>
    </w:p>
    <w:p>
      <w:r>
        <w:br w:type="page"/>
      </w:r>
    </w:p>
    <w:p>
      <w:pPr>
        <w:pStyle w:val="Heading1"/>
      </w:pPr>
      <w:r>
        <w:t>13 實作證據與參考資料</w:t>
      </w:r>
    </w:p>
    <w:p>
      <w:pPr>
        <w:spacing w:after="100"/>
      </w:pPr>
      <w:r>
        <w:rPr>
          <w:sz w:val="20"/>
        </w:rPr>
        <w:t>以下程式與測試均以本文件首頁列出的 commit 為基準。技術文件的數學模型對應實際數值實作；原始碼是版本行為的主要依據，早期設計文件如有不同，以現行程式為準。</w:t>
      </w:r>
    </w:p>
    <w:p>
      <w:pPr>
        <w:spacing w:after="100"/>
      </w:pPr>
      <w:r>
        <w:rPr>
          <w:sz w:val="20"/>
        </w:rPr>
        <w:t>[1] 整體匹配政策與分數　src/youtube/matching.ts。</w:t>
      </w:r>
      <w:r>
        <w:t xml:space="preserve">　</w:t>
      </w:r>
      <w:hyperlink r:id="rId25">
        <w:r>
          <w:rPr>
            <w:color w:val="126C70"/>
            <w:rFonts w:eastAsia="Heiti TC"/>
          </w:rPr>
          <w:t>查閱實作</w:t>
        </w:r>
      </w:hyperlink>
    </w:p>
    <w:p>
      <w:pPr>
        <w:spacing w:after="100"/>
      </w:pPr>
      <w:r>
        <w:rPr>
          <w:sz w:val="20"/>
        </w:rPr>
        <w:t>[2] v3 表示與產品整合　src/matching-v3/model.ts、matching.ts、routes.ts；src/index.ts。</w:t>
      </w:r>
      <w:r>
        <w:t xml:space="preserve">　</w:t>
      </w:r>
      <w:hyperlink r:id="rId26">
        <w:r>
          <w:rPr>
            <w:color w:val="126C70"/>
            <w:rFonts w:eastAsia="Heiti TC"/>
          </w:rPr>
          <w:t>查閱實作</w:t>
        </w:r>
      </w:hyperlink>
    </w:p>
    <w:p>
      <w:pPr>
        <w:spacing w:after="100"/>
      </w:pPr>
      <w:r>
        <w:rPr>
          <w:sz w:val="20"/>
        </w:rPr>
        <w:t>[3] 服務架構　compose.matching-v3.yml；services/matching-compute/Dockerfile。</w:t>
      </w:r>
    </w:p>
    <w:p>
      <w:pPr>
        <w:spacing w:after="100"/>
      </w:pPr>
      <w:r>
        <w:rPr>
          <w:sz w:val="20"/>
        </w:rPr>
        <w:t>[4] 事件、source 與聚合　src/data/database.ts。</w:t>
      </w:r>
      <w:r>
        <w:t xml:space="preserve">　</w:t>
      </w:r>
      <w:hyperlink r:id="rId27">
        <w:r>
          <w:rPr>
            <w:color w:val="126C70"/>
            <w:rFonts w:eastAsia="Heiti TC"/>
          </w:rPr>
          <w:t>查閱實作</w:t>
        </w:r>
      </w:hyperlink>
    </w:p>
    <w:p>
      <w:pPr>
        <w:spacing w:after="100"/>
      </w:pPr>
      <w:r>
        <w:rPr>
          <w:sz w:val="20"/>
        </w:rPr>
        <w:t>[5] 讀取快取　src/data/read-cache.ts。</w:t>
      </w:r>
      <w:r>
        <w:t xml:space="preserve">　</w:t>
      </w:r>
      <w:hyperlink r:id="rId28">
        <w:r>
          <w:rPr>
            <w:color w:val="126C70"/>
            <w:rFonts w:eastAsia="Heiti TC"/>
          </w:rPr>
          <w:t>查閱實作</w:t>
        </w:r>
      </w:hyperlink>
    </w:p>
    <w:p>
      <w:pPr>
        <w:spacing w:after="100"/>
      </w:pPr>
      <w:r>
        <w:rPr>
          <w:sz w:val="20"/>
        </w:rPr>
        <w:t>[6] 分類與 embedding 契約　src/matching-v3/provider.ts；src/youtube/ai.ts。</w:t>
      </w:r>
      <w:r>
        <w:t xml:space="preserve">　</w:t>
      </w:r>
      <w:hyperlink r:id="rId29">
        <w:r>
          <w:rPr>
            <w:color w:val="126C70"/>
            <w:rFonts w:eastAsia="Heiti TC"/>
          </w:rPr>
          <w:t>查閱實作</w:t>
        </w:r>
      </w:hyperlink>
    </w:p>
    <w:p>
      <w:pPr>
        <w:spacing w:after="100"/>
      </w:pPr>
      <w:r>
        <w:rPr>
          <w:sz w:val="20"/>
        </w:rPr>
        <w:t xml:space="preserve">[7] Google　Gemini embedding API　</w:t>
      </w:r>
      <w:hyperlink r:id="rId21">
        <w:r>
          <w:rPr>
            <w:color w:val="126C70"/>
            <w:rFonts w:eastAsia="Heiti TC"/>
          </w:rPr>
          <w:t>Gemini embedding API</w:t>
        </w:r>
      </w:hyperlink>
      <w:r>
        <w:rPr>
          <w:sz w:val="20"/>
        </w:rPr>
        <w:t>。</w:t>
      </w:r>
    </w:p>
    <w:p>
      <w:pPr>
        <w:spacing w:after="100"/>
      </w:pPr>
      <w:r>
        <w:rPr>
          <w:sz w:val="20"/>
        </w:rPr>
        <w:t xml:space="preserve">[8] 數值實作　services/matching-compute/compute.py；scikit-learn 1.6 DBSCAN　</w:t>
      </w:r>
      <w:hyperlink r:id="rId22">
        <w:r>
          <w:rPr>
            <w:color w:val="126C70"/>
            <w:rFonts w:eastAsia="Heiti TC"/>
          </w:rPr>
          <w:t>官方版本文件</w:t>
        </w:r>
      </w:hyperlink>
      <w:r>
        <w:rPr>
          <w:sz w:val="20"/>
        </w:rPr>
        <w:t>。</w:t>
      </w:r>
      <w:r>
        <w:t xml:space="preserve">　</w:t>
      </w:r>
      <w:hyperlink r:id="rId30">
        <w:r>
          <w:rPr>
            <w:color w:val="126C70"/>
            <w:rFonts w:eastAsia="Heiti TC"/>
          </w:rPr>
          <w:t>查閱實作</w:t>
        </w:r>
      </w:hyperlink>
    </w:p>
    <w:p>
      <w:pPr>
        <w:spacing w:after="100"/>
      </w:pPr>
      <w:r>
        <w:rPr>
          <w:sz w:val="20"/>
        </w:rPr>
        <w:t xml:space="preserve">[9] SciPy 1.15.3　linprog HiGHS　</w:t>
      </w:r>
      <w:hyperlink r:id="rId23">
        <w:r>
          <w:rPr>
            <w:color w:val="126C70"/>
            <w:rFonts w:eastAsia="Heiti TC"/>
          </w:rPr>
          <w:t>官方版本文件</w:t>
        </w:r>
      </w:hyperlink>
      <w:r>
        <w:rPr>
          <w:sz w:val="20"/>
        </w:rPr>
        <w:t>。</w:t>
      </w:r>
    </w:p>
    <w:p>
      <w:pPr>
        <w:spacing w:after="100"/>
      </w:pPr>
      <w:r>
        <w:rPr>
          <w:sz w:val="20"/>
        </w:rPr>
        <w:t>[10] 固定向量與運輸守恆測試　services/matching-compute/test_compute.py。</w:t>
      </w:r>
      <w:r>
        <w:t xml:space="preserve">　</w:t>
      </w:r>
      <w:hyperlink r:id="rId31">
        <w:r>
          <w:rPr>
            <w:color w:val="126C70"/>
            <w:rFonts w:eastAsia="Heiti TC"/>
          </w:rPr>
          <w:t>查閱實作</w:t>
        </w:r>
      </w:hyperlink>
    </w:p>
    <w:p>
      <w:pPr>
        <w:spacing w:after="100"/>
      </w:pPr>
      <w:r>
        <w:rPr>
          <w:sz w:val="20"/>
        </w:rPr>
        <w:t>[11] 工作一致性　src/matching-v3/pipeline.ts、store.ts、dispatch.ts、gemini-keys.ts。</w:t>
      </w:r>
      <w:r>
        <w:t xml:space="preserve">　</w:t>
      </w:r>
      <w:hyperlink r:id="rId32">
        <w:r>
          <w:rPr>
            <w:color w:val="126C70"/>
            <w:rFonts w:eastAsia="Heiti TC"/>
          </w:rPr>
          <w:t>查閱實作</w:t>
        </w:r>
      </w:hyperlink>
    </w:p>
    <w:p>
      <w:pPr>
        <w:spacing w:after="100"/>
      </w:pPr>
      <w:r>
        <w:rPr>
          <w:sz w:val="20"/>
        </w:rPr>
        <w:t>[12] 資料保護與生命週期　src/youtube/crypto.ts；src/users.ts；tests/privacy-lifecycle.test.ts；tests/matching-integration.test.ts。</w:t>
      </w:r>
      <w:r>
        <w:t xml:space="preserve">　</w:t>
      </w:r>
      <w:hyperlink r:id="rId33">
        <w:r>
          <w:rPr>
            <w:color w:val="126C70"/>
            <w:rFonts w:eastAsia="Heiti TC"/>
          </w:rPr>
          <w:t>查閱實作</w:t>
        </w:r>
      </w:hyperlink>
    </w:p>
    <w:p>
      <w:pPr>
        <w:spacing w:after="100"/>
      </w:pPr>
      <w:r>
        <w:rPr>
          <w:sz w:val="20"/>
        </w:rPr>
        <w:t>[13] 負載研究與原始樣本　docs/demo-load-analysis.md；docs/analysis/demo-load-probe.mjs；docs/analysis/demo-load-sql-evidence.json。單帳號合成量測，不是百人正式環境 SLA。</w:t>
      </w:r>
    </w:p>
    <w:p>
      <w:pPr>
        <w:spacing w:after="100"/>
      </w:pPr>
      <w:r>
        <w:rPr>
          <w:sz w:val="20"/>
        </w:rPr>
        <w:t>[14] 可重現工程檢查　package.json；.github/workflows/check.yml；tests/；services/matching-compute/requirements.txt。</w:t>
      </w:r>
      <w:r>
        <w:t xml:space="preserve">　</w:t>
      </w:r>
      <w:hyperlink r:id="rId34">
        <w:r>
          <w:rPr>
            <w:color w:val="126C70"/>
            <w:rFonts w:eastAsia="Heiti TC"/>
          </w:rPr>
          <w:t>查閱實作</w:t>
        </w:r>
      </w:hyperlink>
    </w:p>
    <w:p>
      <w:pPr>
        <w:spacing w:after="100"/>
      </w:pPr>
      <w:r>
        <w:rPr>
          <w:sz w:val="20"/>
        </w:rPr>
        <w:t>[15] 開源授權與來源　LICENSE；THIRD_PARTY_NOTICES.md；README.md。</w:t>
      </w:r>
    </w:p>
    <w:p>
      <w:pPr>
        <w:spacing w:after="100"/>
      </w:pPr>
      <w:r>
        <w:rPr>
          <w:sz w:val="20"/>
        </w:rPr>
        <w:t xml:space="preserve">原始碼永久連結前綴　</w:t>
      </w:r>
      <w:hyperlink r:id="rId24">
        <w:r>
          <w:rPr>
            <w:color w:val="126C70"/>
            <w:rFonts w:eastAsia="Heiti TC"/>
          </w:rPr>
          <w:t>原始碼基準版本</w:t>
        </w:r>
      </w:hyperlink>
      <w:r>
        <w:rPr>
          <w:sz w:val="20"/>
        </w:rPr>
      </w:r>
    </w:p>
    <w:p>
      <w:pPr>
        <w:spacing w:after="100"/>
      </w:pPr>
      <w:r>
        <w:rPr>
          <w:sz w:val="20"/>
        </w:rPr>
        <w:t>本文件使用的 DBSCAN 與 SciPy 文件版本對應服務鎖定依賴；外部文件查閱日為 2026 年 9 月 6 日。模型名稱表示本專案設定，不表示本次重新驗證供應商配額、價格或正式環境吞吐。</w:t>
      </w:r>
    </w:p>
    <w:sectPr w:rsidR="00FC693F" w:rsidRPr="0006063C" w:rsidSect="00034616">
      <w:headerReference w:type="default" r:id="rId9"/>
      <w:footerReference w:type="default" r:id="rId10"/>
      <w:pgSz w:w="11905" w:h="16838"/>
      <w:pgMar w:top="1037" w:right="1152" w:bottom="1008" w:left="1152"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57786"/>
        <w:sz w:val="18"/>
      </w:rPr>
      <w:t xml:space="preserve">URTube  |  2026.09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URTube　技術架構與實作</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95" w:lineRule="auto"/>
    </w:pPr>
    <w:rPr>
      <w:rFonts w:ascii="Arial" w:hAnsi="Arial" w:eastAsia="Heiti TC"/>
      <w:b w:val="0"/>
      <w:color w:val="202C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0" w:after="140" w:line="295" w:lineRule="auto"/>
      <w:outlineLvl w:val="0"/>
    </w:pPr>
    <w:rPr>
      <w:rFonts w:ascii="Arial" w:hAnsi="Arial" w:eastAsia="Heiti TC"/>
      <w:b/>
      <w:bCs/>
      <w:color w:val="122D43"/>
      <w:sz w:val="38"/>
      <w:szCs w:val="28"/>
    </w:rPr>
  </w:style>
  <w:style w:type="paragraph" w:styleId="Heading2">
    <w:name w:val="heading 2"/>
    <w:basedOn w:val="Normal"/>
    <w:next w:val="Normal"/>
    <w:link w:val="Heading2Char"/>
    <w:uiPriority w:val="9"/>
    <w:unhideWhenUsed/>
    <w:qFormat/>
    <w:rsid w:val="00FC693F"/>
    <w:pPr>
      <w:keepNext/>
      <w:keepLines/>
      <w:widowControl/>
      <w:spacing w:before="220" w:after="140" w:line="295" w:lineRule="auto"/>
      <w:outlineLvl w:val="1"/>
    </w:pPr>
    <w:rPr>
      <w:rFonts w:ascii="Arial" w:hAnsi="Arial" w:eastAsia="Heiti TC"/>
      <w:b/>
      <w:bCs/>
      <w:color w:val="126C70"/>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spacing w:after="240" w:line="295" w:lineRule="auto"/>
      <w:contextualSpacing/>
    </w:pPr>
    <w:rPr>
      <w:rFonts w:ascii="Arial" w:hAnsi="Arial" w:eastAsia="Heiti TC"/>
      <w:b/>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spacing w:after="140" w:line="295" w:lineRule="auto"/>
    </w:pPr>
    <w:rPr>
      <w:rFonts w:ascii="Arial" w:hAnsi="Arial" w:eastAsia="Heiti TC"/>
      <w:b w:val="0"/>
      <w:i/>
      <w:iCs/>
      <w:color w:val="334D61"/>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widowControl/>
      <w:spacing w:line="295" w:lineRule="auto" w:after="140"/>
    </w:pPr>
    <w:rPr>
      <w:rFonts w:ascii="Arial" w:hAnsi="Arial" w:eastAsia="Heiti TC"/>
      <w:b w:val="0"/>
      <w:bCs/>
      <w:color w:val="536575"/>
      <w:sz w:val="19"/>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urtube.observe.tw" TargetMode="External"/><Relationship Id="rId12" Type="http://schemas.openxmlformats.org/officeDocument/2006/relationships/hyperlink" Target="https://github.com/skyhong2002/urtube.observe.tw" TargetMode="External"/><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 Id="rId18" Type="http://schemas.openxmlformats.org/officeDocument/2006/relationships/image" Target="media/image6.png"/><Relationship Id="rId19" Type="http://schemas.openxmlformats.org/officeDocument/2006/relationships/image" Target="media/image7.png"/><Relationship Id="rId20" Type="http://schemas.openxmlformats.org/officeDocument/2006/relationships/image" Target="media/image8.png"/><Relationship Id="rId21" Type="http://schemas.openxmlformats.org/officeDocument/2006/relationships/hyperlink" Target="https://ai.google.dev/api/embeddings" TargetMode="External"/><Relationship Id="rId22" Type="http://schemas.openxmlformats.org/officeDocument/2006/relationships/hyperlink" Target="https://scikit-learn.org/1.6/modules/generated/sklearn.cluster.DBSCAN.html" TargetMode="External"/><Relationship Id="rId23" Type="http://schemas.openxmlformats.org/officeDocument/2006/relationships/hyperlink" Target="https://docs.scipy.org/doc/scipy-1.15.3/reference/optimize.linprog-highs.html" TargetMode="External"/><Relationship Id="rId24" Type="http://schemas.openxmlformats.org/officeDocument/2006/relationships/hyperlink" Target="https://github.com/skyhong2002/urtube.observe.tw/tree/85b5cec53ac703d0f790257dd658aaaa34d9eb75" TargetMode="External"/><Relationship Id="rId25" Type="http://schemas.openxmlformats.org/officeDocument/2006/relationships/hyperlink" Target="https://github.com/skyhong2002/urtube.observe.tw/blob/85b5cec53ac703d0f790257dd658aaaa34d9eb75/src/youtube/matching.ts" TargetMode="External"/><Relationship Id="rId26" Type="http://schemas.openxmlformats.org/officeDocument/2006/relationships/hyperlink" Target="https://github.com/skyhong2002/urtube.observe.tw/blob/85b5cec53ac703d0f790257dd658aaaa34d9eb75/src/matching-v3/model.ts" TargetMode="External"/><Relationship Id="rId27" Type="http://schemas.openxmlformats.org/officeDocument/2006/relationships/hyperlink" Target="https://github.com/skyhong2002/urtube.observe.tw/blob/85b5cec53ac703d0f790257dd658aaaa34d9eb75/src/data/database.ts" TargetMode="External"/><Relationship Id="rId28" Type="http://schemas.openxmlformats.org/officeDocument/2006/relationships/hyperlink" Target="https://github.com/skyhong2002/urtube.observe.tw/blob/85b5cec53ac703d0f790257dd658aaaa34d9eb75/src/data/read-cache.ts" TargetMode="External"/><Relationship Id="rId29" Type="http://schemas.openxmlformats.org/officeDocument/2006/relationships/hyperlink" Target="https://github.com/skyhong2002/urtube.observe.tw/blob/85b5cec53ac703d0f790257dd658aaaa34d9eb75/src/matching-v3/provider.ts" TargetMode="External"/><Relationship Id="rId30" Type="http://schemas.openxmlformats.org/officeDocument/2006/relationships/hyperlink" Target="https://github.com/skyhong2002/urtube.observe.tw/blob/85b5cec53ac703d0f790257dd658aaaa34d9eb75/services/matching-compute/compute.py" TargetMode="External"/><Relationship Id="rId31" Type="http://schemas.openxmlformats.org/officeDocument/2006/relationships/hyperlink" Target="https://github.com/skyhong2002/urtube.observe.tw/blob/85b5cec53ac703d0f790257dd658aaaa34d9eb75/services/matching-compute/test_compute.py" TargetMode="External"/><Relationship Id="rId32" Type="http://schemas.openxmlformats.org/officeDocument/2006/relationships/hyperlink" Target="https://github.com/skyhong2002/urtube.observe.tw/blob/85b5cec53ac703d0f790257dd658aaaa34d9eb75/src/matching-v3/pipeline.ts" TargetMode="External"/><Relationship Id="rId33" Type="http://schemas.openxmlformats.org/officeDocument/2006/relationships/hyperlink" Target="https://github.com/skyhong2002/urtube.observe.tw/blob/85b5cec53ac703d0f790257dd658aaaa34d9eb75/src/youtube/crypto.ts" TargetMode="External"/><Relationship Id="rId34" Type="http://schemas.openxmlformats.org/officeDocument/2006/relationships/hyperlink" Target="https://github.com/skyhong2002/urtube.observe.tw/blob/85b5cec53ac703d0f790257dd658aaaa34d9eb75/services/matching-compute/requirements.tx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URTube 技術文件</dc:title>
  <dc:subject>系統架構 AI 分群 最佳傳輸與可靠性驗證</dc:subject>
  <dc:creator>urtube contributors</dc:creator>
  <cp:keywords>URTube, DBSCAN, optimal transport, system architecture</cp:keywords>
  <dc:description>generated by python-docx</dc:description>
  <cp:lastModifiedBy/>
  <cp:revision>1</cp:revision>
  <dcterms:created xsi:type="dcterms:W3CDTF">2013-12-23T23:15:00Z</dcterms:created>
  <dcterms:modified xsi:type="dcterms:W3CDTF">2013-12-23T23:15:00Z</dcterms:modified>
  <cp:category/>
</cp:coreProperties>
</file>