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ind w:left="743" w:leftChars="354" w:right="32"/>
        <w:rPr>
          <w:rFonts w:ascii="微软雅黑" w:hAnsi="微软雅黑" w:eastAsia="微软雅黑"/>
        </w:rPr>
      </w:pPr>
      <w:bookmarkStart w:id="0" w:name="_Hlt465445471"/>
      <w:bookmarkEnd w:id="0"/>
    </w:p>
    <w:p>
      <w:pPr>
        <w:pStyle w:val="28"/>
        <w:ind w:left="210" w:right="210" w:firstLine="420"/>
        <w:rPr>
          <w:rFonts w:ascii="微软雅黑" w:hAnsi="微软雅黑"/>
          <w:color w:val="000000"/>
          <w:szCs w:val="48"/>
        </w:rPr>
      </w:pPr>
      <w:r>
        <w:rPr>
          <w:rFonts w:hint="eastAsia" w:ascii="微软雅黑" w:hAnsi="微软雅黑"/>
          <w:color w:val="000000"/>
          <w:szCs w:val="48"/>
        </w:rPr>
        <w:t>世纪宝姿(厦门)实业有限公司</w:t>
      </w:r>
    </w:p>
    <w:p>
      <w:pPr>
        <w:pStyle w:val="28"/>
        <w:ind w:left="210" w:right="210" w:firstLine="420"/>
        <w:rPr>
          <w:rFonts w:ascii="微软雅黑" w:hAnsi="微软雅黑"/>
          <w:color w:val="000000"/>
          <w:szCs w:val="48"/>
        </w:rPr>
      </w:pPr>
      <w:r>
        <w:rPr>
          <w:rFonts w:hint="eastAsia" w:ascii="微软雅黑" w:hAnsi="微软雅黑"/>
          <w:color w:val="000000"/>
          <w:szCs w:val="48"/>
        </w:rPr>
        <w:t>供应商关系管理平台项目(SRM)</w:t>
      </w:r>
    </w:p>
    <w:p>
      <w:pPr>
        <w:pStyle w:val="28"/>
        <w:ind w:left="210" w:right="210" w:firstLine="420"/>
        <w:rPr>
          <w:rFonts w:ascii="微软雅黑" w:hAnsi="微软雅黑"/>
          <w:color w:val="000000"/>
          <w:szCs w:val="48"/>
        </w:rPr>
      </w:pPr>
    </w:p>
    <w:p>
      <w:pPr>
        <w:pStyle w:val="28"/>
        <w:ind w:left="210" w:right="210" w:firstLine="420"/>
        <w:rPr>
          <w:rFonts w:ascii="微软雅黑" w:hAnsi="微软雅黑"/>
          <w:sz w:val="44"/>
          <w:szCs w:val="44"/>
        </w:rPr>
      </w:pPr>
      <w:r>
        <w:rPr>
          <w:rFonts w:hint="eastAsia" w:ascii="微软雅黑" w:hAnsi="微软雅黑"/>
          <w:color w:val="000000"/>
          <w:szCs w:val="48"/>
        </w:rPr>
        <w:t>蓝图方案</w:t>
      </w:r>
      <w:r>
        <w:rPr>
          <w:rFonts w:ascii="微软雅黑" w:hAnsi="微软雅黑"/>
          <w:color w:val="000000"/>
          <w:szCs w:val="48"/>
        </w:rPr>
        <w:t>设计</w:t>
      </w:r>
    </w:p>
    <w:p>
      <w:pPr>
        <w:pStyle w:val="28"/>
        <w:ind w:left="756" w:leftChars="360" w:right="210" w:firstLine="4680" w:firstLineChars="1300"/>
        <w:rPr>
          <w:rStyle w:val="56"/>
          <w:rFonts w:hint="default" w:ascii="微软雅黑" w:hAnsi="微软雅黑" w:eastAsia="微软雅黑"/>
          <w:sz w:val="36"/>
          <w:szCs w:val="36"/>
          <w:lang w:val="en-US" w:eastAsia="zh-CN"/>
        </w:rPr>
      </w:pPr>
      <w:r>
        <w:rPr>
          <w:rStyle w:val="56"/>
          <w:rFonts w:hint="eastAsia" w:ascii="微软雅黑" w:hAnsi="微软雅黑"/>
          <w:sz w:val="36"/>
          <w:szCs w:val="36"/>
        </w:rPr>
        <w:t>—</w:t>
      </w:r>
      <w:r>
        <w:rPr>
          <w:rStyle w:val="56"/>
          <w:rFonts w:hint="eastAsia" w:ascii="微软雅黑" w:hAnsi="微软雅黑"/>
          <w:sz w:val="36"/>
          <w:szCs w:val="36"/>
          <w:lang w:val="en-US" w:eastAsia="zh-CN"/>
        </w:rPr>
        <w:t>供应商绩效管理</w:t>
      </w:r>
    </w:p>
    <w:p>
      <w:pPr>
        <w:pStyle w:val="15"/>
        <w:tabs>
          <w:tab w:val="left" w:pos="4320"/>
        </w:tabs>
        <w:spacing w:after="0"/>
        <w:ind w:left="720"/>
        <w:rPr>
          <w:rFonts w:ascii="微软雅黑" w:hAnsi="微软雅黑" w:eastAsia="微软雅黑"/>
        </w:rPr>
      </w:pPr>
    </w:p>
    <w:p>
      <w:pPr>
        <w:pStyle w:val="15"/>
        <w:tabs>
          <w:tab w:val="left" w:pos="4320"/>
        </w:tabs>
        <w:spacing w:after="0"/>
        <w:ind w:left="720"/>
        <w:rPr>
          <w:rFonts w:ascii="微软雅黑" w:hAnsi="微软雅黑" w:eastAsia="微软雅黑"/>
        </w:rPr>
      </w:pPr>
    </w:p>
    <w:p>
      <w:pPr>
        <w:pStyle w:val="15"/>
        <w:tabs>
          <w:tab w:val="left" w:pos="4320"/>
        </w:tabs>
        <w:spacing w:after="0"/>
        <w:ind w:left="720"/>
        <w:rPr>
          <w:rFonts w:ascii="微软雅黑" w:hAnsi="微软雅黑" w:eastAsia="微软雅黑"/>
        </w:rPr>
      </w:pPr>
    </w:p>
    <w:p>
      <w:pPr>
        <w:pStyle w:val="15"/>
        <w:tabs>
          <w:tab w:val="left" w:pos="4320"/>
        </w:tabs>
        <w:spacing w:after="0"/>
        <w:ind w:left="720"/>
        <w:rPr>
          <w:rFonts w:ascii="微软雅黑" w:hAnsi="微软雅黑" w:eastAsia="微软雅黑"/>
        </w:rPr>
      </w:pPr>
    </w:p>
    <w:tbl>
      <w:tblPr>
        <w:tblStyle w:val="31"/>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94"/>
        <w:gridCol w:w="49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3" w:type="dxa"/>
            <w:noWrap w:val="0"/>
            <w:vAlign w:val="top"/>
          </w:tcPr>
          <w:p>
            <w:pPr>
              <w:pStyle w:val="15"/>
              <w:tabs>
                <w:tab w:val="left" w:pos="4320"/>
              </w:tabs>
              <w:spacing w:after="0"/>
              <w:rPr>
                <w:rFonts w:ascii="微软雅黑" w:hAnsi="微软雅黑" w:eastAsia="微软雅黑"/>
              </w:rPr>
            </w:pPr>
            <w:r>
              <w:rPr>
                <w:rFonts w:hint="eastAsia" w:ascii="微软雅黑" w:hAnsi="微软雅黑" w:eastAsia="微软雅黑"/>
              </w:rPr>
              <w:t>作者</w:t>
            </w:r>
            <w:r>
              <w:rPr>
                <w:rFonts w:ascii="微软雅黑" w:hAnsi="微软雅黑" w:eastAsia="微软雅黑"/>
              </w:rPr>
              <w:t xml:space="preserve">: </w:t>
            </w:r>
          </w:p>
        </w:tc>
        <w:tc>
          <w:tcPr>
            <w:tcW w:w="4970" w:type="dxa"/>
            <w:noWrap w:val="0"/>
            <w:vAlign w:val="top"/>
          </w:tcPr>
          <w:p>
            <w:pPr>
              <w:pStyle w:val="15"/>
              <w:tabs>
                <w:tab w:val="left" w:pos="4320"/>
              </w:tabs>
              <w:spacing w:after="0"/>
              <w:rPr>
                <w:rFonts w:ascii="微软雅黑" w:hAnsi="微软雅黑" w:eastAsia="微软雅黑"/>
              </w:rPr>
            </w:pPr>
            <w:r>
              <w:rPr>
                <w:rFonts w:hint="eastAsia" w:ascii="微软雅黑" w:hAnsi="微软雅黑" w:eastAsia="微软雅黑"/>
              </w:rPr>
              <w:t>H</w:t>
            </w:r>
            <w:r>
              <w:rPr>
                <w:rFonts w:ascii="微软雅黑" w:hAnsi="微软雅黑" w:eastAsia="微软雅黑"/>
              </w:rPr>
              <w:t>and</w:t>
            </w:r>
            <w:r>
              <w:rPr>
                <w:rFonts w:hint="eastAsia" w:ascii="微软雅黑" w:hAnsi="微软雅黑" w:eastAsia="微软雅黑"/>
              </w:rPr>
              <w:t xml:space="preserve"> Consultant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3" w:type="dxa"/>
            <w:noWrap w:val="0"/>
            <w:vAlign w:val="top"/>
          </w:tcPr>
          <w:p>
            <w:pPr>
              <w:pStyle w:val="15"/>
              <w:tabs>
                <w:tab w:val="left" w:pos="4320"/>
              </w:tabs>
              <w:spacing w:after="0"/>
              <w:rPr>
                <w:rFonts w:ascii="微软雅黑" w:hAnsi="微软雅黑" w:eastAsia="微软雅黑"/>
              </w:rPr>
            </w:pPr>
            <w:r>
              <w:rPr>
                <w:rFonts w:hint="eastAsia" w:ascii="微软雅黑" w:hAnsi="微软雅黑" w:eastAsia="微软雅黑"/>
              </w:rPr>
              <w:t>建档日期</w:t>
            </w:r>
            <w:r>
              <w:rPr>
                <w:rFonts w:ascii="微软雅黑" w:hAnsi="微软雅黑" w:eastAsia="微软雅黑"/>
              </w:rPr>
              <w:t>:</w:t>
            </w:r>
          </w:p>
        </w:tc>
        <w:tc>
          <w:tcPr>
            <w:tcW w:w="4970" w:type="dxa"/>
            <w:noWrap w:val="0"/>
            <w:vAlign w:val="top"/>
          </w:tcPr>
          <w:p>
            <w:pPr>
              <w:pStyle w:val="15"/>
              <w:tabs>
                <w:tab w:val="left" w:pos="4320"/>
              </w:tabs>
              <w:spacing w:after="0"/>
              <w:rPr>
                <w:rFonts w:hint="default" w:ascii="微软雅黑" w:hAnsi="微软雅黑" w:eastAsia="微软雅黑"/>
                <w:lang w:val="en-US" w:eastAsia="zh-CN"/>
              </w:rPr>
            </w:pPr>
            <w:r>
              <w:rPr>
                <w:rFonts w:hint="eastAsia" w:ascii="微软雅黑" w:hAnsi="微软雅黑" w:eastAsia="微软雅黑"/>
              </w:rPr>
              <w:t>2022-0</w:t>
            </w:r>
            <w:r>
              <w:rPr>
                <w:rFonts w:hint="eastAsia" w:ascii="微软雅黑" w:hAnsi="微软雅黑" w:eastAsia="微软雅黑"/>
                <w:lang w:val="en-US" w:eastAsia="zh-CN"/>
              </w:rPr>
              <w:t>9</w:t>
            </w:r>
            <w:r>
              <w:rPr>
                <w:rFonts w:hint="eastAsia" w:ascii="微软雅黑" w:hAnsi="微软雅黑" w:eastAsia="微软雅黑"/>
              </w:rPr>
              <w:t>-</w:t>
            </w:r>
            <w:r>
              <w:rPr>
                <w:rFonts w:hint="eastAsia" w:ascii="微软雅黑" w:hAnsi="微软雅黑" w:eastAsia="微软雅黑"/>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3" w:type="dxa"/>
            <w:noWrap w:val="0"/>
            <w:vAlign w:val="top"/>
          </w:tcPr>
          <w:p>
            <w:pPr>
              <w:pStyle w:val="15"/>
              <w:tabs>
                <w:tab w:val="left" w:pos="4320"/>
              </w:tabs>
              <w:spacing w:after="0"/>
              <w:rPr>
                <w:rFonts w:ascii="微软雅黑" w:hAnsi="微软雅黑" w:eastAsia="微软雅黑"/>
              </w:rPr>
            </w:pPr>
            <w:r>
              <w:rPr>
                <w:rFonts w:hint="eastAsia" w:ascii="微软雅黑" w:hAnsi="微软雅黑" w:eastAsia="微软雅黑"/>
              </w:rPr>
              <w:t>版本号</w:t>
            </w:r>
            <w:r>
              <w:rPr>
                <w:rFonts w:ascii="微软雅黑" w:hAnsi="微软雅黑" w:eastAsia="微软雅黑"/>
              </w:rPr>
              <w:t>:</w:t>
            </w:r>
          </w:p>
        </w:tc>
        <w:tc>
          <w:tcPr>
            <w:tcW w:w="4970" w:type="dxa"/>
            <w:noWrap w:val="0"/>
            <w:vAlign w:val="top"/>
          </w:tcPr>
          <w:p>
            <w:pPr>
              <w:pStyle w:val="15"/>
              <w:tabs>
                <w:tab w:val="left" w:pos="3835"/>
              </w:tabs>
              <w:spacing w:after="0"/>
              <w:rPr>
                <w:rFonts w:hint="eastAsia" w:ascii="微软雅黑" w:hAnsi="微软雅黑" w:eastAsia="微软雅黑"/>
                <w:lang w:val="en-US" w:eastAsia="zh-CN"/>
              </w:rPr>
            </w:pPr>
            <w:r>
              <w:rPr>
                <w:rFonts w:hint="eastAsia" w:ascii="微软雅黑" w:hAnsi="微软雅黑" w:eastAsia="微软雅黑"/>
              </w:rPr>
              <w:t>V</w:t>
            </w:r>
            <w:r>
              <w:rPr>
                <w:rFonts w:ascii="微软雅黑" w:hAnsi="微软雅黑" w:eastAsia="微软雅黑"/>
              </w:rPr>
              <w:t>1</w:t>
            </w:r>
            <w:r>
              <w:rPr>
                <w:rFonts w:hint="eastAsia" w:ascii="微软雅黑" w:hAnsi="微软雅黑" w:eastAsia="微软雅黑"/>
              </w:rPr>
              <w:t>.</w:t>
            </w:r>
            <w:r>
              <w:rPr>
                <w:rFonts w:hint="eastAsia" w:ascii="微软雅黑" w:hAnsi="微软雅黑" w:eastAsia="微软雅黑"/>
                <w:lang w:val="en-US" w:eastAsia="zh-CN"/>
              </w:rPr>
              <w:t>4</w:t>
            </w:r>
          </w:p>
        </w:tc>
      </w:tr>
    </w:tbl>
    <w:p>
      <w:pPr>
        <w:widowControl/>
        <w:jc w:val="left"/>
        <w:rPr>
          <w:rFonts w:ascii="微软雅黑" w:hAnsi="微软雅黑" w:eastAsia="微软雅黑"/>
          <w:b/>
        </w:rPr>
      </w:pPr>
      <w:r>
        <w:rPr>
          <w:rFonts w:ascii="微软雅黑" w:hAnsi="微软雅黑" w:eastAsia="微软雅黑"/>
        </w:rPr>
        <w:br w:type="page"/>
      </w:r>
      <w:r>
        <w:rPr>
          <w:rFonts w:hint="eastAsia" w:ascii="微软雅黑" w:hAnsi="微软雅黑" w:eastAsia="微软雅黑"/>
          <w:b/>
        </w:rPr>
        <w:t>蓝图方案签字确认</w:t>
      </w:r>
    </w:p>
    <w:tbl>
      <w:tblPr>
        <w:tblStyle w:val="30"/>
        <w:tblW w:w="9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2"/>
        <w:gridCol w:w="446"/>
        <w:gridCol w:w="2257"/>
        <w:gridCol w:w="614"/>
        <w:gridCol w:w="1187"/>
        <w:gridCol w:w="36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9952" w:type="dxa"/>
            <w:gridSpan w:val="6"/>
            <w:shd w:val="clear" w:color="auto" w:fill="D9D9D9"/>
            <w:noWrap w:val="0"/>
            <w:vAlign w:val="top"/>
          </w:tcPr>
          <w:p>
            <w:pPr>
              <w:pStyle w:val="15"/>
              <w:tabs>
                <w:tab w:val="left" w:pos="4320"/>
              </w:tabs>
              <w:rPr>
                <w:rFonts w:ascii="微软雅黑" w:hAnsi="微软雅黑" w:eastAsia="微软雅黑"/>
                <w:b/>
              </w:rPr>
            </w:pPr>
            <w:r>
              <w:rPr>
                <w:rFonts w:hint="eastAsia" w:ascii="微软雅黑" w:hAnsi="微软雅黑" w:eastAsia="微软雅黑"/>
                <w:b/>
              </w:rPr>
              <w:t>关键用户签字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shd w:val="clear" w:color="auto" w:fill="D9D9D9"/>
            <w:noWrap w:val="0"/>
            <w:vAlign w:val="top"/>
          </w:tcPr>
          <w:p>
            <w:pPr>
              <w:pStyle w:val="15"/>
              <w:tabs>
                <w:tab w:val="left" w:pos="4320"/>
              </w:tabs>
              <w:rPr>
                <w:rFonts w:ascii="微软雅黑" w:hAnsi="微软雅黑" w:eastAsia="微软雅黑"/>
                <w:b/>
              </w:rPr>
            </w:pPr>
            <w:r>
              <w:rPr>
                <w:rFonts w:hint="eastAsia" w:ascii="微软雅黑" w:hAnsi="微软雅黑" w:eastAsia="微软雅黑"/>
                <w:b/>
              </w:rPr>
              <w:t>部门</w:t>
            </w:r>
          </w:p>
        </w:tc>
        <w:tc>
          <w:tcPr>
            <w:tcW w:w="2871" w:type="dxa"/>
            <w:gridSpan w:val="2"/>
            <w:shd w:val="clear" w:color="auto" w:fill="D9D9D9"/>
            <w:noWrap w:val="0"/>
            <w:vAlign w:val="top"/>
          </w:tcPr>
          <w:p>
            <w:pPr>
              <w:pStyle w:val="15"/>
              <w:tabs>
                <w:tab w:val="left" w:pos="4320"/>
              </w:tabs>
              <w:rPr>
                <w:rFonts w:ascii="微软雅黑" w:hAnsi="微软雅黑" w:eastAsia="微软雅黑"/>
                <w:b/>
              </w:rPr>
            </w:pPr>
            <w:r>
              <w:rPr>
                <w:rFonts w:hint="eastAsia" w:ascii="微软雅黑" w:hAnsi="微软雅黑" w:eastAsia="微软雅黑"/>
                <w:b/>
              </w:rPr>
              <w:t>姓名</w:t>
            </w:r>
          </w:p>
        </w:tc>
        <w:tc>
          <w:tcPr>
            <w:tcW w:w="4833" w:type="dxa"/>
            <w:gridSpan w:val="2"/>
            <w:shd w:val="clear" w:color="auto" w:fill="D9D9D9"/>
            <w:noWrap w:val="0"/>
            <w:vAlign w:val="top"/>
          </w:tcPr>
          <w:p>
            <w:pPr>
              <w:pStyle w:val="15"/>
              <w:tabs>
                <w:tab w:val="left" w:pos="4320"/>
              </w:tabs>
              <w:rPr>
                <w:rFonts w:ascii="微软雅黑" w:hAnsi="微软雅黑" w:eastAsia="微软雅黑"/>
                <w:b/>
              </w:rPr>
            </w:pPr>
            <w:r>
              <w:rPr>
                <w:rFonts w:hint="eastAsia" w:ascii="微软雅黑" w:hAnsi="微软雅黑" w:eastAsia="微软雅黑"/>
                <w:b/>
              </w:rPr>
              <w:t>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248" w:type="dxa"/>
            <w:gridSpan w:val="2"/>
            <w:noWrap w:val="0"/>
            <w:vAlign w:val="center"/>
          </w:tcPr>
          <w:p>
            <w:pPr>
              <w:pStyle w:val="15"/>
              <w:tabs>
                <w:tab w:val="left" w:pos="4320"/>
              </w:tabs>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248" w:type="dxa"/>
            <w:gridSpan w:val="2"/>
            <w:noWrap w:val="0"/>
            <w:vAlign w:val="center"/>
          </w:tcPr>
          <w:p>
            <w:pPr>
              <w:pStyle w:val="15"/>
              <w:tabs>
                <w:tab w:val="left" w:pos="4320"/>
              </w:tabs>
              <w:jc w:val="center"/>
              <w:rPr>
                <w:rFonts w:ascii="微软雅黑" w:hAnsi="微软雅黑" w:eastAsia="微软雅黑"/>
              </w:rPr>
            </w:pPr>
          </w:p>
        </w:tc>
        <w:tc>
          <w:tcPr>
            <w:tcW w:w="2871" w:type="dxa"/>
            <w:gridSpan w:val="2"/>
            <w:noWrap w:val="0"/>
            <w:vAlign w:val="center"/>
          </w:tcPr>
          <w:p>
            <w:pPr>
              <w:pStyle w:val="15"/>
              <w:tabs>
                <w:tab w:val="left" w:pos="4320"/>
              </w:tabs>
              <w:jc w:val="center"/>
              <w:rPr>
                <w:rFonts w:ascii="微软雅黑" w:hAnsi="微软雅黑" w:eastAsia="微软雅黑"/>
              </w:rPr>
            </w:pPr>
          </w:p>
        </w:tc>
        <w:tc>
          <w:tcPr>
            <w:tcW w:w="4833" w:type="dxa"/>
            <w:gridSpan w:val="2"/>
            <w:noWrap w:val="0"/>
            <w:vAlign w:val="center"/>
          </w:tcPr>
          <w:p>
            <w:pPr>
              <w:pStyle w:val="15"/>
              <w:tabs>
                <w:tab w:val="left" w:pos="4320"/>
              </w:tabs>
              <w:jc w:val="center"/>
              <w:rPr>
                <w:rFonts w:ascii="微软雅黑" w:hAnsi="微软雅黑" w:eastAsia="微软雅黑"/>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tblHeader/>
        </w:trPr>
        <w:tc>
          <w:tcPr>
            <w:tcW w:w="9952" w:type="dxa"/>
            <w:gridSpan w:val="6"/>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rPr>
              <w:t>项目经理签字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 w:hRule="atLeast"/>
          <w:tblHeader/>
        </w:trPr>
        <w:tc>
          <w:tcPr>
            <w:tcW w:w="1802" w:type="dxa"/>
            <w:tcBorders>
              <w:top w:val="single" w:color="auto" w:sz="4" w:space="0"/>
              <w:left w:val="single" w:color="auto" w:sz="4" w:space="0"/>
              <w:bottom w:val="single" w:color="auto" w:sz="4" w:space="0"/>
              <w:right w:val="single" w:color="auto" w:sz="4" w:space="0"/>
            </w:tcBorders>
            <w:shd w:val="clear" w:color="auto" w:fill="D9D9D9"/>
            <w:noWrap w:val="0"/>
            <w:vAlign w:val="center"/>
          </w:tcPr>
          <w:p>
            <w:pPr>
              <w:spacing w:line="360" w:lineRule="auto"/>
              <w:rPr>
                <w:rFonts w:ascii="微软雅黑" w:hAnsi="微软雅黑" w:eastAsia="微软雅黑"/>
                <w:b/>
              </w:rPr>
            </w:pPr>
            <w:r>
              <w:rPr>
                <w:rFonts w:hint="eastAsia" w:ascii="微软雅黑" w:hAnsi="微软雅黑" w:eastAsia="微软雅黑"/>
                <w:b/>
              </w:rPr>
              <w:t>世纪宝姿</w:t>
            </w:r>
          </w:p>
          <w:p>
            <w:pPr>
              <w:widowControl/>
              <w:spacing w:line="360" w:lineRule="auto"/>
              <w:rPr>
                <w:rFonts w:ascii="微软雅黑" w:hAnsi="微软雅黑" w:eastAsia="微软雅黑"/>
                <w:b/>
                <w:sz w:val="20"/>
                <w:szCs w:val="20"/>
              </w:rPr>
            </w:pPr>
            <w:r>
              <w:rPr>
                <w:rFonts w:hint="eastAsia" w:ascii="微软雅黑" w:hAnsi="微软雅黑" w:eastAsia="微软雅黑"/>
                <w:b/>
              </w:rPr>
              <w:t>项目经理签字</w:t>
            </w:r>
          </w:p>
          <w:p>
            <w:pPr>
              <w:widowControl/>
              <w:spacing w:line="360" w:lineRule="auto"/>
              <w:rPr>
                <w:rFonts w:ascii="微软雅黑" w:hAnsi="微软雅黑" w:eastAsia="微软雅黑"/>
                <w:b/>
                <w:sz w:val="20"/>
                <w:szCs w:val="20"/>
              </w:rPr>
            </w:pPr>
            <w:r>
              <w:rPr>
                <w:rFonts w:hint="eastAsia" w:ascii="微软雅黑" w:hAnsi="微软雅黑" w:eastAsia="微软雅黑"/>
                <w:b/>
                <w:sz w:val="20"/>
                <w:szCs w:val="20"/>
              </w:rPr>
              <w:t>日期</w:t>
            </w:r>
          </w:p>
        </w:tc>
        <w:tc>
          <w:tcPr>
            <w:tcW w:w="2703" w:type="dxa"/>
            <w:gridSpan w:val="2"/>
            <w:tcBorders>
              <w:top w:val="single" w:color="auto" w:sz="4" w:space="0"/>
              <w:left w:val="single" w:color="auto" w:sz="4" w:space="0"/>
              <w:bottom w:val="single" w:color="auto" w:sz="4" w:space="0"/>
              <w:right w:val="single" w:color="auto" w:sz="4" w:space="0"/>
            </w:tcBorders>
            <w:shd w:val="clear" w:color="auto" w:fill="auto"/>
            <w:noWrap w:val="0"/>
            <w:vAlign w:val="center"/>
          </w:tcPr>
          <w:p>
            <w:pPr>
              <w:widowControl/>
              <w:spacing w:line="360" w:lineRule="auto"/>
              <w:rPr>
                <w:rFonts w:ascii="微软雅黑" w:hAnsi="微软雅黑" w:eastAsia="微软雅黑" w:cs="宋体"/>
                <w:b/>
                <w:bCs/>
                <w:color w:val="000000"/>
                <w:kern w:val="0"/>
                <w:sz w:val="20"/>
                <w:szCs w:val="20"/>
              </w:rPr>
            </w:pPr>
          </w:p>
          <w:p>
            <w:pPr>
              <w:widowControl/>
              <w:spacing w:line="360" w:lineRule="auto"/>
              <w:rPr>
                <w:rFonts w:ascii="微软雅黑" w:hAnsi="微软雅黑" w:eastAsia="微软雅黑" w:cs="宋体"/>
                <w:b/>
                <w:bCs/>
                <w:color w:val="000000"/>
                <w:kern w:val="0"/>
                <w:sz w:val="20"/>
                <w:szCs w:val="20"/>
              </w:rPr>
            </w:pPr>
          </w:p>
          <w:p>
            <w:pPr>
              <w:widowControl/>
              <w:spacing w:line="360" w:lineRule="auto"/>
              <w:rPr>
                <w:rFonts w:ascii="微软雅黑" w:hAnsi="微软雅黑" w:eastAsia="微软雅黑" w:cs="宋体"/>
                <w:b/>
                <w:bCs/>
                <w:color w:val="000000"/>
                <w:kern w:val="0"/>
                <w:sz w:val="20"/>
                <w:szCs w:val="20"/>
              </w:rPr>
            </w:pPr>
          </w:p>
        </w:tc>
        <w:tc>
          <w:tcPr>
            <w:tcW w:w="1801" w:type="dxa"/>
            <w:gridSpan w:val="2"/>
            <w:tcBorders>
              <w:top w:val="single" w:color="auto" w:sz="4" w:space="0"/>
              <w:left w:val="single" w:color="auto" w:sz="4" w:space="0"/>
              <w:bottom w:val="single" w:color="auto" w:sz="4" w:space="0"/>
              <w:right w:val="single" w:color="auto" w:sz="4" w:space="0"/>
            </w:tcBorders>
            <w:shd w:val="clear" w:color="auto" w:fill="D9D9D9"/>
            <w:noWrap w:val="0"/>
            <w:vAlign w:val="center"/>
          </w:tcPr>
          <w:p>
            <w:pPr>
              <w:spacing w:line="360" w:lineRule="auto"/>
              <w:rPr>
                <w:rFonts w:ascii="微软雅黑" w:hAnsi="微软雅黑" w:eastAsia="微软雅黑"/>
                <w:b/>
              </w:rPr>
            </w:pPr>
            <w:r>
              <w:rPr>
                <w:rFonts w:hint="eastAsia" w:ascii="微软雅黑" w:hAnsi="微软雅黑" w:eastAsia="微软雅黑"/>
                <w:b/>
              </w:rPr>
              <w:t>甄云科技</w:t>
            </w:r>
          </w:p>
          <w:p>
            <w:pPr>
              <w:widowControl/>
              <w:spacing w:line="360" w:lineRule="auto"/>
              <w:rPr>
                <w:rFonts w:ascii="微软雅黑" w:hAnsi="微软雅黑" w:eastAsia="微软雅黑"/>
                <w:b/>
                <w:sz w:val="20"/>
                <w:szCs w:val="20"/>
              </w:rPr>
            </w:pPr>
            <w:r>
              <w:rPr>
                <w:rFonts w:hint="eastAsia" w:ascii="微软雅黑" w:hAnsi="微软雅黑" w:eastAsia="微软雅黑"/>
                <w:b/>
              </w:rPr>
              <w:t>项目经理签字</w:t>
            </w:r>
          </w:p>
          <w:p>
            <w:pPr>
              <w:widowControl/>
              <w:spacing w:line="360" w:lineRule="auto"/>
              <w:rPr>
                <w:rFonts w:ascii="微软雅黑" w:hAnsi="微软雅黑" w:eastAsia="微软雅黑"/>
                <w:b/>
                <w:sz w:val="20"/>
                <w:szCs w:val="20"/>
              </w:rPr>
            </w:pPr>
            <w:r>
              <w:rPr>
                <w:rFonts w:hint="eastAsia" w:ascii="微软雅黑" w:hAnsi="微软雅黑" w:eastAsia="微软雅黑"/>
                <w:b/>
                <w:sz w:val="20"/>
                <w:szCs w:val="20"/>
              </w:rPr>
              <w:t>日期</w:t>
            </w:r>
          </w:p>
        </w:tc>
        <w:tc>
          <w:tcPr>
            <w:tcW w:w="3646" w:type="dxa"/>
            <w:tcBorders>
              <w:top w:val="single" w:color="auto" w:sz="4" w:space="0"/>
              <w:left w:val="single" w:color="auto" w:sz="4" w:space="0"/>
              <w:bottom w:val="single" w:color="auto" w:sz="4" w:space="0"/>
              <w:right w:val="single" w:color="auto" w:sz="4" w:space="0"/>
            </w:tcBorders>
            <w:noWrap w:val="0"/>
            <w:vAlign w:val="center"/>
          </w:tcPr>
          <w:p>
            <w:pPr>
              <w:widowControl/>
              <w:spacing w:line="360" w:lineRule="auto"/>
              <w:rPr>
                <w:rFonts w:ascii="微软雅黑" w:hAnsi="微软雅黑" w:eastAsia="微软雅黑" w:cs="宋体"/>
                <w:b/>
                <w:bCs/>
                <w:color w:val="000000"/>
                <w:kern w:val="0"/>
                <w:sz w:val="20"/>
                <w:szCs w:val="20"/>
              </w:rPr>
            </w:pPr>
          </w:p>
          <w:p>
            <w:pPr>
              <w:widowControl/>
              <w:spacing w:line="360" w:lineRule="auto"/>
              <w:rPr>
                <w:rFonts w:ascii="微软雅黑" w:hAnsi="微软雅黑" w:eastAsia="微软雅黑" w:cs="宋体"/>
                <w:b/>
                <w:bCs/>
                <w:color w:val="000000"/>
                <w:kern w:val="0"/>
                <w:sz w:val="20"/>
                <w:szCs w:val="20"/>
              </w:rPr>
            </w:pPr>
          </w:p>
          <w:p>
            <w:pPr>
              <w:widowControl/>
              <w:spacing w:line="360" w:lineRule="auto"/>
              <w:rPr>
                <w:rFonts w:ascii="微软雅黑" w:hAnsi="微软雅黑" w:eastAsia="微软雅黑" w:cs="宋体"/>
                <w:b/>
                <w:bCs/>
                <w:color w:val="000000"/>
                <w:kern w:val="0"/>
                <w:sz w:val="20"/>
                <w:szCs w:val="20"/>
              </w:rPr>
            </w:pPr>
          </w:p>
        </w:tc>
      </w:tr>
    </w:tbl>
    <w:p>
      <w:pPr>
        <w:pStyle w:val="15"/>
        <w:tabs>
          <w:tab w:val="left" w:pos="4320"/>
        </w:tabs>
        <w:rPr>
          <w:rFonts w:ascii="微软雅黑" w:hAnsi="微软雅黑" w:eastAsia="微软雅黑"/>
          <w:b/>
        </w:rPr>
      </w:pPr>
    </w:p>
    <w:p>
      <w:pPr>
        <w:widowControl/>
        <w:jc w:val="left"/>
        <w:rPr>
          <w:rFonts w:ascii="微软雅黑" w:hAnsi="微软雅黑" w:eastAsia="微软雅黑"/>
          <w:b/>
        </w:rPr>
      </w:pPr>
      <w:r>
        <w:rPr>
          <w:rFonts w:ascii="微软雅黑" w:hAnsi="微软雅黑" w:eastAsia="微软雅黑"/>
          <w:b/>
          <w:lang w:val="zh-CN"/>
        </w:rPr>
        <w:t>目录</w:t>
      </w:r>
    </w:p>
    <w:p>
      <w:pPr>
        <w:pStyle w:val="22"/>
        <w:tabs>
          <w:tab w:val="right" w:leader="dot" w:pos="10035"/>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_Toc17660 </w:instrText>
      </w:r>
      <w:r>
        <w:rPr>
          <w:rFonts w:ascii="微软雅黑" w:hAnsi="微软雅黑" w:eastAsia="微软雅黑"/>
        </w:rPr>
        <w:fldChar w:fldCharType="separate"/>
      </w:r>
      <w:r>
        <w:rPr>
          <w:rFonts w:hint="eastAsia" w:ascii="Verdana" w:hAnsi="微软雅黑" w:eastAsia="微软雅黑"/>
        </w:rPr>
        <w:t xml:space="preserve">第1章 </w:t>
      </w:r>
      <w:r>
        <w:rPr>
          <w:rFonts w:hint="eastAsia" w:ascii="微软雅黑" w:hAnsi="微软雅黑" w:eastAsia="微软雅黑"/>
        </w:rPr>
        <w:t>蓝图概要说明</w:t>
      </w:r>
      <w:r>
        <w:tab/>
      </w:r>
      <w:r>
        <w:fldChar w:fldCharType="begin"/>
      </w:r>
      <w:r>
        <w:instrText xml:space="preserve"> PAGEREF _Toc17660 \h </w:instrText>
      </w:r>
      <w:r>
        <w:fldChar w:fldCharType="separate"/>
      </w:r>
      <w:r>
        <w:t>5</w:t>
      </w:r>
      <w:r>
        <w:fldChar w:fldCharType="end"/>
      </w:r>
      <w:r>
        <w:rPr>
          <w:rFonts w:ascii="微软雅黑" w:hAnsi="微软雅黑" w:eastAsia="微软雅黑"/>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_Toc25052 </w:instrText>
      </w:r>
      <w:r>
        <w:rPr>
          <w:rFonts w:ascii="微软雅黑" w:hAnsi="微软雅黑" w:eastAsia="微软雅黑"/>
          <w:bCs/>
          <w:lang w:val="zh-CN"/>
        </w:rPr>
        <w:fldChar w:fldCharType="separate"/>
      </w:r>
      <w:r>
        <w:rPr>
          <w:rFonts w:hint="eastAsia" w:ascii="Verdana"/>
          <w:szCs w:val="24"/>
        </w:rPr>
        <w:t xml:space="preserve">1.1 </w:t>
      </w:r>
      <w:r>
        <w:rPr>
          <w:rFonts w:hint="eastAsia"/>
        </w:rPr>
        <w:t>适用组织架构</w:t>
      </w:r>
      <w:r>
        <w:tab/>
      </w:r>
      <w:r>
        <w:fldChar w:fldCharType="begin"/>
      </w:r>
      <w:r>
        <w:instrText xml:space="preserve"> PAGEREF _Toc25052 \h </w:instrText>
      </w:r>
      <w:r>
        <w:fldChar w:fldCharType="separate"/>
      </w:r>
      <w:r>
        <w:t>5</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_Toc23952 </w:instrText>
      </w:r>
      <w:r>
        <w:rPr>
          <w:rFonts w:ascii="微软雅黑" w:hAnsi="微软雅黑" w:eastAsia="微软雅黑"/>
          <w:bCs/>
          <w:lang w:val="zh-CN"/>
        </w:rPr>
        <w:fldChar w:fldCharType="separate"/>
      </w:r>
      <w:r>
        <w:rPr>
          <w:rFonts w:hint="eastAsia" w:ascii="Verdana"/>
          <w:szCs w:val="24"/>
        </w:rPr>
        <w:t xml:space="preserve">1.2 </w:t>
      </w:r>
      <w:r>
        <w:rPr>
          <w:rFonts w:hint="eastAsia"/>
        </w:rPr>
        <w:t>适用业务场景说明</w:t>
      </w:r>
      <w:r>
        <w:tab/>
      </w:r>
      <w:r>
        <w:fldChar w:fldCharType="begin"/>
      </w:r>
      <w:r>
        <w:instrText xml:space="preserve"> PAGEREF _Toc23952 \h </w:instrText>
      </w:r>
      <w:r>
        <w:fldChar w:fldCharType="separate"/>
      </w:r>
      <w:r>
        <w:t>5</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_Toc17258 </w:instrText>
      </w:r>
      <w:r>
        <w:rPr>
          <w:rFonts w:ascii="微软雅黑" w:hAnsi="微软雅黑" w:eastAsia="微软雅黑"/>
          <w:bCs/>
          <w:lang w:val="zh-CN"/>
        </w:rPr>
        <w:fldChar w:fldCharType="separate"/>
      </w:r>
      <w:r>
        <w:rPr>
          <w:rFonts w:hint="eastAsia" w:ascii="Verdana"/>
          <w:szCs w:val="24"/>
        </w:rPr>
        <w:t xml:space="preserve">1.3 </w:t>
      </w:r>
      <w:r>
        <w:rPr>
          <w:rFonts w:hint="eastAsia"/>
        </w:rPr>
        <w:t>参考文档</w:t>
      </w:r>
      <w:r>
        <w:tab/>
      </w:r>
      <w:r>
        <w:fldChar w:fldCharType="begin"/>
      </w:r>
      <w:r>
        <w:instrText xml:space="preserve"> PAGEREF _Toc17258 \h </w:instrText>
      </w:r>
      <w:r>
        <w:fldChar w:fldCharType="separate"/>
      </w:r>
      <w:r>
        <w:t>5</w:t>
      </w:r>
      <w:r>
        <w:fldChar w:fldCharType="end"/>
      </w:r>
      <w:r>
        <w:rPr>
          <w:rFonts w:ascii="微软雅黑" w:hAnsi="微软雅黑" w:eastAsia="微软雅黑"/>
          <w:bCs/>
          <w:lang w:val="zh-CN"/>
        </w:rPr>
        <w:fldChar w:fldCharType="end"/>
      </w:r>
    </w:p>
    <w:p>
      <w:pPr>
        <w:pStyle w:val="22"/>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_Toc22315 </w:instrText>
      </w:r>
      <w:r>
        <w:rPr>
          <w:rFonts w:ascii="微软雅黑" w:hAnsi="微软雅黑" w:eastAsia="微软雅黑"/>
          <w:bCs/>
          <w:lang w:val="zh-CN"/>
        </w:rPr>
        <w:fldChar w:fldCharType="separate"/>
      </w:r>
      <w:r>
        <w:rPr>
          <w:rFonts w:hint="eastAsia" w:ascii="Verdana" w:hAnsi="微软雅黑" w:eastAsia="微软雅黑"/>
        </w:rPr>
        <w:t xml:space="preserve">第2章 </w:t>
      </w:r>
      <w:r>
        <w:rPr>
          <w:rFonts w:hint="eastAsia" w:ascii="微软雅黑" w:hAnsi="微软雅黑" w:eastAsia="微软雅黑"/>
        </w:rPr>
        <w:t>蓝图流程图标定义</w:t>
      </w:r>
      <w:r>
        <w:tab/>
      </w:r>
      <w:r>
        <w:fldChar w:fldCharType="begin"/>
      </w:r>
      <w:r>
        <w:instrText xml:space="preserve"> PAGEREF _Toc22315 \h </w:instrText>
      </w:r>
      <w:r>
        <w:fldChar w:fldCharType="separate"/>
      </w:r>
      <w:r>
        <w:t>6</w:t>
      </w:r>
      <w:r>
        <w:fldChar w:fldCharType="end"/>
      </w:r>
      <w:r>
        <w:rPr>
          <w:rFonts w:ascii="微软雅黑" w:hAnsi="微软雅黑" w:eastAsia="微软雅黑"/>
          <w:bCs/>
          <w:lang w:val="zh-CN"/>
        </w:rPr>
        <w:fldChar w:fldCharType="end"/>
      </w:r>
    </w:p>
    <w:p>
      <w:pPr>
        <w:pStyle w:val="22"/>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_Toc7024 </w:instrText>
      </w:r>
      <w:r>
        <w:rPr>
          <w:rFonts w:ascii="微软雅黑" w:hAnsi="微软雅黑" w:eastAsia="微软雅黑"/>
          <w:bCs/>
          <w:lang w:val="zh-CN"/>
        </w:rPr>
        <w:fldChar w:fldCharType="separate"/>
      </w:r>
      <w:r>
        <w:rPr>
          <w:rFonts w:hint="eastAsia" w:ascii="Verdana" w:hAnsi="微软雅黑" w:eastAsia="微软雅黑"/>
        </w:rPr>
        <w:t xml:space="preserve">第3章 </w:t>
      </w:r>
      <w:r>
        <w:rPr>
          <w:rFonts w:hint="eastAsia" w:ascii="微软雅黑" w:hAnsi="微软雅黑" w:eastAsia="微软雅黑"/>
        </w:rPr>
        <w:t>业务蓝图流程总图</w:t>
      </w:r>
      <w:r>
        <w:tab/>
      </w:r>
      <w:r>
        <w:fldChar w:fldCharType="begin"/>
      </w:r>
      <w:r>
        <w:instrText xml:space="preserve"> PAGEREF _Toc7024 \h </w:instrText>
      </w:r>
      <w:r>
        <w:fldChar w:fldCharType="separate"/>
      </w:r>
      <w:r>
        <w:t>6</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_Toc8630 </w:instrText>
      </w:r>
      <w:r>
        <w:rPr>
          <w:rFonts w:ascii="微软雅黑" w:hAnsi="微软雅黑" w:eastAsia="微软雅黑"/>
          <w:bCs/>
          <w:lang w:val="zh-CN"/>
        </w:rPr>
        <w:fldChar w:fldCharType="separate"/>
      </w:r>
      <w:r>
        <w:rPr>
          <w:rFonts w:hint="eastAsia" w:ascii="Verdana"/>
          <w:szCs w:val="24"/>
        </w:rPr>
        <w:t xml:space="preserve">3.1 </w:t>
      </w:r>
      <w:r>
        <w:rPr>
          <w:rFonts w:hint="eastAsia"/>
          <w:lang w:val="en-US" w:eastAsia="zh-CN"/>
        </w:rPr>
        <w:t>供应商绩效</w:t>
      </w:r>
      <w:r>
        <w:rPr>
          <w:rFonts w:hint="eastAsia"/>
        </w:rPr>
        <w:t>管理流程清单</w:t>
      </w:r>
      <w:r>
        <w:tab/>
      </w:r>
      <w:r>
        <w:fldChar w:fldCharType="begin"/>
      </w:r>
      <w:r>
        <w:instrText xml:space="preserve"> PAGEREF _Toc8630 \h </w:instrText>
      </w:r>
      <w:r>
        <w:fldChar w:fldCharType="separate"/>
      </w:r>
      <w:r>
        <w:t>6</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_Toc24723 </w:instrText>
      </w:r>
      <w:r>
        <w:rPr>
          <w:rFonts w:ascii="微软雅黑" w:hAnsi="微软雅黑" w:eastAsia="微软雅黑"/>
          <w:bCs/>
          <w:lang w:val="zh-CN"/>
        </w:rPr>
        <w:fldChar w:fldCharType="separate"/>
      </w:r>
      <w:r>
        <w:rPr>
          <w:rFonts w:hint="eastAsia" w:ascii="Verdana"/>
          <w:szCs w:val="24"/>
        </w:rPr>
        <w:t xml:space="preserve">3.2 </w:t>
      </w:r>
      <w:r>
        <w:rPr>
          <w:rFonts w:hint="eastAsia"/>
          <w:lang w:val="en-US" w:eastAsia="zh-CN"/>
        </w:rPr>
        <w:t>供应商绩效管理</w:t>
      </w:r>
      <w:r>
        <w:rPr>
          <w:rFonts w:hint="eastAsia"/>
        </w:rPr>
        <w:t>流程</w:t>
      </w:r>
      <w:r>
        <w:tab/>
      </w:r>
      <w:r>
        <w:fldChar w:fldCharType="begin"/>
      </w:r>
      <w:r>
        <w:instrText xml:space="preserve"> PAGEREF _Toc24723 \h </w:instrText>
      </w:r>
      <w:r>
        <w:fldChar w:fldCharType="separate"/>
      </w:r>
      <w:r>
        <w:t>6</w:t>
      </w:r>
      <w:r>
        <w:fldChar w:fldCharType="end"/>
      </w:r>
      <w:r>
        <w:rPr>
          <w:rFonts w:ascii="微软雅黑" w:hAnsi="微软雅黑" w:eastAsia="微软雅黑"/>
          <w:bCs/>
          <w:lang w:val="zh-CN"/>
        </w:rPr>
        <w:fldChar w:fldCharType="end"/>
      </w:r>
    </w:p>
    <w:p>
      <w:pPr>
        <w:pStyle w:val="22"/>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_Toc3617 </w:instrText>
      </w:r>
      <w:r>
        <w:rPr>
          <w:rFonts w:ascii="微软雅黑" w:hAnsi="微软雅黑" w:eastAsia="微软雅黑"/>
          <w:bCs/>
          <w:lang w:val="zh-CN"/>
        </w:rPr>
        <w:fldChar w:fldCharType="separate"/>
      </w:r>
      <w:r>
        <w:rPr>
          <w:rFonts w:hint="eastAsia" w:ascii="Verdana" w:hAnsi="微软雅黑" w:eastAsia="微软雅黑"/>
        </w:rPr>
        <w:t xml:space="preserve">第4章 </w:t>
      </w:r>
      <w:r>
        <w:rPr>
          <w:rFonts w:hint="eastAsia" w:ascii="微软雅黑" w:hAnsi="微软雅黑" w:eastAsia="微软雅黑"/>
        </w:rPr>
        <w:t>界面及功能说明</w:t>
      </w:r>
      <w:r>
        <w:tab/>
      </w:r>
      <w:r>
        <w:fldChar w:fldCharType="begin"/>
      </w:r>
      <w:r>
        <w:instrText xml:space="preserve"> PAGEREF _Toc3617 \h </w:instrText>
      </w:r>
      <w:r>
        <w:fldChar w:fldCharType="separate"/>
      </w:r>
      <w:r>
        <w:t>9</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_Toc26997 </w:instrText>
      </w:r>
      <w:r>
        <w:rPr>
          <w:rFonts w:ascii="微软雅黑" w:hAnsi="微软雅黑" w:eastAsia="微软雅黑"/>
          <w:bCs/>
          <w:lang w:val="zh-CN"/>
        </w:rPr>
        <w:fldChar w:fldCharType="separate"/>
      </w:r>
      <w:r>
        <w:rPr>
          <w:rFonts w:hint="eastAsia" w:ascii="Verdana"/>
          <w:szCs w:val="24"/>
        </w:rPr>
        <w:t xml:space="preserve">4.1 </w:t>
      </w:r>
      <w:r>
        <w:rPr>
          <w:rFonts w:hint="eastAsia"/>
          <w:lang w:val="en-US" w:eastAsia="zh-CN"/>
        </w:rPr>
        <w:t>供应商绩效考评</w:t>
      </w:r>
      <w:r>
        <w:tab/>
      </w:r>
      <w:r>
        <w:fldChar w:fldCharType="begin"/>
      </w:r>
      <w:r>
        <w:instrText xml:space="preserve"> PAGEREF _Toc26997 \h </w:instrText>
      </w:r>
      <w:r>
        <w:fldChar w:fldCharType="separate"/>
      </w:r>
      <w:r>
        <w:t>9</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_Toc1070 </w:instrText>
      </w:r>
      <w:r>
        <w:rPr>
          <w:rFonts w:ascii="微软雅黑" w:hAnsi="微软雅黑" w:eastAsia="微软雅黑"/>
          <w:bCs/>
          <w:lang w:val="zh-CN"/>
        </w:rPr>
        <w:fldChar w:fldCharType="separate"/>
      </w:r>
      <w:r>
        <w:rPr>
          <w:rFonts w:hint="eastAsia" w:ascii="Verdana" w:hAnsi="Verdana"/>
          <w:szCs w:val="24"/>
          <w:lang w:val="en-US"/>
        </w:rPr>
        <w:t xml:space="preserve">4.1.1 </w:t>
      </w:r>
      <w:r>
        <w:rPr>
          <w:rFonts w:hint="eastAsia"/>
          <w:szCs w:val="24"/>
          <w:lang w:val="en-US" w:eastAsia="zh-CN"/>
        </w:rPr>
        <w:t>发起考评</w:t>
      </w:r>
      <w:r>
        <w:tab/>
      </w:r>
      <w:r>
        <w:fldChar w:fldCharType="begin"/>
      </w:r>
      <w:r>
        <w:instrText xml:space="preserve"> PAGEREF _Toc1070 \h </w:instrText>
      </w:r>
      <w:r>
        <w:fldChar w:fldCharType="separate"/>
      </w:r>
      <w:r>
        <w:t>9</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_Toc25556 </w:instrText>
      </w:r>
      <w:r>
        <w:rPr>
          <w:rFonts w:ascii="微软雅黑" w:hAnsi="微软雅黑" w:eastAsia="微软雅黑"/>
          <w:bCs/>
          <w:lang w:val="zh-CN"/>
        </w:rPr>
        <w:fldChar w:fldCharType="separate"/>
      </w:r>
      <w:r>
        <w:rPr>
          <w:rFonts w:hint="eastAsia" w:ascii="Verdana" w:hAnsi="Verdana"/>
          <w:lang w:val="en-US"/>
        </w:rPr>
        <w:t xml:space="preserve">4.1.2 </w:t>
      </w:r>
      <w:r>
        <w:rPr>
          <w:rFonts w:hint="eastAsia"/>
          <w:lang w:val="en-US" w:eastAsia="zh-CN"/>
        </w:rPr>
        <w:t>考评评分</w:t>
      </w:r>
      <w:r>
        <w:tab/>
      </w:r>
      <w:r>
        <w:fldChar w:fldCharType="begin"/>
      </w:r>
      <w:r>
        <w:instrText xml:space="preserve"> PAGEREF _Toc25556 \h </w:instrText>
      </w:r>
      <w:r>
        <w:fldChar w:fldCharType="separate"/>
      </w:r>
      <w:r>
        <w:t>13</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_Toc21405 </w:instrText>
      </w:r>
      <w:r>
        <w:rPr>
          <w:rFonts w:ascii="微软雅黑" w:hAnsi="微软雅黑" w:eastAsia="微软雅黑"/>
          <w:bCs/>
          <w:lang w:val="zh-CN"/>
        </w:rPr>
        <w:fldChar w:fldCharType="separate"/>
      </w:r>
      <w:r>
        <w:rPr>
          <w:rFonts w:hint="eastAsia" w:ascii="Verdana" w:hAnsi="Verdana"/>
          <w:lang w:val="en-US" w:eastAsia="zh-CN"/>
        </w:rPr>
        <w:t xml:space="preserve">4.1.3 </w:t>
      </w:r>
      <w:r>
        <w:rPr>
          <w:rFonts w:hint="eastAsia"/>
          <w:lang w:val="en-US" w:eastAsia="zh-CN"/>
        </w:rPr>
        <w:t>评分汇总</w:t>
      </w:r>
      <w:r>
        <w:tab/>
      </w:r>
      <w:r>
        <w:fldChar w:fldCharType="begin"/>
      </w:r>
      <w:r>
        <w:instrText xml:space="preserve"> PAGEREF _Toc21405 \h </w:instrText>
      </w:r>
      <w:r>
        <w:fldChar w:fldCharType="separate"/>
      </w:r>
      <w:r>
        <w:t>16</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_Toc15746 </w:instrText>
      </w:r>
      <w:r>
        <w:rPr>
          <w:rFonts w:ascii="微软雅黑" w:hAnsi="微软雅黑" w:eastAsia="微软雅黑"/>
          <w:bCs/>
          <w:lang w:val="zh-CN"/>
        </w:rPr>
        <w:fldChar w:fldCharType="separate"/>
      </w:r>
      <w:r>
        <w:rPr>
          <w:rFonts w:hint="eastAsia" w:ascii="Verdana" w:hAnsi="Verdana"/>
          <w:lang w:val="en-US" w:eastAsia="zh-CN"/>
        </w:rPr>
        <w:t xml:space="preserve">4.1.4 </w:t>
      </w:r>
      <w:r>
        <w:rPr>
          <w:rFonts w:hint="eastAsia"/>
          <w:lang w:val="en-US" w:eastAsia="zh-CN"/>
        </w:rPr>
        <w:t>应用评级</w:t>
      </w:r>
      <w:r>
        <w:tab/>
      </w:r>
      <w:r>
        <w:fldChar w:fldCharType="begin"/>
      </w:r>
      <w:r>
        <w:instrText xml:space="preserve"> PAGEREF _Toc15746 \h </w:instrText>
      </w:r>
      <w:r>
        <w:fldChar w:fldCharType="separate"/>
      </w:r>
      <w:r>
        <w:t>18</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_Toc25539 </w:instrText>
      </w:r>
      <w:r>
        <w:rPr>
          <w:rFonts w:ascii="微软雅黑" w:hAnsi="微软雅黑" w:eastAsia="微软雅黑"/>
          <w:bCs/>
          <w:lang w:val="zh-CN"/>
        </w:rPr>
        <w:fldChar w:fldCharType="separate"/>
      </w:r>
      <w:r>
        <w:rPr>
          <w:rFonts w:hint="eastAsia" w:ascii="Verdana" w:hAnsi="Verdana"/>
          <w:lang w:val="en-US" w:eastAsia="zh-CN"/>
        </w:rPr>
        <w:t xml:space="preserve">4.1.5 </w:t>
      </w:r>
      <w:r>
        <w:rPr>
          <w:rFonts w:hint="eastAsia"/>
          <w:lang w:val="en-US" w:eastAsia="zh-CN"/>
        </w:rPr>
        <w:t>发布考评结果</w:t>
      </w:r>
      <w:r>
        <w:tab/>
      </w:r>
      <w:r>
        <w:fldChar w:fldCharType="begin"/>
      </w:r>
      <w:r>
        <w:instrText xml:space="preserve"> PAGEREF _Toc25539 \h </w:instrText>
      </w:r>
      <w:r>
        <w:fldChar w:fldCharType="separate"/>
      </w:r>
      <w:r>
        <w:t>21</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_Toc22050 </w:instrText>
      </w:r>
      <w:r>
        <w:rPr>
          <w:rFonts w:ascii="微软雅黑" w:hAnsi="微软雅黑" w:eastAsia="微软雅黑"/>
          <w:bCs/>
          <w:lang w:val="zh-CN"/>
        </w:rPr>
        <w:fldChar w:fldCharType="separate"/>
      </w:r>
      <w:r>
        <w:rPr>
          <w:rFonts w:hint="eastAsia" w:ascii="Verdana" w:hAnsi="Verdana"/>
          <w:lang w:val="en-US" w:eastAsia="zh-CN"/>
        </w:rPr>
        <w:t xml:space="preserve">4.1.6 </w:t>
      </w:r>
      <w:r>
        <w:rPr>
          <w:rFonts w:hint="eastAsia"/>
          <w:lang w:val="en-US" w:eastAsia="zh-CN"/>
        </w:rPr>
        <w:t>消息预警说明</w:t>
      </w:r>
      <w:r>
        <w:tab/>
      </w:r>
      <w:r>
        <w:fldChar w:fldCharType="begin"/>
      </w:r>
      <w:r>
        <w:instrText xml:space="preserve"> PAGEREF _Toc22050 \h </w:instrText>
      </w:r>
      <w:r>
        <w:fldChar w:fldCharType="separate"/>
      </w:r>
      <w:r>
        <w:t>22</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_Toc23761 </w:instrText>
      </w:r>
      <w:r>
        <w:rPr>
          <w:rFonts w:ascii="微软雅黑" w:hAnsi="微软雅黑" w:eastAsia="微软雅黑"/>
          <w:bCs/>
          <w:lang w:val="zh-CN"/>
        </w:rPr>
        <w:fldChar w:fldCharType="separate"/>
      </w:r>
      <w:r>
        <w:rPr>
          <w:rFonts w:hint="eastAsia" w:ascii="Verdana"/>
          <w:szCs w:val="24"/>
          <w:lang w:val="en-US" w:eastAsia="zh-Hans"/>
        </w:rPr>
        <w:t xml:space="preserve">4.2 </w:t>
      </w:r>
      <w:r>
        <w:rPr>
          <w:rFonts w:hint="eastAsia"/>
          <w:lang w:val="en-US" w:eastAsia="zh-CN"/>
        </w:rPr>
        <w:t>考评结果查询</w:t>
      </w:r>
      <w:r>
        <w:tab/>
      </w:r>
      <w:r>
        <w:fldChar w:fldCharType="begin"/>
      </w:r>
      <w:r>
        <w:instrText xml:space="preserve"> PAGEREF _Toc23761 \h </w:instrText>
      </w:r>
      <w:r>
        <w:fldChar w:fldCharType="separate"/>
      </w:r>
      <w:r>
        <w:t>23</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_Toc18386 </w:instrText>
      </w:r>
      <w:r>
        <w:rPr>
          <w:rFonts w:ascii="微软雅黑" w:hAnsi="微软雅黑" w:eastAsia="微软雅黑"/>
          <w:bCs/>
          <w:lang w:val="zh-CN"/>
        </w:rPr>
        <w:fldChar w:fldCharType="separate"/>
      </w:r>
      <w:r>
        <w:rPr>
          <w:rFonts w:hint="eastAsia" w:ascii="Verdana" w:hAnsi="Verdana"/>
          <w:lang w:val="en-US" w:eastAsia="zh-CN"/>
        </w:rPr>
        <w:t xml:space="preserve">4.2.1 </w:t>
      </w:r>
      <w:r>
        <w:rPr>
          <w:rFonts w:hint="eastAsia"/>
          <w:lang w:val="en-US" w:eastAsia="zh-CN"/>
        </w:rPr>
        <w:t>评分明细查看</w:t>
      </w:r>
      <w:r>
        <w:tab/>
      </w:r>
      <w:r>
        <w:fldChar w:fldCharType="begin"/>
      </w:r>
      <w:r>
        <w:instrText xml:space="preserve"> PAGEREF _Toc18386 \h </w:instrText>
      </w:r>
      <w:r>
        <w:fldChar w:fldCharType="separate"/>
      </w:r>
      <w:r>
        <w:t>24</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_Toc83 </w:instrText>
      </w:r>
      <w:r>
        <w:rPr>
          <w:rFonts w:ascii="微软雅黑" w:hAnsi="微软雅黑" w:eastAsia="微软雅黑"/>
          <w:bCs/>
          <w:lang w:val="zh-CN"/>
        </w:rPr>
        <w:fldChar w:fldCharType="separate"/>
      </w:r>
      <w:r>
        <w:rPr>
          <w:rFonts w:hint="eastAsia" w:ascii="Verdana" w:hAnsi="Verdana"/>
          <w:lang w:val="en-US" w:eastAsia="zh-CN"/>
        </w:rPr>
        <w:t xml:space="preserve">4.2.2 </w:t>
      </w:r>
      <w:r>
        <w:rPr>
          <w:rFonts w:hint="eastAsia"/>
          <w:lang w:val="en-US" w:eastAsia="zh-CN"/>
        </w:rPr>
        <w:t>指标数据查看</w:t>
      </w:r>
      <w:r>
        <w:tab/>
      </w:r>
      <w:r>
        <w:fldChar w:fldCharType="begin"/>
      </w:r>
      <w:r>
        <w:instrText xml:space="preserve"> PAGEREF _Toc83 \h </w:instrText>
      </w:r>
      <w:r>
        <w:fldChar w:fldCharType="separate"/>
      </w:r>
      <w:r>
        <w:t>24</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_Toc17966 </w:instrText>
      </w:r>
      <w:r>
        <w:rPr>
          <w:rFonts w:ascii="微软雅黑" w:hAnsi="微软雅黑" w:eastAsia="微软雅黑"/>
          <w:bCs/>
          <w:lang w:val="zh-CN"/>
        </w:rPr>
        <w:fldChar w:fldCharType="separate"/>
      </w:r>
      <w:r>
        <w:rPr>
          <w:rFonts w:hint="eastAsia" w:ascii="Verdana" w:hAnsi="Verdana"/>
          <w:lang w:val="en-US" w:eastAsia="zh-CN"/>
        </w:rPr>
        <w:t xml:space="preserve">4.2.3 </w:t>
      </w:r>
      <w:r>
        <w:rPr>
          <w:rFonts w:hint="eastAsia"/>
          <w:lang w:val="en-US" w:eastAsia="zh-CN"/>
        </w:rPr>
        <w:t>权限控制</w:t>
      </w:r>
      <w:r>
        <w:tab/>
      </w:r>
      <w:r>
        <w:fldChar w:fldCharType="begin"/>
      </w:r>
      <w:r>
        <w:instrText xml:space="preserve"> PAGEREF _Toc17966 \h </w:instrText>
      </w:r>
      <w:r>
        <w:fldChar w:fldCharType="separate"/>
      </w:r>
      <w:r>
        <w:t>24</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_Toc21173 </w:instrText>
      </w:r>
      <w:r>
        <w:rPr>
          <w:rFonts w:ascii="微软雅黑" w:hAnsi="微软雅黑" w:eastAsia="微软雅黑"/>
          <w:bCs/>
          <w:lang w:val="zh-CN"/>
        </w:rPr>
        <w:fldChar w:fldCharType="separate"/>
      </w:r>
      <w:r>
        <w:rPr>
          <w:rFonts w:hint="eastAsia" w:ascii="Verdana"/>
          <w:szCs w:val="24"/>
          <w:lang w:val="en-US" w:eastAsia="zh-CN"/>
        </w:rPr>
        <w:t xml:space="preserve">4.3 </w:t>
      </w:r>
      <w:r>
        <w:rPr>
          <w:rFonts w:hint="eastAsia"/>
          <w:lang w:val="en-US" w:eastAsia="zh-CN"/>
        </w:rPr>
        <w:t>供应商360页面显示</w:t>
      </w:r>
      <w:r>
        <w:tab/>
      </w:r>
      <w:r>
        <w:fldChar w:fldCharType="begin"/>
      </w:r>
      <w:r>
        <w:instrText xml:space="preserve"> PAGEREF _Toc21173 \h </w:instrText>
      </w:r>
      <w:r>
        <w:fldChar w:fldCharType="separate"/>
      </w:r>
      <w:r>
        <w:t>25</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_Toc20040 </w:instrText>
      </w:r>
      <w:r>
        <w:rPr>
          <w:rFonts w:ascii="微软雅黑" w:hAnsi="微软雅黑" w:eastAsia="微软雅黑"/>
          <w:bCs/>
          <w:lang w:val="zh-CN"/>
        </w:rPr>
        <w:fldChar w:fldCharType="separate"/>
      </w:r>
      <w:r>
        <w:rPr>
          <w:rFonts w:hint="eastAsia" w:ascii="Verdana"/>
          <w:szCs w:val="24"/>
          <w:lang w:val="en-US" w:eastAsia="zh-CN"/>
        </w:rPr>
        <w:t xml:space="preserve">4.4 </w:t>
      </w:r>
      <w:r>
        <w:rPr>
          <w:rFonts w:hint="eastAsia"/>
          <w:lang w:val="en-US" w:eastAsia="zh-CN"/>
        </w:rPr>
        <w:t>供应商查看考评结果</w:t>
      </w:r>
      <w:r>
        <w:tab/>
      </w:r>
      <w:r>
        <w:fldChar w:fldCharType="begin"/>
      </w:r>
      <w:r>
        <w:instrText xml:space="preserve"> PAGEREF _Toc20040 \h </w:instrText>
      </w:r>
      <w:r>
        <w:fldChar w:fldCharType="separate"/>
      </w:r>
      <w:r>
        <w:t>26</w:t>
      </w:r>
      <w:r>
        <w:fldChar w:fldCharType="end"/>
      </w:r>
      <w:r>
        <w:rPr>
          <w:rFonts w:ascii="微软雅黑" w:hAnsi="微软雅黑" w:eastAsia="微软雅黑"/>
          <w:bCs/>
          <w:lang w:val="zh-CN"/>
        </w:rPr>
        <w:fldChar w:fldCharType="end"/>
      </w:r>
    </w:p>
    <w:p>
      <w:pPr>
        <w:pStyle w:val="25"/>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_Toc1480 </w:instrText>
      </w:r>
      <w:r>
        <w:rPr>
          <w:rFonts w:ascii="微软雅黑" w:hAnsi="微软雅黑" w:eastAsia="微软雅黑"/>
          <w:bCs/>
          <w:lang w:val="zh-CN"/>
        </w:rPr>
        <w:fldChar w:fldCharType="separate"/>
      </w:r>
      <w:r>
        <w:rPr>
          <w:rFonts w:hint="eastAsia" w:ascii="Verdana"/>
          <w:szCs w:val="24"/>
          <w:lang w:val="en-US" w:eastAsia="zh-CN"/>
        </w:rPr>
        <w:t xml:space="preserve">4.5 </w:t>
      </w:r>
      <w:r>
        <w:rPr>
          <w:rFonts w:hint="eastAsia"/>
          <w:lang w:val="en-US" w:eastAsia="zh-CN"/>
        </w:rPr>
        <w:t>考评指标说明</w:t>
      </w:r>
      <w:r>
        <w:tab/>
      </w:r>
      <w:r>
        <w:fldChar w:fldCharType="begin"/>
      </w:r>
      <w:r>
        <w:instrText xml:space="preserve"> PAGEREF _Toc1480 \h </w:instrText>
      </w:r>
      <w:r>
        <w:fldChar w:fldCharType="separate"/>
      </w:r>
      <w:r>
        <w:t>26</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_Toc30604 </w:instrText>
      </w:r>
      <w:r>
        <w:rPr>
          <w:rFonts w:ascii="微软雅黑" w:hAnsi="微软雅黑" w:eastAsia="微软雅黑"/>
          <w:bCs/>
          <w:lang w:val="zh-CN"/>
        </w:rPr>
        <w:fldChar w:fldCharType="separate"/>
      </w:r>
      <w:r>
        <w:rPr>
          <w:rFonts w:hint="eastAsia" w:ascii="Verdana" w:hAnsi="Verdana"/>
          <w:lang w:val="en-US" w:eastAsia="zh-CN"/>
        </w:rPr>
        <w:t xml:space="preserve">4.5.1 </w:t>
      </w:r>
      <w:r>
        <w:rPr>
          <w:rFonts w:hint="eastAsia"/>
          <w:lang w:val="en-US" w:eastAsia="zh-CN"/>
        </w:rPr>
        <w:t>主观评分指标</w:t>
      </w:r>
      <w:r>
        <w:tab/>
      </w:r>
      <w:r>
        <w:fldChar w:fldCharType="begin"/>
      </w:r>
      <w:r>
        <w:instrText xml:space="preserve"> PAGEREF _Toc30604 \h </w:instrText>
      </w:r>
      <w:r>
        <w:fldChar w:fldCharType="separate"/>
      </w:r>
      <w:r>
        <w:t>26</w:t>
      </w:r>
      <w:r>
        <w:fldChar w:fldCharType="end"/>
      </w:r>
      <w:r>
        <w:rPr>
          <w:rFonts w:ascii="微软雅黑" w:hAnsi="微软雅黑" w:eastAsia="微软雅黑"/>
          <w:bCs/>
          <w:lang w:val="zh-CN"/>
        </w:rPr>
        <w:fldChar w:fldCharType="end"/>
      </w:r>
    </w:p>
    <w:p>
      <w:pPr>
        <w:pStyle w:val="17"/>
        <w:tabs>
          <w:tab w:val="right" w:leader="dot" w:pos="10035"/>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_Toc21665 </w:instrText>
      </w:r>
      <w:r>
        <w:rPr>
          <w:rFonts w:ascii="微软雅黑" w:hAnsi="微软雅黑" w:eastAsia="微软雅黑"/>
          <w:bCs/>
          <w:lang w:val="zh-CN"/>
        </w:rPr>
        <w:fldChar w:fldCharType="separate"/>
      </w:r>
      <w:r>
        <w:rPr>
          <w:rFonts w:hint="eastAsia" w:ascii="Verdana" w:hAnsi="Verdana"/>
          <w:lang w:val="en-US" w:eastAsia="zh-CN"/>
        </w:rPr>
        <w:t xml:space="preserve">4.5.2 </w:t>
      </w:r>
      <w:r>
        <w:rPr>
          <w:rFonts w:hint="eastAsia"/>
          <w:lang w:val="en-US" w:eastAsia="zh-CN"/>
        </w:rPr>
        <w:t>客观评分指标</w:t>
      </w:r>
      <w:r>
        <w:tab/>
      </w:r>
      <w:r>
        <w:fldChar w:fldCharType="begin"/>
      </w:r>
      <w:r>
        <w:instrText xml:space="preserve"> PAGEREF _Toc21665 \h </w:instrText>
      </w:r>
      <w:r>
        <w:fldChar w:fldCharType="separate"/>
      </w:r>
      <w:r>
        <w:t>28</w:t>
      </w:r>
      <w:r>
        <w:fldChar w:fldCharType="end"/>
      </w:r>
      <w:r>
        <w:rPr>
          <w:rFonts w:ascii="微软雅黑" w:hAnsi="微软雅黑" w:eastAsia="微软雅黑"/>
          <w:bCs/>
          <w:lang w:val="zh-CN"/>
        </w:rPr>
        <w:fldChar w:fldCharType="end"/>
      </w:r>
    </w:p>
    <w:p>
      <w:pPr>
        <w:rPr>
          <w:rFonts w:ascii="微软雅黑" w:hAnsi="微软雅黑" w:eastAsia="微软雅黑"/>
        </w:rPr>
      </w:pPr>
      <w:r>
        <w:rPr>
          <w:rFonts w:ascii="微软雅黑" w:hAnsi="微软雅黑" w:eastAsia="微软雅黑"/>
          <w:bCs/>
          <w:lang w:val="zh-CN"/>
        </w:rPr>
        <w:fldChar w:fldCharType="end"/>
      </w:r>
    </w:p>
    <w:p>
      <w:pPr>
        <w:widowControl/>
        <w:jc w:val="left"/>
        <w:rPr>
          <w:rFonts w:ascii="微软雅黑" w:hAnsi="微软雅黑" w:eastAsia="微软雅黑"/>
        </w:rPr>
      </w:pPr>
      <w:r>
        <w:rPr>
          <w:rFonts w:ascii="微软雅黑" w:hAnsi="微软雅黑" w:eastAsia="微软雅黑"/>
        </w:rPr>
        <w:br w:type="page"/>
      </w:r>
    </w:p>
    <w:p>
      <w:pPr>
        <w:rPr>
          <w:rFonts w:ascii="微软雅黑" w:hAnsi="微软雅黑" w:eastAsia="微软雅黑"/>
        </w:rPr>
      </w:pPr>
      <w:r>
        <w:rPr>
          <w:rFonts w:hint="eastAsia" w:ascii="微软雅黑" w:hAnsi="微软雅黑" w:eastAsia="微软雅黑"/>
        </w:rPr>
        <w:t>文档控制：</w:t>
      </w:r>
    </w:p>
    <w:tbl>
      <w:tblPr>
        <w:tblStyle w:val="30"/>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6" w:type="dxa"/>
          <w:bottom w:w="0" w:type="dxa"/>
          <w:right w:w="96" w:type="dxa"/>
        </w:tblCellMar>
      </w:tblPr>
      <w:tblGrid>
        <w:gridCol w:w="2231"/>
        <w:gridCol w:w="2381"/>
        <w:gridCol w:w="1773"/>
        <w:gridCol w:w="3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591" w:hRule="atLeast"/>
          <w:tblHeader/>
        </w:trPr>
        <w:tc>
          <w:tcPr>
            <w:tcW w:w="2231" w:type="dxa"/>
            <w:shd w:val="pct10" w:color="auto" w:fill="auto"/>
            <w:noWrap w:val="0"/>
            <w:vAlign w:val="center"/>
          </w:tcPr>
          <w:p>
            <w:pPr>
              <w:pStyle w:val="37"/>
              <w:rPr>
                <w:rFonts w:ascii="微软雅黑" w:hAnsi="微软雅黑" w:eastAsia="微软雅黑"/>
                <w:sz w:val="24"/>
              </w:rPr>
            </w:pPr>
            <w:bookmarkStart w:id="57" w:name="_GoBack"/>
            <w:bookmarkEnd w:id="57"/>
            <w:r>
              <w:rPr>
                <w:rFonts w:hint="eastAsia" w:ascii="微软雅黑" w:hAnsi="微软雅黑" w:eastAsia="微软雅黑"/>
                <w:sz w:val="24"/>
              </w:rPr>
              <w:t>日期</w:t>
            </w:r>
          </w:p>
        </w:tc>
        <w:tc>
          <w:tcPr>
            <w:tcW w:w="2381" w:type="dxa"/>
            <w:shd w:val="pct10" w:color="auto" w:fill="auto"/>
            <w:noWrap w:val="0"/>
            <w:vAlign w:val="center"/>
          </w:tcPr>
          <w:p>
            <w:pPr>
              <w:pStyle w:val="37"/>
              <w:rPr>
                <w:rFonts w:ascii="微软雅黑" w:hAnsi="微软雅黑" w:eastAsia="微软雅黑"/>
                <w:sz w:val="24"/>
              </w:rPr>
            </w:pPr>
            <w:r>
              <w:rPr>
                <w:rFonts w:hint="eastAsia" w:ascii="微软雅黑" w:hAnsi="微软雅黑" w:eastAsia="微软雅黑"/>
                <w:sz w:val="24"/>
              </w:rPr>
              <w:t>作者</w:t>
            </w:r>
          </w:p>
        </w:tc>
        <w:tc>
          <w:tcPr>
            <w:tcW w:w="1773" w:type="dxa"/>
            <w:shd w:val="pct10" w:color="auto" w:fill="auto"/>
            <w:noWrap w:val="0"/>
            <w:vAlign w:val="center"/>
          </w:tcPr>
          <w:p>
            <w:pPr>
              <w:pStyle w:val="37"/>
              <w:rPr>
                <w:rFonts w:ascii="微软雅黑" w:hAnsi="微软雅黑" w:eastAsia="微软雅黑"/>
                <w:sz w:val="24"/>
              </w:rPr>
            </w:pPr>
            <w:r>
              <w:rPr>
                <w:rFonts w:hint="eastAsia" w:ascii="微软雅黑" w:hAnsi="微软雅黑" w:eastAsia="微软雅黑"/>
                <w:sz w:val="24"/>
              </w:rPr>
              <w:t>版本</w:t>
            </w:r>
          </w:p>
        </w:tc>
        <w:tc>
          <w:tcPr>
            <w:tcW w:w="3392" w:type="dxa"/>
            <w:shd w:val="pct10" w:color="auto" w:fill="auto"/>
            <w:noWrap w:val="0"/>
            <w:vAlign w:val="center"/>
          </w:tcPr>
          <w:p>
            <w:pPr>
              <w:pStyle w:val="37"/>
              <w:rPr>
                <w:rFonts w:ascii="微软雅黑" w:hAnsi="微软雅黑" w:eastAsia="微软雅黑"/>
                <w:sz w:val="24"/>
              </w:rPr>
            </w:pPr>
            <w:r>
              <w:rPr>
                <w:rFonts w:hint="eastAsia" w:ascii="微软雅黑" w:hAnsi="微软雅黑" w:eastAsia="微软雅黑"/>
                <w:sz w:val="24"/>
              </w:rPr>
              <w:t>更改参考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146" w:hRule="exact"/>
          <w:tblHeader/>
        </w:trPr>
        <w:tc>
          <w:tcPr>
            <w:tcW w:w="2231" w:type="dxa"/>
            <w:shd w:val="pct50" w:color="auto" w:fill="auto"/>
            <w:noWrap w:val="0"/>
            <w:vAlign w:val="center"/>
          </w:tcPr>
          <w:p>
            <w:pPr>
              <w:pStyle w:val="38"/>
              <w:rPr>
                <w:rFonts w:ascii="微软雅黑" w:hAnsi="微软雅黑" w:eastAsia="微软雅黑"/>
                <w:sz w:val="24"/>
              </w:rPr>
            </w:pPr>
          </w:p>
        </w:tc>
        <w:tc>
          <w:tcPr>
            <w:tcW w:w="2381" w:type="dxa"/>
            <w:shd w:val="pct50" w:color="auto" w:fill="auto"/>
            <w:noWrap w:val="0"/>
            <w:vAlign w:val="center"/>
          </w:tcPr>
          <w:p>
            <w:pPr>
              <w:pStyle w:val="38"/>
              <w:rPr>
                <w:rFonts w:ascii="微软雅黑" w:hAnsi="微软雅黑" w:eastAsia="微软雅黑"/>
                <w:sz w:val="24"/>
              </w:rPr>
            </w:pPr>
          </w:p>
        </w:tc>
        <w:tc>
          <w:tcPr>
            <w:tcW w:w="1773" w:type="dxa"/>
            <w:shd w:val="pct50" w:color="auto" w:fill="auto"/>
            <w:noWrap w:val="0"/>
            <w:vAlign w:val="center"/>
          </w:tcPr>
          <w:p>
            <w:pPr>
              <w:pStyle w:val="38"/>
              <w:rPr>
                <w:rFonts w:ascii="微软雅黑" w:hAnsi="微软雅黑" w:eastAsia="微软雅黑"/>
                <w:sz w:val="24"/>
              </w:rPr>
            </w:pPr>
          </w:p>
        </w:tc>
        <w:tc>
          <w:tcPr>
            <w:tcW w:w="3392" w:type="dxa"/>
            <w:shd w:val="pct50" w:color="auto" w:fill="auto"/>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33" w:hRule="atLeast"/>
        </w:trPr>
        <w:tc>
          <w:tcPr>
            <w:tcW w:w="2231" w:type="dxa"/>
            <w:noWrap w:val="0"/>
            <w:vAlign w:val="center"/>
          </w:tcPr>
          <w:p>
            <w:pPr>
              <w:pStyle w:val="38"/>
              <w:rPr>
                <w:rFonts w:hint="default" w:ascii="微软雅黑" w:hAnsi="微软雅黑" w:eastAsia="微软雅黑"/>
                <w:sz w:val="24"/>
                <w:szCs w:val="16"/>
                <w:lang w:val="en-US" w:eastAsia="zh-CN"/>
              </w:rPr>
            </w:pPr>
            <w:r>
              <w:rPr>
                <w:rFonts w:hint="eastAsia" w:ascii="微软雅黑" w:hAnsi="微软雅黑" w:eastAsia="微软雅黑"/>
                <w:sz w:val="24"/>
                <w:szCs w:val="16"/>
              </w:rPr>
              <w:t>2022-0</w:t>
            </w:r>
            <w:r>
              <w:rPr>
                <w:rFonts w:hint="eastAsia" w:ascii="微软雅黑" w:hAnsi="微软雅黑" w:eastAsia="微软雅黑"/>
                <w:sz w:val="24"/>
                <w:szCs w:val="16"/>
                <w:lang w:val="en-US" w:eastAsia="zh-CN"/>
              </w:rPr>
              <w:t>9</w:t>
            </w:r>
            <w:r>
              <w:rPr>
                <w:rFonts w:hint="eastAsia" w:ascii="微软雅黑" w:hAnsi="微软雅黑" w:eastAsia="微软雅黑"/>
                <w:sz w:val="24"/>
                <w:szCs w:val="16"/>
              </w:rPr>
              <w:t>-</w:t>
            </w:r>
            <w:r>
              <w:rPr>
                <w:rFonts w:hint="eastAsia" w:ascii="微软雅黑" w:hAnsi="微软雅黑" w:eastAsia="微软雅黑"/>
                <w:sz w:val="24"/>
                <w:szCs w:val="16"/>
                <w:lang w:val="en-US" w:eastAsia="zh-CN"/>
              </w:rPr>
              <w:t>13</w:t>
            </w:r>
          </w:p>
        </w:tc>
        <w:tc>
          <w:tcPr>
            <w:tcW w:w="2381" w:type="dxa"/>
            <w:noWrap w:val="0"/>
            <w:vAlign w:val="center"/>
          </w:tcPr>
          <w:p>
            <w:pPr>
              <w:pStyle w:val="38"/>
              <w:rPr>
                <w:rFonts w:ascii="微软雅黑" w:hAnsi="微软雅黑" w:eastAsia="微软雅黑"/>
                <w:sz w:val="24"/>
                <w:szCs w:val="16"/>
              </w:rPr>
            </w:pPr>
            <w:r>
              <w:rPr>
                <w:rFonts w:hint="eastAsia" w:ascii="微软雅黑" w:hAnsi="微软雅黑" w:eastAsia="微软雅黑"/>
                <w:sz w:val="24"/>
                <w:szCs w:val="16"/>
              </w:rPr>
              <w:t>汉得</w:t>
            </w:r>
          </w:p>
        </w:tc>
        <w:tc>
          <w:tcPr>
            <w:tcW w:w="1773" w:type="dxa"/>
            <w:noWrap w:val="0"/>
            <w:vAlign w:val="center"/>
          </w:tcPr>
          <w:p>
            <w:pPr>
              <w:pStyle w:val="38"/>
              <w:rPr>
                <w:rFonts w:ascii="微软雅黑" w:hAnsi="微软雅黑" w:eastAsia="微软雅黑"/>
                <w:sz w:val="24"/>
              </w:rPr>
            </w:pPr>
            <w:r>
              <w:rPr>
                <w:rFonts w:hint="eastAsia" w:ascii="微软雅黑" w:hAnsi="微软雅黑" w:eastAsia="微软雅黑"/>
                <w:sz w:val="24"/>
              </w:rPr>
              <w:t>V1.0</w:t>
            </w:r>
          </w:p>
        </w:tc>
        <w:tc>
          <w:tcPr>
            <w:tcW w:w="3392" w:type="dxa"/>
            <w:noWrap w:val="0"/>
            <w:vAlign w:val="center"/>
          </w:tcPr>
          <w:p>
            <w:pPr>
              <w:pStyle w:val="38"/>
              <w:rPr>
                <w:rFonts w:ascii="微软雅黑" w:hAnsi="微软雅黑" w:eastAsia="微软雅黑"/>
                <w:sz w:val="24"/>
              </w:rPr>
            </w:pPr>
            <w:r>
              <w:rPr>
                <w:rFonts w:hint="eastAsia" w:ascii="微软雅黑" w:hAnsi="微软雅黑" w:eastAsia="微软雅黑"/>
                <w:sz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23" w:hRule="atLeast"/>
        </w:trPr>
        <w:tc>
          <w:tcPr>
            <w:tcW w:w="2231" w:type="dxa"/>
            <w:noWrap w:val="0"/>
            <w:vAlign w:val="center"/>
          </w:tcPr>
          <w:p>
            <w:pPr>
              <w:pStyle w:val="38"/>
              <w:rPr>
                <w:rFonts w:hint="default" w:ascii="微软雅黑" w:hAnsi="微软雅黑" w:eastAsia="微软雅黑"/>
                <w:sz w:val="24"/>
                <w:szCs w:val="16"/>
                <w:lang w:val="en-US" w:eastAsia="zh-CN"/>
              </w:rPr>
            </w:pPr>
            <w:r>
              <w:rPr>
                <w:rFonts w:hint="eastAsia" w:ascii="微软雅黑" w:hAnsi="微软雅黑" w:eastAsia="微软雅黑"/>
                <w:sz w:val="24"/>
                <w:szCs w:val="16"/>
                <w:lang w:val="en-US" w:eastAsia="zh-CN"/>
              </w:rPr>
              <w:t>2022-10-14</w:t>
            </w:r>
          </w:p>
        </w:tc>
        <w:tc>
          <w:tcPr>
            <w:tcW w:w="2381" w:type="dxa"/>
            <w:noWrap w:val="0"/>
            <w:vAlign w:val="center"/>
          </w:tcPr>
          <w:p>
            <w:pPr>
              <w:pStyle w:val="38"/>
              <w:rPr>
                <w:rFonts w:hint="eastAsia" w:ascii="微软雅黑" w:hAnsi="微软雅黑" w:eastAsia="微软雅黑"/>
                <w:sz w:val="24"/>
                <w:szCs w:val="16"/>
                <w:lang w:val="en-US" w:eastAsia="zh-CN"/>
              </w:rPr>
            </w:pPr>
            <w:r>
              <w:rPr>
                <w:rFonts w:hint="eastAsia" w:ascii="微软雅黑" w:hAnsi="微软雅黑" w:eastAsia="微软雅黑"/>
                <w:sz w:val="24"/>
                <w:szCs w:val="16"/>
                <w:lang w:val="en-US" w:eastAsia="zh-CN"/>
              </w:rPr>
              <w:t>汉得</w:t>
            </w:r>
          </w:p>
        </w:tc>
        <w:tc>
          <w:tcPr>
            <w:tcW w:w="1773" w:type="dxa"/>
            <w:noWrap w:val="0"/>
            <w:vAlign w:val="center"/>
          </w:tcPr>
          <w:p>
            <w:pPr>
              <w:pStyle w:val="38"/>
              <w:rPr>
                <w:rFonts w:hint="default" w:ascii="微软雅黑" w:hAnsi="微软雅黑" w:eastAsia="微软雅黑"/>
                <w:sz w:val="24"/>
                <w:lang w:val="en-US" w:eastAsia="zh-CN"/>
              </w:rPr>
            </w:pPr>
            <w:r>
              <w:rPr>
                <w:rFonts w:hint="eastAsia" w:ascii="微软雅黑" w:hAnsi="微软雅黑" w:eastAsia="微软雅黑"/>
                <w:sz w:val="24"/>
                <w:lang w:val="en-US" w:eastAsia="zh-CN"/>
              </w:rPr>
              <w:t>V1.3</w:t>
            </w: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hint="default" w:ascii="微软雅黑" w:hAnsi="微软雅黑" w:eastAsia="微软雅黑"/>
                <w:sz w:val="24"/>
                <w:lang w:val="en-US" w:eastAsia="zh-CN"/>
              </w:rPr>
            </w:pPr>
            <w:r>
              <w:rPr>
                <w:rFonts w:hint="eastAsia" w:ascii="微软雅黑" w:hAnsi="微软雅黑" w:eastAsia="微软雅黑"/>
                <w:sz w:val="24"/>
                <w:lang w:val="en-US" w:eastAsia="zh-CN"/>
              </w:rPr>
              <w:t>2022-10-19</w:t>
            </w:r>
          </w:p>
        </w:tc>
        <w:tc>
          <w:tcPr>
            <w:tcW w:w="2381" w:type="dxa"/>
            <w:noWrap w:val="0"/>
            <w:vAlign w:val="center"/>
          </w:tcPr>
          <w:p>
            <w:pPr>
              <w:pStyle w:val="38"/>
              <w:rPr>
                <w:rFonts w:hint="eastAsia" w:ascii="微软雅黑" w:hAnsi="微软雅黑" w:eastAsia="微软雅黑"/>
                <w:sz w:val="24"/>
                <w:lang w:val="en-US" w:eastAsia="zh-CN"/>
              </w:rPr>
            </w:pPr>
            <w:r>
              <w:rPr>
                <w:rFonts w:hint="eastAsia" w:ascii="微软雅黑" w:hAnsi="微软雅黑" w:eastAsia="微软雅黑"/>
                <w:sz w:val="24"/>
                <w:lang w:val="en-US" w:eastAsia="zh-CN"/>
              </w:rPr>
              <w:t>汉得</w:t>
            </w:r>
          </w:p>
        </w:tc>
        <w:tc>
          <w:tcPr>
            <w:tcW w:w="1773" w:type="dxa"/>
            <w:noWrap w:val="0"/>
            <w:vAlign w:val="center"/>
          </w:tcPr>
          <w:p>
            <w:pPr>
              <w:pStyle w:val="38"/>
              <w:rPr>
                <w:rFonts w:hint="default" w:ascii="微软雅黑" w:hAnsi="微软雅黑" w:eastAsia="微软雅黑"/>
                <w:sz w:val="24"/>
                <w:lang w:val="en-US" w:eastAsia="zh-CN"/>
              </w:rPr>
            </w:pPr>
            <w:r>
              <w:rPr>
                <w:rFonts w:hint="eastAsia" w:ascii="微软雅黑" w:hAnsi="微软雅黑" w:eastAsia="微软雅黑"/>
                <w:sz w:val="24"/>
                <w:lang w:val="en-US" w:eastAsia="zh-CN"/>
              </w:rPr>
              <w:t>V1.4</w:t>
            </w: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769" w:hRule="atLeast"/>
        </w:trPr>
        <w:tc>
          <w:tcPr>
            <w:tcW w:w="2231" w:type="dxa"/>
            <w:noWrap w:val="0"/>
            <w:vAlign w:val="center"/>
          </w:tcPr>
          <w:p>
            <w:pPr>
              <w:pStyle w:val="38"/>
              <w:rPr>
                <w:rFonts w:ascii="微软雅黑" w:hAnsi="微软雅黑" w:eastAsia="微软雅黑"/>
                <w:sz w:val="24"/>
              </w:rPr>
            </w:pPr>
          </w:p>
        </w:tc>
        <w:tc>
          <w:tcPr>
            <w:tcW w:w="2381" w:type="dxa"/>
            <w:noWrap w:val="0"/>
            <w:vAlign w:val="center"/>
          </w:tcPr>
          <w:p>
            <w:pPr>
              <w:pStyle w:val="38"/>
              <w:rPr>
                <w:rFonts w:ascii="微软雅黑" w:hAnsi="微软雅黑" w:eastAsia="微软雅黑"/>
                <w:sz w:val="24"/>
              </w:rPr>
            </w:pPr>
          </w:p>
        </w:tc>
        <w:tc>
          <w:tcPr>
            <w:tcW w:w="1773" w:type="dxa"/>
            <w:noWrap w:val="0"/>
            <w:vAlign w:val="center"/>
          </w:tcPr>
          <w:p>
            <w:pPr>
              <w:pStyle w:val="38"/>
              <w:rPr>
                <w:rFonts w:ascii="微软雅黑" w:hAnsi="微软雅黑" w:eastAsia="微软雅黑"/>
                <w:sz w:val="24"/>
              </w:rPr>
            </w:pPr>
          </w:p>
        </w:tc>
        <w:tc>
          <w:tcPr>
            <w:tcW w:w="3392" w:type="dxa"/>
            <w:noWrap w:val="0"/>
            <w:vAlign w:val="center"/>
          </w:tcPr>
          <w:p>
            <w:pPr>
              <w:pStyle w:val="38"/>
              <w:rPr>
                <w:rFonts w:ascii="微软雅黑" w:hAnsi="微软雅黑" w:eastAsia="微软雅黑"/>
                <w:sz w:val="24"/>
              </w:rPr>
            </w:pPr>
          </w:p>
        </w:tc>
      </w:tr>
    </w:tbl>
    <w:p>
      <w:pPr>
        <w:rPr>
          <w:rFonts w:ascii="微软雅黑" w:hAnsi="微软雅黑" w:eastAsia="微软雅黑"/>
        </w:rPr>
      </w:pPr>
    </w:p>
    <w:p>
      <w:pPr>
        <w:pStyle w:val="2"/>
        <w:spacing w:line="360" w:lineRule="auto"/>
        <w:rPr>
          <w:rFonts w:ascii="微软雅黑" w:hAnsi="微软雅黑" w:eastAsia="微软雅黑"/>
        </w:rPr>
      </w:pPr>
      <w:bookmarkStart w:id="1" w:name="_Toc17660"/>
      <w:r>
        <w:rPr>
          <w:rFonts w:hint="eastAsia" w:ascii="微软雅黑" w:hAnsi="微软雅黑" w:eastAsia="微软雅黑"/>
        </w:rPr>
        <w:t>蓝图概要说明</w:t>
      </w:r>
      <w:bookmarkEnd w:id="1"/>
    </w:p>
    <w:p>
      <w:pPr>
        <w:ind w:firstLine="420" w:firstLineChars="200"/>
        <w:rPr>
          <w:rFonts w:hint="default" w:ascii="微软雅黑" w:hAnsi="微软雅黑" w:eastAsia="微软雅黑"/>
          <w:sz w:val="18"/>
          <w:lang w:val="en-US" w:eastAsia="zh-CN"/>
        </w:rPr>
      </w:pPr>
      <w:r>
        <w:rPr>
          <w:rFonts w:hint="eastAsia" w:ascii="微软雅黑" w:hAnsi="微软雅黑" w:eastAsia="微软雅黑"/>
        </w:rPr>
        <w:t>前期汉得顾问对世纪宝姿(厦门)实业有限公司（以下简称“宝姿”）</w:t>
      </w:r>
      <w:r>
        <w:rPr>
          <w:rFonts w:hint="eastAsia" w:ascii="微软雅黑" w:hAnsi="微软雅黑" w:eastAsia="微软雅黑"/>
          <w:lang w:val="en-US" w:eastAsia="zh-CN"/>
        </w:rPr>
        <w:t>供应商绩效</w:t>
      </w:r>
      <w:r>
        <w:rPr>
          <w:rFonts w:hint="eastAsia" w:ascii="微软雅黑" w:hAnsi="微软雅黑" w:eastAsia="微软雅黑"/>
        </w:rPr>
        <w:t>模块业务流程进行了全面的业务调研。结合</w:t>
      </w:r>
      <w:r>
        <w:rPr>
          <w:rFonts w:ascii="微软雅黑" w:hAnsi="微软雅黑" w:eastAsia="微软雅黑"/>
        </w:rPr>
        <w:t>调研结果和用</w:t>
      </w:r>
      <w:r>
        <w:rPr>
          <w:rFonts w:hint="eastAsia" w:ascii="微软雅黑" w:hAnsi="微软雅黑" w:eastAsia="微软雅黑"/>
        </w:rPr>
        <w:t>户所确认的需求，进行分析后编写本方案</w:t>
      </w:r>
      <w:r>
        <w:rPr>
          <w:rFonts w:hint="eastAsia" w:ascii="微软雅黑" w:hAnsi="微软雅黑" w:eastAsia="微软雅黑"/>
          <w:lang w:eastAsia="zh-CN"/>
        </w:rPr>
        <w:t>，</w:t>
      </w:r>
      <w:r>
        <w:rPr>
          <w:rFonts w:hint="eastAsia" w:ascii="微软雅黑" w:hAnsi="微软雅黑" w:eastAsia="微软雅黑"/>
          <w:lang w:val="en-US" w:eastAsia="zh-CN"/>
        </w:rPr>
        <w:t>包括半年度和年度绩效。</w:t>
      </w:r>
    </w:p>
    <w:p>
      <w:pPr>
        <w:pStyle w:val="3"/>
        <w:rPr>
          <w:color w:val="000000"/>
        </w:rPr>
      </w:pPr>
      <w:bookmarkStart w:id="2" w:name="_Toc25052"/>
      <w:r>
        <w:rPr>
          <w:rFonts w:hint="eastAsia"/>
          <w:color w:val="000000"/>
        </w:rPr>
        <w:t>适用组织架构</w:t>
      </w:r>
      <w:bookmarkEnd w:id="2"/>
    </w:p>
    <w:p>
      <w:pPr>
        <w:spacing w:line="288" w:lineRule="auto"/>
        <w:ind w:firstLine="420" w:firstLineChars="200"/>
        <w:rPr>
          <w:rFonts w:ascii="微软雅黑" w:hAnsi="微软雅黑" w:eastAsia="微软雅黑"/>
          <w:szCs w:val="21"/>
        </w:rPr>
      </w:pPr>
      <w:r>
        <w:rPr>
          <w:rFonts w:hint="eastAsia" w:ascii="微软雅黑" w:hAnsi="微软雅黑" w:eastAsia="微软雅黑"/>
          <w:szCs w:val="21"/>
        </w:rPr>
        <w:t>此份蓝图文档主要适用于世纪宝姿集团下原料、辅料、</w:t>
      </w:r>
      <w:r>
        <w:rPr>
          <w:rFonts w:hint="eastAsia" w:ascii="微软雅黑" w:hAnsi="微软雅黑" w:eastAsia="微软雅黑"/>
          <w:szCs w:val="21"/>
          <w:lang w:val="en-US" w:eastAsia="zh-CN"/>
        </w:rPr>
        <w:t>成衣</w:t>
      </w:r>
      <w:r>
        <w:rPr>
          <w:rFonts w:hint="eastAsia" w:ascii="微软雅黑" w:hAnsi="微软雅黑" w:eastAsia="微软雅黑"/>
          <w:szCs w:val="21"/>
        </w:rPr>
        <w:t>三个经营单元。</w:t>
      </w:r>
    </w:p>
    <w:tbl>
      <w:tblPr>
        <w:tblStyle w:val="30"/>
        <w:tblW w:w="6988" w:type="dxa"/>
        <w:tblInd w:w="250" w:type="dxa"/>
        <w:tblLayout w:type="fixed"/>
        <w:tblCellMar>
          <w:top w:w="0" w:type="dxa"/>
          <w:left w:w="108" w:type="dxa"/>
          <w:bottom w:w="0" w:type="dxa"/>
          <w:right w:w="108" w:type="dxa"/>
        </w:tblCellMar>
      </w:tblPr>
      <w:tblGrid>
        <w:gridCol w:w="709"/>
        <w:gridCol w:w="3118"/>
        <w:gridCol w:w="3161"/>
      </w:tblGrid>
      <w:tr>
        <w:tblPrEx>
          <w:tblCellMar>
            <w:top w:w="0" w:type="dxa"/>
            <w:left w:w="108" w:type="dxa"/>
            <w:bottom w:w="0" w:type="dxa"/>
            <w:right w:w="108" w:type="dxa"/>
          </w:tblCellMar>
        </w:tblPrEx>
        <w:trPr>
          <w:trHeight w:val="249" w:hRule="atLeast"/>
        </w:trPr>
        <w:tc>
          <w:tcPr>
            <w:tcW w:w="709"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序号</w:t>
            </w:r>
          </w:p>
        </w:tc>
        <w:tc>
          <w:tcPr>
            <w:tcW w:w="3118" w:type="dxa"/>
            <w:tcBorders>
              <w:top w:val="single" w:color="auto" w:sz="4" w:space="0"/>
              <w:left w:val="nil"/>
              <w:bottom w:val="single" w:color="auto" w:sz="4" w:space="0"/>
              <w:right w:val="single" w:color="auto" w:sz="4" w:space="0"/>
            </w:tcBorders>
            <w:shd w:val="clear" w:color="000000" w:fill="D9D9D9"/>
            <w:noWrap w:val="0"/>
            <w:vAlign w:val="center"/>
          </w:tcPr>
          <w:p>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法人</w:t>
            </w:r>
          </w:p>
        </w:tc>
        <w:tc>
          <w:tcPr>
            <w:tcW w:w="3161" w:type="dxa"/>
            <w:tcBorders>
              <w:top w:val="single" w:color="auto" w:sz="4" w:space="0"/>
              <w:left w:val="nil"/>
              <w:bottom w:val="single" w:color="auto" w:sz="4" w:space="0"/>
              <w:right w:val="single" w:color="auto" w:sz="4" w:space="0"/>
            </w:tcBorders>
            <w:shd w:val="clear" w:color="000000" w:fill="D9D9D9"/>
            <w:noWrap w:val="0"/>
            <w:vAlign w:val="center"/>
          </w:tcPr>
          <w:p>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经营单元</w:t>
            </w:r>
          </w:p>
        </w:tc>
      </w:tr>
      <w:tr>
        <w:tblPrEx>
          <w:tblCellMar>
            <w:top w:w="0" w:type="dxa"/>
            <w:left w:w="108" w:type="dxa"/>
            <w:bottom w:w="0" w:type="dxa"/>
            <w:right w:w="108" w:type="dxa"/>
          </w:tblCellMar>
        </w:tblPrEx>
        <w:trPr>
          <w:trHeight w:val="285" w:hRule="atLeast"/>
        </w:trPr>
        <w:tc>
          <w:tcPr>
            <w:tcW w:w="709" w:type="dxa"/>
            <w:tcBorders>
              <w:top w:val="nil"/>
              <w:left w:val="single" w:color="auto" w:sz="4" w:space="0"/>
              <w:bottom w:val="single" w:color="auto" w:sz="4" w:space="0"/>
              <w:right w:val="single" w:color="auto" w:sz="4" w:space="0"/>
            </w:tcBorders>
            <w:noWrap w:val="0"/>
            <w:vAlign w:val="center"/>
          </w:tcPr>
          <w:p>
            <w:pPr>
              <w:widowControl/>
              <w:jc w:val="left"/>
              <w:rPr>
                <w:rFonts w:ascii="微软雅黑" w:hAnsi="微软雅黑" w:eastAsia="微软雅黑" w:cs="宋体"/>
                <w:color w:val="000000"/>
                <w:kern w:val="0"/>
                <w:sz w:val="18"/>
                <w:szCs w:val="18"/>
              </w:rPr>
            </w:pPr>
            <w:r>
              <w:rPr>
                <w:rFonts w:ascii="微软雅黑" w:hAnsi="微软雅黑" w:eastAsia="微软雅黑" w:cs="宋体"/>
                <w:color w:val="000000"/>
                <w:kern w:val="0"/>
                <w:sz w:val="18"/>
                <w:szCs w:val="18"/>
              </w:rPr>
              <w:t>1</w:t>
            </w:r>
          </w:p>
        </w:tc>
        <w:tc>
          <w:tcPr>
            <w:tcW w:w="3118" w:type="dxa"/>
            <w:vMerge w:val="restart"/>
            <w:tcBorders>
              <w:top w:val="nil"/>
              <w:left w:val="nil"/>
              <w:right w:val="single" w:color="auto" w:sz="4" w:space="0"/>
            </w:tcBorders>
            <w:noWrap w:val="0"/>
            <w:vAlign w:val="center"/>
          </w:tcPr>
          <w:p>
            <w:pPr>
              <w:widowControl/>
              <w:jc w:val="left"/>
              <w:rPr>
                <w:rFonts w:ascii="微软雅黑" w:hAnsi="微软雅黑" w:eastAsia="微软雅黑"/>
                <w:sz w:val="18"/>
                <w:szCs w:val="18"/>
              </w:rPr>
            </w:pPr>
            <w:r>
              <w:rPr>
                <w:rFonts w:hint="eastAsia" w:ascii="微软雅黑" w:hAnsi="微软雅黑" w:eastAsia="微软雅黑"/>
                <w:sz w:val="18"/>
                <w:szCs w:val="18"/>
              </w:rPr>
              <w:t>世纪宝姿(厦门)实业有限公司</w:t>
            </w:r>
          </w:p>
        </w:tc>
        <w:tc>
          <w:tcPr>
            <w:tcW w:w="3161" w:type="dxa"/>
            <w:tcBorders>
              <w:top w:val="nil"/>
              <w:left w:val="nil"/>
              <w:bottom w:val="single" w:color="auto" w:sz="4" w:space="0"/>
              <w:right w:val="single" w:color="auto" w:sz="4" w:space="0"/>
            </w:tcBorders>
            <w:noWrap w:val="0"/>
            <w:vAlign w:val="center"/>
          </w:tcPr>
          <w:p>
            <w:pPr>
              <w:widowControl/>
              <w:jc w:val="left"/>
              <w:rPr>
                <w:rFonts w:ascii="微软雅黑" w:hAnsi="微软雅黑" w:eastAsia="微软雅黑"/>
                <w:sz w:val="18"/>
                <w:szCs w:val="18"/>
              </w:rPr>
            </w:pPr>
            <w:r>
              <w:rPr>
                <w:rFonts w:hint="eastAsia" w:ascii="微软雅黑" w:hAnsi="微软雅黑" w:eastAsia="微软雅黑" w:cs="Arial"/>
                <w:kern w:val="0"/>
                <w:sz w:val="18"/>
                <w:szCs w:val="18"/>
              </w:rPr>
              <w:t>原料</w:t>
            </w:r>
          </w:p>
        </w:tc>
      </w:tr>
      <w:tr>
        <w:tblPrEx>
          <w:tblCellMar>
            <w:top w:w="0" w:type="dxa"/>
            <w:left w:w="108" w:type="dxa"/>
            <w:bottom w:w="0" w:type="dxa"/>
            <w:right w:w="108" w:type="dxa"/>
          </w:tblCellMar>
        </w:tblPrEx>
        <w:trPr>
          <w:trHeight w:val="330" w:hRule="atLeast"/>
        </w:trPr>
        <w:tc>
          <w:tcPr>
            <w:tcW w:w="709" w:type="dxa"/>
            <w:tcBorders>
              <w:top w:val="nil"/>
              <w:left w:val="single" w:color="auto" w:sz="4" w:space="0"/>
              <w:bottom w:val="single" w:color="auto" w:sz="4" w:space="0"/>
              <w:right w:val="single" w:color="auto" w:sz="4" w:space="0"/>
            </w:tcBorders>
            <w:noWrap w:val="0"/>
            <w:vAlign w:val="center"/>
          </w:tcPr>
          <w:p>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2</w:t>
            </w:r>
          </w:p>
        </w:tc>
        <w:tc>
          <w:tcPr>
            <w:tcW w:w="3118" w:type="dxa"/>
            <w:vMerge w:val="continue"/>
            <w:tcBorders>
              <w:left w:val="nil"/>
              <w:right w:val="single" w:color="auto" w:sz="4" w:space="0"/>
            </w:tcBorders>
            <w:noWrap w:val="0"/>
            <w:vAlign w:val="top"/>
          </w:tcPr>
          <w:p>
            <w:pPr>
              <w:overflowPunct w:val="0"/>
              <w:autoSpaceDE w:val="0"/>
              <w:autoSpaceDN w:val="0"/>
              <w:adjustRightInd w:val="0"/>
              <w:textAlignment w:val="baseline"/>
              <w:rPr>
                <w:rFonts w:ascii="微软雅黑" w:hAnsi="微软雅黑" w:eastAsia="微软雅黑"/>
                <w:sz w:val="18"/>
                <w:szCs w:val="18"/>
              </w:rPr>
            </w:pPr>
          </w:p>
        </w:tc>
        <w:tc>
          <w:tcPr>
            <w:tcW w:w="3161" w:type="dxa"/>
            <w:tcBorders>
              <w:top w:val="nil"/>
              <w:left w:val="nil"/>
              <w:bottom w:val="single" w:color="auto" w:sz="4" w:space="0"/>
              <w:right w:val="single" w:color="auto" w:sz="4" w:space="0"/>
            </w:tcBorders>
            <w:noWrap w:val="0"/>
            <w:vAlign w:val="top"/>
          </w:tcPr>
          <w:p>
            <w:pPr>
              <w:overflowPunct w:val="0"/>
              <w:autoSpaceDE w:val="0"/>
              <w:autoSpaceDN w:val="0"/>
              <w:adjustRightInd w:val="0"/>
              <w:textAlignment w:val="baseline"/>
              <w:rPr>
                <w:rFonts w:ascii="微软雅黑" w:hAnsi="微软雅黑" w:eastAsia="微软雅黑"/>
                <w:sz w:val="18"/>
                <w:szCs w:val="18"/>
              </w:rPr>
            </w:pPr>
            <w:r>
              <w:rPr>
                <w:rFonts w:hint="eastAsia" w:ascii="微软雅黑" w:hAnsi="微软雅黑" w:eastAsia="微软雅黑" w:cs="Arial"/>
                <w:kern w:val="0"/>
                <w:sz w:val="18"/>
                <w:szCs w:val="18"/>
              </w:rPr>
              <w:t>辅料</w:t>
            </w:r>
          </w:p>
        </w:tc>
      </w:tr>
      <w:tr>
        <w:tblPrEx>
          <w:tblCellMar>
            <w:top w:w="0" w:type="dxa"/>
            <w:left w:w="108" w:type="dxa"/>
            <w:bottom w:w="0" w:type="dxa"/>
            <w:right w:w="108" w:type="dxa"/>
          </w:tblCellMar>
        </w:tblPrEx>
        <w:trPr>
          <w:trHeight w:val="330"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pPr>
              <w:widowControl/>
              <w:jc w:val="left"/>
              <w:rPr>
                <w:rFonts w:ascii="微软雅黑" w:hAnsi="微软雅黑" w:eastAsia="微软雅黑" w:cs="宋体"/>
                <w:color w:val="000000"/>
                <w:kern w:val="0"/>
                <w:sz w:val="18"/>
                <w:szCs w:val="18"/>
              </w:rPr>
            </w:pPr>
            <w:r>
              <w:rPr>
                <w:rFonts w:hint="eastAsia" w:ascii="微软雅黑" w:hAnsi="微软雅黑" w:eastAsia="微软雅黑" w:cs="宋体"/>
                <w:color w:val="000000"/>
                <w:kern w:val="0"/>
                <w:sz w:val="18"/>
                <w:szCs w:val="18"/>
              </w:rPr>
              <w:t>3</w:t>
            </w:r>
          </w:p>
        </w:tc>
        <w:tc>
          <w:tcPr>
            <w:tcW w:w="3118" w:type="dxa"/>
            <w:vMerge w:val="continue"/>
            <w:tcBorders>
              <w:left w:val="nil"/>
              <w:bottom w:val="single" w:color="auto" w:sz="4" w:space="0"/>
              <w:right w:val="single" w:color="auto" w:sz="4" w:space="0"/>
            </w:tcBorders>
            <w:noWrap w:val="0"/>
            <w:vAlign w:val="top"/>
          </w:tcPr>
          <w:p>
            <w:pPr>
              <w:overflowPunct w:val="0"/>
              <w:autoSpaceDE w:val="0"/>
              <w:autoSpaceDN w:val="0"/>
              <w:adjustRightInd w:val="0"/>
              <w:textAlignment w:val="baseline"/>
              <w:rPr>
                <w:rFonts w:ascii="微软雅黑" w:hAnsi="微软雅黑" w:eastAsia="微软雅黑"/>
                <w:sz w:val="18"/>
                <w:szCs w:val="18"/>
              </w:rPr>
            </w:pPr>
          </w:p>
        </w:tc>
        <w:tc>
          <w:tcPr>
            <w:tcW w:w="3161" w:type="dxa"/>
            <w:tcBorders>
              <w:top w:val="single" w:color="auto" w:sz="4" w:space="0"/>
              <w:left w:val="nil"/>
              <w:bottom w:val="single" w:color="auto" w:sz="4" w:space="0"/>
              <w:right w:val="single" w:color="auto" w:sz="4" w:space="0"/>
            </w:tcBorders>
            <w:noWrap w:val="0"/>
            <w:vAlign w:val="top"/>
          </w:tcPr>
          <w:p>
            <w:pPr>
              <w:overflowPunct w:val="0"/>
              <w:autoSpaceDE w:val="0"/>
              <w:autoSpaceDN w:val="0"/>
              <w:adjustRightInd w:val="0"/>
              <w:textAlignment w:val="baseline"/>
              <w:rPr>
                <w:rFonts w:hint="eastAsia" w:ascii="微软雅黑" w:hAnsi="微软雅黑" w:eastAsia="微软雅黑" w:cs="Arial"/>
                <w:kern w:val="0"/>
                <w:sz w:val="18"/>
                <w:szCs w:val="18"/>
                <w:lang w:val="en-US" w:eastAsia="zh-CN"/>
              </w:rPr>
            </w:pPr>
            <w:r>
              <w:rPr>
                <w:rFonts w:hint="eastAsia" w:ascii="微软雅黑" w:hAnsi="微软雅黑" w:eastAsia="微软雅黑" w:cs="Arial"/>
                <w:kern w:val="0"/>
                <w:sz w:val="18"/>
                <w:szCs w:val="18"/>
                <w:lang w:val="en-US" w:eastAsia="zh-CN"/>
              </w:rPr>
              <w:t>成衣</w:t>
            </w:r>
          </w:p>
        </w:tc>
      </w:tr>
    </w:tbl>
    <w:p>
      <w:pPr>
        <w:pStyle w:val="3"/>
      </w:pPr>
      <w:bookmarkStart w:id="3" w:name="_Toc23952"/>
      <w:r>
        <w:rPr>
          <w:rFonts w:hint="eastAsia"/>
        </w:rPr>
        <w:t>适用业务场景说明</w:t>
      </w:r>
      <w:bookmarkEnd w:id="3"/>
    </w:p>
    <w:p>
      <w:pPr>
        <w:pStyle w:val="15"/>
        <w:spacing w:line="360" w:lineRule="auto"/>
        <w:ind w:firstLine="420" w:firstLineChars="200"/>
        <w:rPr>
          <w:rFonts w:hint="eastAsia" w:ascii="微软雅黑" w:hAnsi="微软雅黑" w:eastAsia="微软雅黑"/>
          <w:lang w:val="en-US" w:eastAsia="zh-CN"/>
        </w:rPr>
      </w:pPr>
      <w:r>
        <w:rPr>
          <w:rFonts w:hint="eastAsia" w:ascii="微软雅黑" w:hAnsi="微软雅黑" w:eastAsia="微软雅黑"/>
        </w:rPr>
        <w:t>此蓝图方案适用于世纪宝姿各品牌</w:t>
      </w:r>
      <w:r>
        <w:rPr>
          <w:rFonts w:hint="eastAsia" w:ascii="微软雅黑" w:hAnsi="微软雅黑" w:eastAsia="微软雅黑"/>
          <w:lang w:val="en-US" w:eastAsia="zh-CN"/>
        </w:rPr>
        <w:t>原料</w:t>
      </w:r>
      <w:r>
        <w:rPr>
          <w:rFonts w:hint="eastAsia" w:ascii="微软雅黑" w:hAnsi="微软雅黑" w:eastAsia="微软雅黑"/>
        </w:rPr>
        <w:t>、辅料、</w:t>
      </w:r>
      <w:r>
        <w:rPr>
          <w:rFonts w:hint="eastAsia" w:ascii="微软雅黑" w:hAnsi="微软雅黑" w:eastAsia="微软雅黑"/>
          <w:lang w:val="en-US" w:eastAsia="zh-CN"/>
        </w:rPr>
        <w:t>成衣</w:t>
      </w:r>
      <w:r>
        <w:rPr>
          <w:rFonts w:hint="eastAsia" w:ascii="微软雅黑" w:hAnsi="微软雅黑" w:eastAsia="微软雅黑"/>
        </w:rPr>
        <w:t>的</w:t>
      </w:r>
      <w:r>
        <w:rPr>
          <w:rFonts w:hint="eastAsia" w:ascii="微软雅黑" w:hAnsi="微软雅黑" w:eastAsia="微软雅黑"/>
          <w:lang w:val="en-US" w:eastAsia="zh-CN"/>
        </w:rPr>
        <w:t>供应商绩效</w:t>
      </w:r>
      <w:r>
        <w:rPr>
          <w:rFonts w:hint="eastAsia" w:ascii="微软雅黑" w:hAnsi="微软雅黑" w:eastAsia="微软雅黑"/>
        </w:rPr>
        <w:t>管理</w:t>
      </w:r>
      <w:r>
        <w:rPr>
          <w:rFonts w:hint="eastAsia" w:ascii="微软雅黑" w:hAnsi="微软雅黑" w:eastAsia="微软雅黑"/>
          <w:lang w:eastAsia="zh-CN"/>
        </w:rPr>
        <w:t>，</w:t>
      </w:r>
      <w:r>
        <w:rPr>
          <w:rFonts w:hint="eastAsia" w:ascii="微软雅黑" w:hAnsi="微软雅黑" w:eastAsia="微软雅黑"/>
          <w:lang w:val="en-US" w:eastAsia="zh-CN"/>
        </w:rPr>
        <w:t>包括供应商半年度或年度考核评级及供应商能力标签。</w:t>
      </w:r>
    </w:p>
    <w:p>
      <w:pPr>
        <w:pStyle w:val="15"/>
        <w:spacing w:line="360" w:lineRule="auto"/>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月度绩效报表样式及指标后续规划。</w:t>
      </w:r>
    </w:p>
    <w:p>
      <w:pPr>
        <w:pStyle w:val="3"/>
      </w:pPr>
      <w:bookmarkStart w:id="4" w:name="_Toc17258"/>
      <w:r>
        <w:rPr>
          <w:rFonts w:hint="eastAsia"/>
        </w:rPr>
        <w:t>参考文档</w:t>
      </w:r>
      <w:bookmarkEnd w:id="4"/>
    </w:p>
    <w:p>
      <w:pPr>
        <w:ind w:firstLine="420" w:firstLineChars="200"/>
        <w:rPr>
          <w:rFonts w:hint="eastAsia" w:ascii="微软雅黑" w:hAnsi="微软雅黑" w:eastAsia="微软雅黑"/>
        </w:rPr>
      </w:pPr>
      <w:r>
        <w:rPr>
          <w:rFonts w:hint="eastAsia" w:ascii="微软雅黑" w:hAnsi="微软雅黑" w:eastAsia="微软雅黑"/>
        </w:rPr>
        <w:t>《生产性辅料供应商考核标准V2（20220907）.xlsx》</w:t>
      </w:r>
    </w:p>
    <w:p>
      <w:pPr>
        <w:ind w:firstLine="420" w:firstLineChars="200"/>
        <w:rPr>
          <w:rFonts w:hint="eastAsia" w:ascii="微软雅黑" w:hAnsi="微软雅黑" w:eastAsia="微软雅黑"/>
        </w:rPr>
      </w:pPr>
      <w:r>
        <w:rPr>
          <w:rFonts w:hint="eastAsia" w:ascii="微软雅黑" w:hAnsi="微软雅黑" w:eastAsia="微软雅黑"/>
        </w:rPr>
        <w:t>《原辅料供应商绩效考核标准2021-11-29.xlsx》</w:t>
      </w:r>
    </w:p>
    <w:p>
      <w:pPr>
        <w:ind w:firstLine="420" w:firstLineChars="200"/>
        <w:rPr>
          <w:rFonts w:hint="eastAsia" w:ascii="微软雅黑" w:hAnsi="微软雅黑" w:eastAsia="微软雅黑"/>
        </w:rPr>
      </w:pPr>
      <w:r>
        <w:rPr>
          <w:rFonts w:hint="eastAsia" w:ascii="微软雅黑" w:hAnsi="微软雅黑" w:eastAsia="微软雅黑"/>
        </w:rPr>
        <w:t>《2022年7月-供应商分析2.xlsx》</w:t>
      </w:r>
    </w:p>
    <w:p>
      <w:pPr>
        <w:ind w:firstLine="420" w:firstLineChars="200"/>
        <w:rPr>
          <w:rFonts w:hint="eastAsia" w:ascii="微软雅黑" w:hAnsi="微软雅黑" w:eastAsia="微软雅黑"/>
        </w:rPr>
      </w:pPr>
      <w:r>
        <w:rPr>
          <w:rFonts w:hint="eastAsia" w:ascii="微软雅黑" w:hAnsi="微软雅黑" w:eastAsia="微软雅黑"/>
        </w:rPr>
        <w:t>《供应商绩效考核取数逻辑.html》</w:t>
      </w:r>
    </w:p>
    <w:p>
      <w:pPr>
        <w:ind w:firstLine="420" w:firstLineChars="200"/>
        <w:rPr>
          <w:rFonts w:hint="eastAsia" w:ascii="微软雅黑" w:hAnsi="微软雅黑" w:eastAsia="微软雅黑"/>
        </w:rPr>
      </w:pPr>
      <w:r>
        <w:rPr>
          <w:rFonts w:hint="eastAsia" w:ascii="微软雅黑" w:hAnsi="微软雅黑" w:eastAsia="微软雅黑"/>
        </w:rPr>
        <w:t>《2022Y1-6M供应商绩效评级20220712.xlsx》</w:t>
      </w:r>
    </w:p>
    <w:p>
      <w:pPr>
        <w:ind w:firstLine="420" w:firstLineChars="200"/>
        <w:rPr>
          <w:rFonts w:hint="eastAsia" w:ascii="微软雅黑" w:hAnsi="微软雅黑" w:eastAsia="微软雅黑"/>
          <w:lang w:eastAsia="zh-CN"/>
        </w:rPr>
      </w:pPr>
      <w:r>
        <w:rPr>
          <w:rFonts w:hint="eastAsia" w:ascii="微软雅黑" w:hAnsi="微软雅黑" w:eastAsia="微软雅黑"/>
          <w:lang w:eastAsia="zh-CN"/>
        </w:rPr>
        <w:t>《供应商能力标签20220926.xlsx》</w:t>
      </w:r>
    </w:p>
    <w:p>
      <w:pPr>
        <w:pStyle w:val="2"/>
        <w:spacing w:line="360" w:lineRule="auto"/>
        <w:rPr>
          <w:rFonts w:ascii="微软雅黑" w:hAnsi="微软雅黑" w:eastAsia="微软雅黑"/>
        </w:rPr>
      </w:pPr>
      <w:bookmarkStart w:id="5" w:name="_Toc23856784"/>
      <w:bookmarkStart w:id="6" w:name="_Toc11136319"/>
      <w:bookmarkStart w:id="7" w:name="_Toc22315"/>
      <w:bookmarkStart w:id="8" w:name="_Toc17099480"/>
      <w:bookmarkStart w:id="9" w:name="_Toc17461717"/>
      <w:r>
        <w:rPr>
          <w:rFonts w:hint="eastAsia" w:ascii="微软雅黑" w:hAnsi="微软雅黑" w:eastAsia="微软雅黑"/>
        </w:rPr>
        <w:t>蓝图流程图标定义</w:t>
      </w:r>
      <w:bookmarkEnd w:id="5"/>
      <w:bookmarkEnd w:id="6"/>
      <w:bookmarkEnd w:id="7"/>
      <w:bookmarkEnd w:id="8"/>
      <w:bookmarkEnd w:id="9"/>
    </w:p>
    <w:p>
      <w:pPr>
        <w:spacing w:line="288" w:lineRule="auto"/>
        <w:ind w:firstLine="480"/>
        <w:rPr>
          <w:rFonts w:ascii="微软雅黑" w:hAnsi="微软雅黑" w:eastAsia="微软雅黑"/>
          <w:sz w:val="24"/>
        </w:rPr>
      </w:pPr>
      <w:r>
        <w:rPr>
          <w:rFonts w:ascii="微软雅黑" w:hAnsi="微软雅黑" w:eastAsia="微软雅黑"/>
          <w:sz w:val="24"/>
        </w:rPr>
        <w:t>SRM图标定义说明</w:t>
      </w:r>
    </w:p>
    <w:tbl>
      <w:tblPr>
        <w:tblStyle w:val="30"/>
        <w:tblW w:w="9472"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034"/>
        <w:gridCol w:w="2744"/>
        <w:gridCol w:w="1855"/>
        <w:gridCol w:w="283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 w:hRule="atLeast"/>
        </w:trPr>
        <w:tc>
          <w:tcPr>
            <w:tcW w:w="2034" w:type="dxa"/>
            <w:shd w:val="clear" w:color="auto" w:fill="D9D9D9"/>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图标</w:t>
            </w:r>
          </w:p>
        </w:tc>
        <w:tc>
          <w:tcPr>
            <w:tcW w:w="2744" w:type="dxa"/>
            <w:shd w:val="clear" w:color="auto" w:fill="D9D9D9"/>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定义</w:t>
            </w:r>
          </w:p>
        </w:tc>
        <w:tc>
          <w:tcPr>
            <w:tcW w:w="1855" w:type="dxa"/>
            <w:shd w:val="clear" w:color="auto" w:fill="D9D9D9"/>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图标</w:t>
            </w:r>
          </w:p>
        </w:tc>
        <w:tc>
          <w:tcPr>
            <w:tcW w:w="2839" w:type="dxa"/>
            <w:shd w:val="clear" w:color="auto" w:fill="D9D9D9"/>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定义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049" w:hRule="atLeast"/>
        </w:trPr>
        <w:tc>
          <w:tcPr>
            <w:tcW w:w="2034"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1173480" cy="464185"/>
                  <wp:effectExtent l="0" t="0" r="2032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173480" cy="464185"/>
                          </a:xfrm>
                          <a:prstGeom prst="rect">
                            <a:avLst/>
                          </a:prstGeom>
                          <a:noFill/>
                          <a:ln w="9525">
                            <a:noFill/>
                          </a:ln>
                        </pic:spPr>
                      </pic:pic>
                    </a:graphicData>
                  </a:graphic>
                </wp:inline>
              </w:drawing>
            </w:r>
          </w:p>
        </w:tc>
        <w:tc>
          <w:tcPr>
            <w:tcW w:w="2744"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SRM处理活动</w:t>
            </w:r>
          </w:p>
        </w:tc>
        <w:tc>
          <w:tcPr>
            <w:tcW w:w="1855"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1064260" cy="429895"/>
                  <wp:effectExtent l="0" t="0" r="254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1064260" cy="429895"/>
                          </a:xfrm>
                          <a:prstGeom prst="rect">
                            <a:avLst/>
                          </a:prstGeom>
                          <a:noFill/>
                          <a:ln w="9525">
                            <a:noFill/>
                          </a:ln>
                        </pic:spPr>
                      </pic:pic>
                    </a:graphicData>
                  </a:graphic>
                </wp:inline>
              </w:drawing>
            </w:r>
          </w:p>
        </w:tc>
        <w:tc>
          <w:tcPr>
            <w:tcW w:w="2839"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PRIM处理活动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49" w:hRule="atLeast"/>
        </w:trPr>
        <w:tc>
          <w:tcPr>
            <w:tcW w:w="2034"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1173480" cy="464185"/>
                  <wp:effectExtent l="0" t="0" r="20320" b="184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1173480" cy="464185"/>
                          </a:xfrm>
                          <a:prstGeom prst="rect">
                            <a:avLst/>
                          </a:prstGeom>
                          <a:noFill/>
                          <a:ln w="9525">
                            <a:noFill/>
                          </a:ln>
                        </pic:spPr>
                      </pic:pic>
                    </a:graphicData>
                  </a:graphic>
                </wp:inline>
              </w:drawing>
            </w:r>
          </w:p>
        </w:tc>
        <w:tc>
          <w:tcPr>
            <w:tcW w:w="2744"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OA处理活动</w:t>
            </w:r>
          </w:p>
        </w:tc>
        <w:tc>
          <w:tcPr>
            <w:tcW w:w="1855"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1064260" cy="429895"/>
                  <wp:effectExtent l="0" t="0" r="2540"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1064260" cy="429895"/>
                          </a:xfrm>
                          <a:prstGeom prst="rect">
                            <a:avLst/>
                          </a:prstGeom>
                          <a:noFill/>
                          <a:ln w="9525">
                            <a:noFill/>
                          </a:ln>
                        </pic:spPr>
                      </pic:pic>
                    </a:graphicData>
                  </a:graphic>
                </wp:inline>
              </w:drawing>
            </w:r>
          </w:p>
        </w:tc>
        <w:tc>
          <w:tcPr>
            <w:tcW w:w="2839"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手工处理活动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53" w:hRule="atLeast"/>
        </w:trPr>
        <w:tc>
          <w:tcPr>
            <w:tcW w:w="2034"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913765" cy="572770"/>
                  <wp:effectExtent l="0" t="0" r="635" b="1143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913765" cy="572770"/>
                          </a:xfrm>
                          <a:prstGeom prst="rect">
                            <a:avLst/>
                          </a:prstGeom>
                          <a:noFill/>
                          <a:ln w="9525">
                            <a:noFill/>
                          </a:ln>
                        </pic:spPr>
                      </pic:pic>
                    </a:graphicData>
                  </a:graphic>
                </wp:inline>
              </w:drawing>
            </w:r>
          </w:p>
        </w:tc>
        <w:tc>
          <w:tcPr>
            <w:tcW w:w="2744"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判断</w:t>
            </w:r>
          </w:p>
        </w:tc>
        <w:tc>
          <w:tcPr>
            <w:tcW w:w="1855"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913765" cy="382270"/>
                  <wp:effectExtent l="0" t="0" r="635" b="241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913765" cy="382270"/>
                          </a:xfrm>
                          <a:prstGeom prst="rect">
                            <a:avLst/>
                          </a:prstGeom>
                          <a:noFill/>
                          <a:ln w="9525">
                            <a:noFill/>
                          </a:ln>
                        </pic:spPr>
                      </pic:pic>
                    </a:graphicData>
                  </a:graphic>
                </wp:inline>
              </w:drawing>
            </w:r>
          </w:p>
        </w:tc>
        <w:tc>
          <w:tcPr>
            <w:tcW w:w="2839"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开始/终结符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54" w:hRule="atLeast"/>
        </w:trPr>
        <w:tc>
          <w:tcPr>
            <w:tcW w:w="2034" w:type="dxa"/>
            <w:noWrap w:val="0"/>
            <w:vAlign w:val="center"/>
          </w:tcPr>
          <w:p>
            <w:pPr>
              <w:spacing w:line="288" w:lineRule="auto"/>
              <w:jc w:val="center"/>
              <w:rPr>
                <w:rFonts w:ascii="微软雅黑" w:hAnsi="微软雅黑" w:eastAsia="微软雅黑"/>
                <w:szCs w:val="21"/>
              </w:rPr>
            </w:pPr>
            <w:r>
              <w:rPr>
                <w:rFonts w:ascii="微软雅黑" w:hAnsi="微软雅黑" w:eastAsia="微软雅黑"/>
              </w:rPr>
              <w:drawing>
                <wp:inline distT="0" distB="0" distL="114300" distR="114300">
                  <wp:extent cx="913765" cy="572770"/>
                  <wp:effectExtent l="0" t="0" r="635" b="1143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913765" cy="572770"/>
                          </a:xfrm>
                          <a:prstGeom prst="rect">
                            <a:avLst/>
                          </a:prstGeom>
                          <a:noFill/>
                          <a:ln w="9525">
                            <a:noFill/>
                          </a:ln>
                        </pic:spPr>
                      </pic:pic>
                    </a:graphicData>
                  </a:graphic>
                </wp:inline>
              </w:drawing>
            </w:r>
          </w:p>
        </w:tc>
        <w:tc>
          <w:tcPr>
            <w:tcW w:w="2744" w:type="dxa"/>
            <w:noWrap w:val="0"/>
            <w:vAlign w:val="center"/>
          </w:tcPr>
          <w:p>
            <w:pPr>
              <w:spacing w:line="288" w:lineRule="auto"/>
              <w:rPr>
                <w:rFonts w:ascii="微软雅黑" w:hAnsi="微软雅黑" w:eastAsia="微软雅黑"/>
                <w:szCs w:val="21"/>
              </w:rPr>
            </w:pPr>
            <w:r>
              <w:rPr>
                <w:rFonts w:hint="eastAsia" w:ascii="微软雅黑" w:hAnsi="微软雅黑" w:eastAsia="微软雅黑"/>
                <w:szCs w:val="21"/>
              </w:rPr>
              <w:t>系统涉及到的文档</w:t>
            </w:r>
            <w:r>
              <w:rPr>
                <w:rFonts w:ascii="微软雅黑" w:hAnsi="微软雅黑" w:eastAsia="微软雅黑"/>
                <w:szCs w:val="21"/>
              </w:rPr>
              <w:t>/</w:t>
            </w:r>
            <w:r>
              <w:rPr>
                <w:rFonts w:hint="eastAsia" w:ascii="微软雅黑" w:hAnsi="微软雅黑" w:eastAsia="微软雅黑"/>
                <w:szCs w:val="21"/>
              </w:rPr>
              <w:t>表单</w:t>
            </w:r>
          </w:p>
        </w:tc>
        <w:tc>
          <w:tcPr>
            <w:tcW w:w="1855" w:type="dxa"/>
            <w:noWrap w:val="0"/>
            <w:vAlign w:val="center"/>
          </w:tcPr>
          <w:p>
            <w:pPr>
              <w:spacing w:line="288" w:lineRule="auto"/>
              <w:jc w:val="center"/>
              <w:rPr>
                <w:rFonts w:ascii="微软雅黑" w:hAnsi="微软雅黑" w:eastAsia="微软雅黑"/>
                <w:szCs w:val="21"/>
              </w:rPr>
            </w:pPr>
          </w:p>
        </w:tc>
        <w:tc>
          <w:tcPr>
            <w:tcW w:w="2839" w:type="dxa"/>
            <w:noWrap w:val="0"/>
            <w:vAlign w:val="center"/>
          </w:tcPr>
          <w:p>
            <w:pPr>
              <w:spacing w:line="288" w:lineRule="auto"/>
              <w:rPr>
                <w:rFonts w:ascii="微软雅黑" w:hAnsi="微软雅黑" w:eastAsia="微软雅黑"/>
                <w:szCs w:val="21"/>
              </w:rPr>
            </w:pPr>
          </w:p>
        </w:tc>
      </w:tr>
    </w:tbl>
    <w:p>
      <w:pPr>
        <w:pStyle w:val="2"/>
        <w:keepNext w:val="0"/>
        <w:keepLines w:val="0"/>
        <w:pageBreakBefore w:val="0"/>
        <w:widowControl w:val="0"/>
        <w:kinsoku/>
        <w:wordWrap/>
        <w:overflowPunct/>
        <w:topLinePunct w:val="0"/>
        <w:autoSpaceDE/>
        <w:autoSpaceDN/>
        <w:bidi w:val="0"/>
        <w:adjustRightInd/>
        <w:snapToGrid/>
        <w:spacing w:line="360" w:lineRule="auto"/>
        <w:ind w:left="1020" w:hanging="1020"/>
        <w:textAlignment w:val="auto"/>
        <w:rPr>
          <w:rFonts w:ascii="微软雅黑" w:hAnsi="微软雅黑" w:eastAsia="微软雅黑"/>
        </w:rPr>
      </w:pPr>
      <w:bookmarkStart w:id="10" w:name="_Toc17461718"/>
      <w:bookmarkStart w:id="11" w:name="_Toc23856785"/>
      <w:bookmarkStart w:id="12" w:name="_Toc7024"/>
      <w:bookmarkStart w:id="13" w:name="_Toc17099481"/>
      <w:bookmarkStart w:id="14" w:name="_Toc20154110"/>
      <w:bookmarkStart w:id="15" w:name="_Toc11136320"/>
      <w:r>
        <w:rPr>
          <w:rFonts w:hint="eastAsia" w:ascii="微软雅黑" w:hAnsi="微软雅黑" w:eastAsia="微软雅黑"/>
        </w:rPr>
        <w:t>业务蓝图流程总图</w:t>
      </w:r>
      <w:bookmarkEnd w:id="10"/>
      <w:bookmarkEnd w:id="11"/>
      <w:bookmarkEnd w:id="12"/>
      <w:bookmarkEnd w:id="13"/>
      <w:bookmarkEnd w:id="14"/>
    </w:p>
    <w:p>
      <w:pPr>
        <w:pStyle w:val="3"/>
      </w:pPr>
      <w:bookmarkStart w:id="16" w:name="_Toc8630"/>
      <w:bookmarkStart w:id="17" w:name="_Toc17099482"/>
      <w:bookmarkStart w:id="18" w:name="_Toc11165260"/>
      <w:bookmarkStart w:id="19" w:name="_Toc20154111"/>
      <w:bookmarkStart w:id="20" w:name="_Toc17461719"/>
      <w:bookmarkStart w:id="21" w:name="_Toc23856786"/>
      <w:r>
        <w:rPr>
          <w:rFonts w:hint="eastAsia"/>
          <w:lang w:val="en-US" w:eastAsia="zh-CN"/>
        </w:rPr>
        <w:t>供应商绩效</w:t>
      </w:r>
      <w:r>
        <w:rPr>
          <w:rFonts w:hint="eastAsia"/>
        </w:rPr>
        <w:t>管理流程清单</w:t>
      </w:r>
      <w:bookmarkEnd w:id="16"/>
    </w:p>
    <w:p>
      <w:pPr>
        <w:rPr>
          <w:lang w:val="zh-CN"/>
        </w:rPr>
      </w:pPr>
    </w:p>
    <w:tbl>
      <w:tblPr>
        <w:tblStyle w:val="30"/>
        <w:tblW w:w="10251" w:type="dxa"/>
        <w:tblInd w:w="0" w:type="dxa"/>
        <w:tblLayout w:type="fixed"/>
        <w:tblCellMar>
          <w:top w:w="0" w:type="dxa"/>
          <w:left w:w="108" w:type="dxa"/>
          <w:bottom w:w="0" w:type="dxa"/>
          <w:right w:w="108" w:type="dxa"/>
        </w:tblCellMar>
      </w:tblPr>
      <w:tblGrid>
        <w:gridCol w:w="1888"/>
        <w:gridCol w:w="1622"/>
        <w:gridCol w:w="6741"/>
      </w:tblGrid>
      <w:tr>
        <w:tblPrEx>
          <w:tblCellMar>
            <w:top w:w="0" w:type="dxa"/>
            <w:left w:w="108" w:type="dxa"/>
            <w:bottom w:w="0" w:type="dxa"/>
            <w:right w:w="108" w:type="dxa"/>
          </w:tblCellMar>
        </w:tblPrEx>
        <w:trPr>
          <w:trHeight w:val="560" w:hRule="atLeast"/>
        </w:trPr>
        <w:tc>
          <w:tcPr>
            <w:tcW w:w="1888" w:type="dxa"/>
            <w:tcBorders>
              <w:top w:val="single" w:color="auto" w:sz="4" w:space="0"/>
              <w:left w:val="single" w:color="auto" w:sz="4" w:space="0"/>
              <w:bottom w:val="single" w:color="auto" w:sz="4" w:space="0"/>
              <w:right w:val="single" w:color="auto" w:sz="4" w:space="0"/>
            </w:tcBorders>
            <w:shd w:val="clear" w:color="000000" w:fill="D9D9D9"/>
            <w:noWrap w:val="0"/>
            <w:vAlign w:val="center"/>
          </w:tcPr>
          <w:p>
            <w:pPr>
              <w:widowControl/>
              <w:jc w:val="left"/>
              <w:rPr>
                <w:rFonts w:ascii="微软雅黑" w:hAnsi="微软雅黑" w:eastAsia="微软雅黑" w:cs="宋体"/>
                <w:b/>
                <w:bCs/>
                <w:kern w:val="0"/>
                <w:sz w:val="18"/>
                <w:szCs w:val="18"/>
              </w:rPr>
            </w:pPr>
            <w:r>
              <w:rPr>
                <w:rFonts w:hint="eastAsia" w:ascii="微软雅黑" w:hAnsi="微软雅黑" w:eastAsia="微软雅黑" w:cs="宋体"/>
                <w:b/>
                <w:bCs/>
                <w:kern w:val="0"/>
                <w:sz w:val="18"/>
                <w:szCs w:val="18"/>
              </w:rPr>
              <w:t>流程编号</w:t>
            </w:r>
          </w:p>
        </w:tc>
        <w:tc>
          <w:tcPr>
            <w:tcW w:w="1622" w:type="dxa"/>
            <w:tcBorders>
              <w:top w:val="single" w:color="auto" w:sz="4" w:space="0"/>
              <w:left w:val="nil"/>
              <w:bottom w:val="single" w:color="auto" w:sz="4" w:space="0"/>
              <w:right w:val="single" w:color="auto" w:sz="4" w:space="0"/>
            </w:tcBorders>
            <w:shd w:val="clear" w:color="000000" w:fill="D9D9D9"/>
            <w:noWrap w:val="0"/>
            <w:vAlign w:val="center"/>
          </w:tcPr>
          <w:p>
            <w:pPr>
              <w:widowControl/>
              <w:jc w:val="left"/>
              <w:rPr>
                <w:rFonts w:ascii="微软雅黑" w:hAnsi="微软雅黑" w:eastAsia="微软雅黑" w:cs="宋体"/>
                <w:b/>
                <w:bCs/>
                <w:kern w:val="0"/>
                <w:sz w:val="18"/>
                <w:szCs w:val="18"/>
              </w:rPr>
            </w:pPr>
            <w:r>
              <w:rPr>
                <w:rFonts w:hint="eastAsia" w:ascii="微软雅黑" w:hAnsi="微软雅黑" w:eastAsia="微软雅黑" w:cs="宋体"/>
                <w:b/>
                <w:bCs/>
                <w:kern w:val="0"/>
                <w:sz w:val="18"/>
                <w:szCs w:val="18"/>
              </w:rPr>
              <w:t>流程描述</w:t>
            </w:r>
          </w:p>
        </w:tc>
        <w:tc>
          <w:tcPr>
            <w:tcW w:w="6741" w:type="dxa"/>
            <w:tcBorders>
              <w:top w:val="single" w:color="auto" w:sz="4" w:space="0"/>
              <w:left w:val="nil"/>
              <w:bottom w:val="single" w:color="auto" w:sz="4" w:space="0"/>
              <w:right w:val="single" w:color="auto" w:sz="4" w:space="0"/>
            </w:tcBorders>
            <w:shd w:val="clear" w:color="000000" w:fill="D9D9D9"/>
            <w:noWrap w:val="0"/>
            <w:vAlign w:val="top"/>
          </w:tcPr>
          <w:p>
            <w:pPr>
              <w:widowControl/>
              <w:jc w:val="left"/>
              <w:rPr>
                <w:rFonts w:ascii="微软雅黑" w:hAnsi="微软雅黑" w:eastAsia="微软雅黑" w:cs="宋体"/>
                <w:b/>
                <w:bCs/>
                <w:kern w:val="0"/>
                <w:sz w:val="18"/>
                <w:szCs w:val="18"/>
              </w:rPr>
            </w:pPr>
            <w:r>
              <w:rPr>
                <w:rFonts w:hint="eastAsia" w:ascii="微软雅黑" w:hAnsi="微软雅黑" w:eastAsia="微软雅黑" w:cs="宋体"/>
                <w:b/>
                <w:bCs/>
                <w:kern w:val="0"/>
                <w:sz w:val="18"/>
                <w:szCs w:val="18"/>
              </w:rPr>
              <w:t>应用场景</w:t>
            </w:r>
          </w:p>
        </w:tc>
      </w:tr>
      <w:tr>
        <w:tblPrEx>
          <w:tblCellMar>
            <w:top w:w="0" w:type="dxa"/>
            <w:left w:w="108" w:type="dxa"/>
            <w:bottom w:w="0" w:type="dxa"/>
            <w:right w:w="108" w:type="dxa"/>
          </w:tblCellMar>
        </w:tblPrEx>
        <w:trPr>
          <w:trHeight w:val="981" w:hRule="atLeast"/>
        </w:trPr>
        <w:tc>
          <w:tcPr>
            <w:tcW w:w="1888"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pStyle w:val="27"/>
              <w:spacing w:before="0" w:beforeAutospacing="0" w:after="0" w:afterAutospacing="0"/>
              <w:textAlignment w:val="center"/>
              <w:rPr>
                <w:rFonts w:ascii="微软雅黑" w:hAnsi="微软雅黑" w:eastAsia="微软雅黑" w:cs="Arial"/>
                <w:color w:val="000000"/>
                <w:kern w:val="24"/>
                <w:sz w:val="18"/>
                <w:szCs w:val="18"/>
              </w:rPr>
            </w:pPr>
            <w:r>
              <w:rPr>
                <w:rFonts w:hint="eastAsia" w:ascii="微软雅黑" w:hAnsi="微软雅黑" w:eastAsia="微软雅黑" w:cs="Arial"/>
                <w:color w:val="000000"/>
                <w:kern w:val="24"/>
                <w:sz w:val="18"/>
                <w:szCs w:val="18"/>
              </w:rPr>
              <w:t>BZSRM-0</w:t>
            </w:r>
            <w:r>
              <w:rPr>
                <w:rFonts w:hint="eastAsia" w:ascii="微软雅黑" w:hAnsi="微软雅黑" w:eastAsia="微软雅黑" w:cs="Arial"/>
                <w:color w:val="000000"/>
                <w:kern w:val="24"/>
                <w:sz w:val="18"/>
                <w:szCs w:val="18"/>
                <w:lang w:val="en-US" w:eastAsia="zh-CN"/>
              </w:rPr>
              <w:t>2</w:t>
            </w:r>
            <w:r>
              <w:rPr>
                <w:rFonts w:hint="eastAsia" w:ascii="微软雅黑" w:hAnsi="微软雅黑" w:eastAsia="微软雅黑" w:cs="Arial"/>
                <w:color w:val="000000"/>
                <w:kern w:val="24"/>
                <w:sz w:val="18"/>
                <w:szCs w:val="18"/>
              </w:rPr>
              <w:t>-0</w:t>
            </w:r>
            <w:r>
              <w:rPr>
                <w:rFonts w:hint="eastAsia" w:ascii="微软雅黑" w:hAnsi="微软雅黑" w:eastAsia="微软雅黑" w:cs="Arial"/>
                <w:color w:val="000000"/>
                <w:kern w:val="24"/>
                <w:sz w:val="18"/>
                <w:szCs w:val="18"/>
                <w:lang w:val="en-US" w:eastAsia="zh-CN"/>
              </w:rPr>
              <w:t>1</w:t>
            </w:r>
            <w:r>
              <w:rPr>
                <w:rFonts w:ascii="微软雅黑" w:hAnsi="微软雅黑" w:eastAsia="微软雅黑" w:cs="Arial"/>
                <w:color w:val="000000"/>
                <w:kern w:val="24"/>
                <w:sz w:val="18"/>
                <w:szCs w:val="18"/>
              </w:rPr>
              <w:t>-001</w:t>
            </w:r>
          </w:p>
        </w:tc>
        <w:tc>
          <w:tcPr>
            <w:tcW w:w="1622" w:type="dxa"/>
            <w:tcBorders>
              <w:top w:val="single" w:color="auto" w:sz="4" w:space="0"/>
              <w:left w:val="nil"/>
              <w:bottom w:val="single" w:color="auto" w:sz="4" w:space="0"/>
              <w:right w:val="single" w:color="auto" w:sz="4" w:space="0"/>
            </w:tcBorders>
            <w:noWrap w:val="0"/>
            <w:vAlign w:val="center"/>
          </w:tcPr>
          <w:p>
            <w:pPr>
              <w:pStyle w:val="27"/>
              <w:spacing w:before="0" w:beforeAutospacing="0" w:after="0" w:afterAutospacing="0"/>
              <w:textAlignment w:val="center"/>
              <w:rPr>
                <w:rFonts w:ascii="微软雅黑" w:hAnsi="微软雅黑" w:eastAsia="微软雅黑" w:cs="Arial"/>
                <w:sz w:val="18"/>
                <w:szCs w:val="18"/>
              </w:rPr>
            </w:pPr>
            <w:r>
              <w:rPr>
                <w:rFonts w:hint="eastAsia" w:ascii="微软雅黑" w:hAnsi="微软雅黑" w:eastAsia="微软雅黑" w:cs="Arial"/>
                <w:sz w:val="18"/>
                <w:szCs w:val="18"/>
                <w:lang w:val="en-US" w:eastAsia="zh-CN"/>
              </w:rPr>
              <w:t>供应商绩效考核</w:t>
            </w:r>
            <w:r>
              <w:rPr>
                <w:rFonts w:hint="eastAsia" w:ascii="微软雅黑" w:hAnsi="微软雅黑" w:eastAsia="微软雅黑" w:cs="Arial"/>
                <w:sz w:val="18"/>
                <w:szCs w:val="18"/>
              </w:rPr>
              <w:t>流程</w:t>
            </w:r>
          </w:p>
        </w:tc>
        <w:tc>
          <w:tcPr>
            <w:tcW w:w="6741" w:type="dxa"/>
            <w:tcBorders>
              <w:top w:val="single" w:color="auto" w:sz="4" w:space="0"/>
              <w:left w:val="nil"/>
              <w:bottom w:val="single" w:color="auto" w:sz="4" w:space="0"/>
              <w:right w:val="single" w:color="auto" w:sz="4" w:space="0"/>
            </w:tcBorders>
            <w:noWrap w:val="0"/>
            <w:vAlign w:val="top"/>
          </w:tcPr>
          <w:p>
            <w:pPr>
              <w:pStyle w:val="27"/>
              <w:textAlignment w:val="center"/>
              <w:rPr>
                <w:rFonts w:hint="default" w:ascii="微软雅黑" w:hAnsi="微软雅黑" w:eastAsia="微软雅黑" w:cs="Arial"/>
                <w:sz w:val="18"/>
                <w:szCs w:val="18"/>
                <w:lang w:val="en-US" w:eastAsia="zh-CN"/>
              </w:rPr>
            </w:pPr>
            <w:r>
              <w:rPr>
                <w:rFonts w:hint="eastAsia" w:ascii="微软雅黑" w:hAnsi="微软雅黑" w:eastAsia="微软雅黑" w:cs="Arial"/>
                <w:sz w:val="18"/>
                <w:szCs w:val="18"/>
                <w:lang w:val="en-US" w:eastAsia="zh-CN"/>
              </w:rPr>
              <w:t>绩效考核流程涵盖原料、辅料、成衣部门供应商的年度绩效考评业务场景。由供管发起供应商半年度绩效考评，系统自动计算考核指标，采购员及核价员进行主观评分及优劣势分析，最后由采购员、产品部进行绩效评级，由供管汇总后进行发布。</w:t>
            </w:r>
          </w:p>
        </w:tc>
      </w:tr>
      <w:tr>
        <w:trPr>
          <w:trHeight w:val="507" w:hRule="atLeast"/>
        </w:trPr>
        <w:tc>
          <w:tcPr>
            <w:tcW w:w="1888"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pStyle w:val="27"/>
              <w:spacing w:before="0" w:beforeAutospacing="0" w:after="0" w:afterAutospacing="0"/>
              <w:textAlignment w:val="center"/>
              <w:rPr>
                <w:rFonts w:hint="eastAsia" w:ascii="微软雅黑" w:hAnsi="微软雅黑" w:eastAsia="微软雅黑" w:cs="Arial"/>
                <w:color w:val="000000"/>
                <w:kern w:val="24"/>
                <w:sz w:val="18"/>
                <w:szCs w:val="18"/>
                <w:lang w:val="en-US" w:eastAsia="zh-CN"/>
              </w:rPr>
            </w:pPr>
          </w:p>
        </w:tc>
        <w:tc>
          <w:tcPr>
            <w:tcW w:w="1622" w:type="dxa"/>
            <w:tcBorders>
              <w:top w:val="single" w:color="auto" w:sz="4" w:space="0"/>
              <w:left w:val="nil"/>
              <w:bottom w:val="single" w:color="auto" w:sz="4" w:space="0"/>
              <w:right w:val="single" w:color="auto" w:sz="4" w:space="0"/>
            </w:tcBorders>
            <w:noWrap w:val="0"/>
            <w:vAlign w:val="center"/>
          </w:tcPr>
          <w:p>
            <w:pPr>
              <w:pStyle w:val="27"/>
              <w:spacing w:before="0" w:beforeAutospacing="0" w:after="0" w:afterAutospacing="0"/>
              <w:textAlignment w:val="center"/>
              <w:rPr>
                <w:rFonts w:hint="default" w:ascii="微软雅黑" w:hAnsi="微软雅黑" w:eastAsia="微软雅黑" w:cs="Arial"/>
                <w:sz w:val="18"/>
                <w:szCs w:val="18"/>
                <w:lang w:val="en-US" w:eastAsia="zh-CN"/>
              </w:rPr>
            </w:pPr>
          </w:p>
        </w:tc>
        <w:tc>
          <w:tcPr>
            <w:tcW w:w="6741" w:type="dxa"/>
            <w:tcBorders>
              <w:top w:val="single" w:color="auto" w:sz="4" w:space="0"/>
              <w:left w:val="nil"/>
              <w:bottom w:val="single" w:color="auto" w:sz="4" w:space="0"/>
              <w:right w:val="single" w:color="auto" w:sz="4" w:space="0"/>
            </w:tcBorders>
            <w:noWrap w:val="0"/>
            <w:vAlign w:val="top"/>
          </w:tcPr>
          <w:p>
            <w:pPr>
              <w:pStyle w:val="27"/>
              <w:spacing w:before="0" w:beforeAutospacing="0" w:after="0" w:afterAutospacing="0"/>
              <w:textAlignment w:val="center"/>
              <w:rPr>
                <w:rFonts w:ascii="微软雅黑" w:hAnsi="微软雅黑" w:eastAsia="PMingLiU" w:cs="Arial"/>
                <w:sz w:val="18"/>
                <w:szCs w:val="18"/>
                <w:lang w:eastAsia="zh-TW"/>
              </w:rPr>
            </w:pPr>
          </w:p>
        </w:tc>
      </w:tr>
      <w:bookmarkEnd w:id="17"/>
      <w:bookmarkEnd w:id="18"/>
      <w:bookmarkEnd w:id="19"/>
      <w:bookmarkEnd w:id="20"/>
      <w:bookmarkEnd w:id="21"/>
    </w:tbl>
    <w:p>
      <w:pPr>
        <w:rPr>
          <w:lang w:val="zh-CN"/>
        </w:rPr>
      </w:pPr>
    </w:p>
    <w:p>
      <w:pPr>
        <w:pStyle w:val="3"/>
      </w:pPr>
      <w:bookmarkStart w:id="22" w:name="_Toc24723"/>
      <w:r>
        <w:rPr>
          <w:rFonts w:hint="eastAsia"/>
          <w:lang w:val="en-US" w:eastAsia="zh-CN"/>
        </w:rPr>
        <w:t>供应商绩效管理</w:t>
      </w:r>
      <w:r>
        <w:rPr>
          <w:rFonts w:hint="eastAsia"/>
        </w:rPr>
        <w:t>流程</w:t>
      </w:r>
      <w:bookmarkEnd w:id="22"/>
    </w:p>
    <w:p>
      <w:pPr>
        <w:ind w:firstLine="210" w:firstLineChars="100"/>
        <w:rPr>
          <w:lang w:val="zh-CN"/>
        </w:rPr>
      </w:pPr>
      <w:r>
        <w:rPr>
          <w:rFonts w:hint="eastAsia"/>
          <w:lang w:val="en-US" w:eastAsia="zh-CN"/>
        </w:rPr>
        <w:t>供应商绩效管理</w:t>
      </w:r>
      <w:r>
        <w:rPr>
          <w:rFonts w:hint="eastAsia"/>
          <w:lang w:val="zh-CN"/>
        </w:rPr>
        <w:t>流程图</w:t>
      </w:r>
    </w:p>
    <w:p>
      <w:r>
        <w:object>
          <v:shape id="_x0000_i1025" o:spt="75" type="#_x0000_t75" style="height:683.6pt;width:400.1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pPr>
        <w:rPr>
          <w:lang w:val="zh-CN"/>
        </w:rPr>
      </w:pPr>
      <w:r>
        <w:rPr>
          <w:rFonts w:hint="eastAsia"/>
          <w:lang w:val="zh-CN"/>
        </w:rPr>
        <w:t>流程步骤：</w:t>
      </w:r>
    </w:p>
    <w:tbl>
      <w:tblPr>
        <w:tblStyle w:val="30"/>
        <w:tblW w:w="0" w:type="auto"/>
        <w:jc w:val="center"/>
        <w:tblLayout w:type="fixed"/>
        <w:tblCellMar>
          <w:top w:w="0" w:type="dxa"/>
          <w:left w:w="108" w:type="dxa"/>
          <w:bottom w:w="0" w:type="dxa"/>
          <w:right w:w="108" w:type="dxa"/>
        </w:tblCellMar>
      </w:tblPr>
      <w:tblGrid>
        <w:gridCol w:w="633"/>
        <w:gridCol w:w="1489"/>
        <w:gridCol w:w="4239"/>
        <w:gridCol w:w="1923"/>
        <w:gridCol w:w="1430"/>
      </w:tblGrid>
      <w:tr>
        <w:tblPrEx>
          <w:tblCellMar>
            <w:top w:w="0" w:type="dxa"/>
            <w:left w:w="108" w:type="dxa"/>
            <w:bottom w:w="0" w:type="dxa"/>
            <w:right w:w="108" w:type="dxa"/>
          </w:tblCellMar>
        </w:tblPrEx>
        <w:trPr>
          <w:trHeight w:val="843"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auto" w:fill="D9D9D9"/>
            <w:noWrap w:val="0"/>
            <w:vAlign w:val="center"/>
          </w:tcPr>
          <w:p>
            <w:pPr>
              <w:rPr>
                <w:rFonts w:ascii="微软雅黑" w:hAnsi="微软雅黑" w:eastAsia="微软雅黑"/>
                <w:b/>
                <w:bCs/>
                <w:sz w:val="18"/>
                <w:szCs w:val="18"/>
              </w:rPr>
            </w:pPr>
            <w:r>
              <w:rPr>
                <w:rFonts w:hint="eastAsia" w:ascii="微软雅黑" w:hAnsi="微软雅黑" w:eastAsia="微软雅黑"/>
                <w:b/>
                <w:bCs/>
                <w:sz w:val="18"/>
                <w:szCs w:val="18"/>
              </w:rPr>
              <w:t>序号</w:t>
            </w:r>
          </w:p>
        </w:tc>
        <w:tc>
          <w:tcPr>
            <w:tcW w:w="1489" w:type="dxa"/>
            <w:tcBorders>
              <w:top w:val="single" w:color="auto" w:sz="4" w:space="0"/>
              <w:left w:val="nil"/>
              <w:bottom w:val="single" w:color="auto" w:sz="4" w:space="0"/>
              <w:right w:val="single" w:color="auto" w:sz="4" w:space="0"/>
            </w:tcBorders>
            <w:shd w:val="clear" w:color="auto" w:fill="D9D9D9"/>
            <w:noWrap w:val="0"/>
            <w:vAlign w:val="center"/>
          </w:tcPr>
          <w:p>
            <w:pPr>
              <w:rPr>
                <w:rFonts w:ascii="微软雅黑" w:hAnsi="微软雅黑" w:eastAsia="微软雅黑"/>
                <w:b/>
                <w:bCs/>
                <w:sz w:val="18"/>
                <w:szCs w:val="18"/>
              </w:rPr>
            </w:pPr>
            <w:r>
              <w:rPr>
                <w:rFonts w:hint="eastAsia" w:ascii="微软雅黑" w:hAnsi="微软雅黑" w:eastAsia="微软雅黑"/>
                <w:b/>
                <w:bCs/>
                <w:sz w:val="18"/>
                <w:szCs w:val="18"/>
              </w:rPr>
              <w:t>流程</w:t>
            </w:r>
          </w:p>
        </w:tc>
        <w:tc>
          <w:tcPr>
            <w:tcW w:w="4239" w:type="dxa"/>
            <w:tcBorders>
              <w:top w:val="single" w:color="auto" w:sz="4" w:space="0"/>
              <w:left w:val="nil"/>
              <w:bottom w:val="single" w:color="auto" w:sz="4" w:space="0"/>
              <w:right w:val="single" w:color="auto" w:sz="4" w:space="0"/>
            </w:tcBorders>
            <w:shd w:val="clear" w:color="auto" w:fill="D9D9D9"/>
            <w:noWrap w:val="0"/>
            <w:vAlign w:val="center"/>
          </w:tcPr>
          <w:p>
            <w:pPr>
              <w:rPr>
                <w:rFonts w:ascii="微软雅黑" w:hAnsi="微软雅黑" w:eastAsia="微软雅黑"/>
                <w:b/>
                <w:bCs/>
                <w:sz w:val="18"/>
                <w:szCs w:val="18"/>
              </w:rPr>
            </w:pPr>
            <w:r>
              <w:rPr>
                <w:rFonts w:hint="eastAsia" w:ascii="微软雅黑" w:hAnsi="微软雅黑" w:eastAsia="微软雅黑"/>
                <w:b/>
                <w:bCs/>
                <w:sz w:val="18"/>
                <w:szCs w:val="18"/>
              </w:rPr>
              <w:t>流程描述</w:t>
            </w:r>
          </w:p>
        </w:tc>
        <w:tc>
          <w:tcPr>
            <w:tcW w:w="1923" w:type="dxa"/>
            <w:tcBorders>
              <w:top w:val="single" w:color="auto" w:sz="4" w:space="0"/>
              <w:left w:val="single" w:color="auto" w:sz="4" w:space="0"/>
              <w:bottom w:val="single" w:color="auto" w:sz="4" w:space="0"/>
              <w:right w:val="single" w:color="auto" w:sz="4" w:space="0"/>
            </w:tcBorders>
            <w:shd w:val="clear" w:color="auto" w:fill="D9D9D9"/>
            <w:noWrap w:val="0"/>
            <w:vAlign w:val="center"/>
          </w:tcPr>
          <w:p>
            <w:pPr>
              <w:rPr>
                <w:rFonts w:ascii="微软雅黑" w:hAnsi="微软雅黑" w:eastAsia="微软雅黑"/>
                <w:b/>
                <w:bCs/>
                <w:sz w:val="18"/>
                <w:szCs w:val="18"/>
              </w:rPr>
            </w:pPr>
            <w:r>
              <w:rPr>
                <w:rFonts w:hint="eastAsia" w:ascii="微软雅黑" w:hAnsi="微软雅黑" w:eastAsia="微软雅黑"/>
                <w:b/>
                <w:bCs/>
                <w:sz w:val="18"/>
                <w:szCs w:val="18"/>
              </w:rPr>
              <w:t>执行者</w:t>
            </w:r>
          </w:p>
        </w:tc>
        <w:tc>
          <w:tcPr>
            <w:tcW w:w="1430" w:type="dxa"/>
            <w:tcBorders>
              <w:top w:val="single" w:color="auto" w:sz="4" w:space="0"/>
              <w:left w:val="single" w:color="auto" w:sz="4" w:space="0"/>
              <w:bottom w:val="single" w:color="auto" w:sz="4" w:space="0"/>
              <w:right w:val="single" w:color="auto" w:sz="4" w:space="0"/>
            </w:tcBorders>
            <w:shd w:val="clear" w:color="auto" w:fill="D9D9D9"/>
            <w:noWrap w:val="0"/>
            <w:vAlign w:val="center"/>
          </w:tcPr>
          <w:p>
            <w:pPr>
              <w:rPr>
                <w:rFonts w:ascii="微软雅黑" w:hAnsi="微软雅黑" w:eastAsia="微软雅黑"/>
                <w:b/>
                <w:bCs/>
                <w:sz w:val="18"/>
                <w:szCs w:val="18"/>
              </w:rPr>
            </w:pPr>
            <w:r>
              <w:rPr>
                <w:rFonts w:hint="eastAsia" w:ascii="微软雅黑" w:hAnsi="微软雅黑" w:eastAsia="微软雅黑"/>
                <w:b/>
                <w:bCs/>
                <w:sz w:val="18"/>
                <w:szCs w:val="18"/>
              </w:rPr>
              <w:t>系统</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10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发起绩效评级</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供管发起绩效评级，确定考评模板、参评供应商、评分部门</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考评负责人</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ascii="微软雅黑" w:hAnsi="微软雅黑" w:eastAsia="微软雅黑"/>
                <w:color w:val="000000"/>
                <w:sz w:val="18"/>
                <w:szCs w:val="18"/>
              </w:rPr>
            </w:pPr>
            <w:r>
              <w:rPr>
                <w:rFonts w:hint="eastAsia" w:ascii="微软雅黑" w:hAnsi="微软雅黑" w:eastAsia="微软雅黑"/>
                <w:color w:val="000000"/>
                <w:sz w:val="18"/>
                <w:szCs w:val="18"/>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20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系统计算客观指标得分</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触发定时任务，系统自动统计计算客观指标，生成指标报表</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系统</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ascii="微软雅黑" w:hAnsi="微软雅黑" w:eastAsia="微软雅黑"/>
                <w:color w:val="000000"/>
                <w:sz w:val="18"/>
                <w:szCs w:val="18"/>
              </w:rPr>
            </w:pPr>
            <w:r>
              <w:rPr>
                <w:rFonts w:hint="eastAsia" w:ascii="微软雅黑" w:hAnsi="微软雅黑" w:eastAsia="微软雅黑"/>
                <w:color w:val="000000"/>
                <w:sz w:val="18"/>
                <w:szCs w:val="18"/>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30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分配评分人</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采购经理/产品经理分配评分至采购员/业务员</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采购经理/产品经理</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rPr>
            </w:pP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40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主观指标得分，填写优劣势</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评分人进行主观评分，同时对优劣势及供应商能力标签进行评价</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采购员/业务员/核价员</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ascii="微软雅黑" w:hAnsi="微软雅黑" w:eastAsia="微软雅黑"/>
                <w:color w:val="000000"/>
                <w:sz w:val="18"/>
                <w:szCs w:val="18"/>
              </w:rPr>
            </w:pPr>
            <w:r>
              <w:rPr>
                <w:rFonts w:hint="eastAsia" w:ascii="微软雅黑" w:hAnsi="微软雅黑" w:eastAsia="微软雅黑"/>
                <w:color w:val="000000"/>
                <w:sz w:val="18"/>
                <w:szCs w:val="18"/>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50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审批评分</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评分人评分完成后，由经理确认评分</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采购经理/产品经理</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rPr>
            </w:pP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60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考评得分汇总，补充优劣势，定义供应商合作关系</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供管汇总评分，系统自动评级，供管汇总供应商优劣势，定义供应商合作关系</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考评负责人</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ascii="微软雅黑" w:hAnsi="微软雅黑" w:eastAsia="微软雅黑"/>
                <w:color w:val="000000"/>
                <w:sz w:val="18"/>
                <w:szCs w:val="18"/>
              </w:rPr>
            </w:pPr>
            <w:r>
              <w:rPr>
                <w:rFonts w:hint="eastAsia" w:ascii="微软雅黑" w:hAnsi="微软雅黑" w:eastAsia="微软雅黑"/>
                <w:color w:val="000000"/>
                <w:sz w:val="18"/>
                <w:szCs w:val="18"/>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70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消息通知</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通知供应链总监绩效考评初步完成，可在系统查看初步结论</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系统</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ascii="微软雅黑" w:hAnsi="微软雅黑" w:eastAsia="微软雅黑"/>
                <w:color w:val="000000"/>
                <w:sz w:val="18"/>
                <w:szCs w:val="18"/>
              </w:rPr>
            </w:pPr>
            <w:r>
              <w:rPr>
                <w:rFonts w:hint="eastAsia" w:ascii="微软雅黑" w:hAnsi="微软雅黑" w:eastAsia="微软雅黑"/>
                <w:color w:val="000000"/>
                <w:sz w:val="18"/>
                <w:szCs w:val="18"/>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80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反馈评级意见</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经理反馈并确认供应商评级</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采购经理/产品经理</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90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开会评估</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供管组织各部门负责人线下开会评估供应商评级</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rPr>
            </w:pPr>
            <w:r>
              <w:rPr>
                <w:rFonts w:hint="eastAsia" w:ascii="微软雅黑" w:hAnsi="微软雅黑" w:eastAsia="微软雅黑"/>
                <w:color w:val="000000"/>
                <w:sz w:val="18"/>
                <w:szCs w:val="18"/>
                <w:lang w:val="en-US" w:eastAsia="zh-CN"/>
              </w:rPr>
              <w:t>考评负责人</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线下</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100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修改/补充评估意见，确定最终结果</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供管补充评估后意见，发布结果</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考评负责人</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110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供应商自动降级</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发布后系统根据评级结果对供应商自动降级</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系统</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120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查看考评结果</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发布后，通知采供应商总监、产品经理等负责人查看最终结果</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供应链总监/采购经理/产品经理/品管经理</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SRM</w:t>
            </w:r>
          </w:p>
        </w:tc>
      </w:tr>
      <w:tr>
        <w:tblPrEx>
          <w:tblCellMar>
            <w:top w:w="0" w:type="dxa"/>
            <w:left w:w="108" w:type="dxa"/>
            <w:bottom w:w="0" w:type="dxa"/>
            <w:right w:w="108" w:type="dxa"/>
          </w:tblCellMar>
        </w:tblPrEx>
        <w:trPr>
          <w:trHeight w:val="270" w:hRule="atLeast"/>
          <w:tblHeader/>
          <w:jc w:val="center"/>
        </w:trPr>
        <w:tc>
          <w:tcPr>
            <w:tcW w:w="63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130</w:t>
            </w:r>
          </w:p>
        </w:tc>
        <w:tc>
          <w:tcPr>
            <w:tcW w:w="1489" w:type="dxa"/>
            <w:tcBorders>
              <w:top w:val="single" w:color="auto" w:sz="4" w:space="0"/>
              <w:left w:val="nil"/>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发布供应商</w:t>
            </w:r>
          </w:p>
        </w:tc>
        <w:tc>
          <w:tcPr>
            <w:tcW w:w="4239" w:type="dxa"/>
            <w:tcBorders>
              <w:top w:val="single" w:color="auto" w:sz="4" w:space="0"/>
              <w:left w:val="nil"/>
              <w:bottom w:val="single" w:color="auto" w:sz="4" w:space="0"/>
              <w:right w:val="single" w:color="auto" w:sz="4" w:space="0"/>
            </w:tcBorders>
            <w:shd w:val="clear" w:color="000000" w:fill="FFFFFF"/>
            <w:noWrap w:val="0"/>
            <w:vAlign w:val="center"/>
          </w:tcPr>
          <w:p>
            <w:pPr>
              <w:autoSpaceDE w:val="0"/>
              <w:autoSpaceDN w:val="0"/>
              <w:adjustRightInd w:val="0"/>
              <w:spacing w:line="288" w:lineRule="auto"/>
              <w:jc w:val="left"/>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供管选择是否发布供应商，若发布，供应商可在系统查看自己的考评结果</w:t>
            </w:r>
          </w:p>
        </w:tc>
        <w:tc>
          <w:tcPr>
            <w:tcW w:w="192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eastAsia"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供应商</w:t>
            </w:r>
          </w:p>
        </w:tc>
        <w:tc>
          <w:tcPr>
            <w:tcW w:w="143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rPr>
                <w:rFonts w:hint="default" w:ascii="微软雅黑" w:hAnsi="微软雅黑" w:eastAsia="微软雅黑"/>
                <w:color w:val="000000"/>
                <w:sz w:val="18"/>
                <w:szCs w:val="18"/>
                <w:lang w:val="en-US" w:eastAsia="zh-CN"/>
              </w:rPr>
            </w:pPr>
            <w:r>
              <w:rPr>
                <w:rFonts w:hint="eastAsia" w:ascii="微软雅黑" w:hAnsi="微软雅黑" w:eastAsia="微软雅黑"/>
                <w:color w:val="000000"/>
                <w:sz w:val="18"/>
                <w:szCs w:val="18"/>
                <w:lang w:val="en-US" w:eastAsia="zh-CN"/>
              </w:rPr>
              <w:t>SRM</w:t>
            </w:r>
          </w:p>
        </w:tc>
      </w:tr>
    </w:tbl>
    <w:p>
      <w:pPr>
        <w:rPr>
          <w:lang w:val="zh-CN"/>
        </w:rPr>
      </w:pPr>
    </w:p>
    <w:bookmarkEnd w:id="15"/>
    <w:p>
      <w:pPr>
        <w:pStyle w:val="2"/>
        <w:rPr>
          <w:rFonts w:ascii="微软雅黑" w:hAnsi="微软雅黑" w:eastAsia="微软雅黑"/>
        </w:rPr>
      </w:pPr>
      <w:bookmarkStart w:id="23" w:name="_Toc3617"/>
      <w:r>
        <w:rPr>
          <w:rFonts w:hint="eastAsia" w:ascii="微软雅黑" w:hAnsi="微软雅黑" w:eastAsia="微软雅黑"/>
        </w:rPr>
        <w:t>界面及功能说明</w:t>
      </w:r>
      <w:bookmarkEnd w:id="23"/>
    </w:p>
    <w:p>
      <w:pPr>
        <w:pStyle w:val="3"/>
      </w:pPr>
      <w:bookmarkStart w:id="24" w:name="_Toc105415207"/>
      <w:bookmarkEnd w:id="24"/>
      <w:bookmarkStart w:id="25" w:name="_Toc105415202"/>
      <w:bookmarkEnd w:id="25"/>
      <w:bookmarkStart w:id="26" w:name="_Toc105415205"/>
      <w:bookmarkEnd w:id="26"/>
      <w:bookmarkStart w:id="27" w:name="_Toc105415200"/>
      <w:bookmarkEnd w:id="27"/>
      <w:bookmarkStart w:id="28" w:name="_Toc105415201"/>
      <w:bookmarkEnd w:id="28"/>
      <w:bookmarkStart w:id="29" w:name="_Toc105415199"/>
      <w:bookmarkEnd w:id="29"/>
      <w:bookmarkStart w:id="30" w:name="_Toc105415208"/>
      <w:bookmarkEnd w:id="30"/>
      <w:bookmarkStart w:id="31" w:name="_Toc105415209"/>
      <w:bookmarkEnd w:id="31"/>
      <w:bookmarkStart w:id="32" w:name="_Toc105415210"/>
      <w:bookmarkEnd w:id="32"/>
      <w:bookmarkStart w:id="33" w:name="_Toc105415211"/>
      <w:bookmarkEnd w:id="33"/>
      <w:bookmarkStart w:id="34" w:name="_Toc105415204"/>
      <w:bookmarkEnd w:id="34"/>
      <w:bookmarkStart w:id="35" w:name="_Toc105415203"/>
      <w:bookmarkEnd w:id="35"/>
      <w:bookmarkStart w:id="36" w:name="_Toc105415206"/>
      <w:bookmarkEnd w:id="36"/>
      <w:bookmarkStart w:id="37" w:name="_Toc105415198"/>
      <w:bookmarkEnd w:id="37"/>
      <w:bookmarkStart w:id="38" w:name="_Toc105415212"/>
      <w:bookmarkEnd w:id="38"/>
      <w:bookmarkStart w:id="39" w:name="_Toc26997"/>
      <w:r>
        <w:rPr>
          <w:rFonts w:hint="eastAsia"/>
          <w:lang w:val="en-US" w:eastAsia="zh-CN"/>
        </w:rPr>
        <w:t>供应商绩效考评</w:t>
      </w:r>
      <w:bookmarkEnd w:id="39"/>
    </w:p>
    <w:p>
      <w:pPr>
        <w:pStyle w:val="4"/>
        <w:rPr>
          <w:rStyle w:val="56"/>
          <w:rFonts w:ascii="微软雅黑" w:hAnsi="微软雅黑"/>
          <w:szCs w:val="24"/>
        </w:rPr>
      </w:pPr>
      <w:bookmarkStart w:id="40" w:name="_Toc1070"/>
      <w:r>
        <w:rPr>
          <w:rStyle w:val="56"/>
          <w:rFonts w:hint="eastAsia"/>
          <w:szCs w:val="24"/>
          <w:lang w:val="en-US" w:eastAsia="zh-CN"/>
        </w:rPr>
        <w:t>发起考评</w:t>
      </w:r>
      <w:bookmarkEnd w:id="40"/>
    </w:p>
    <w:p>
      <w:pPr>
        <w:ind w:firstLine="420" w:firstLineChars="200"/>
        <w:rPr>
          <w:rStyle w:val="56"/>
          <w:rFonts w:hint="eastAsia" w:ascii="微软雅黑" w:hAnsi="微软雅黑" w:eastAsia="微软雅黑"/>
          <w:color w:val="auto"/>
          <w:lang w:val="en-US" w:eastAsia="zh-CN"/>
        </w:rPr>
      </w:pPr>
      <w:r>
        <w:rPr>
          <w:rStyle w:val="56"/>
          <w:rFonts w:hint="eastAsia" w:ascii="微软雅黑" w:hAnsi="微软雅黑" w:eastAsia="微软雅黑"/>
          <w:b/>
          <w:bCs/>
          <w:color w:val="auto"/>
          <w:lang w:val="en-US" w:eastAsia="zh-CN"/>
        </w:rPr>
        <w:t>操作人员</w:t>
      </w:r>
      <w:r>
        <w:rPr>
          <w:rStyle w:val="56"/>
          <w:rFonts w:hint="eastAsia" w:ascii="微软雅黑" w:hAnsi="微软雅黑" w:eastAsia="微软雅黑"/>
          <w:color w:val="auto"/>
          <w:lang w:val="en-US" w:eastAsia="zh-CN"/>
        </w:rPr>
        <w:t>：供管/考评负责人；</w:t>
      </w:r>
    </w:p>
    <w:p>
      <w:pPr>
        <w:ind w:firstLine="420" w:firstLineChars="200"/>
        <w:rPr>
          <w:rStyle w:val="56"/>
          <w:rFonts w:hint="default" w:ascii="微软雅黑" w:hAnsi="微软雅黑" w:eastAsia="微软雅黑"/>
          <w:color w:val="auto"/>
          <w:lang w:val="en-US" w:eastAsia="zh-CN"/>
        </w:rPr>
      </w:pPr>
      <w:r>
        <w:rPr>
          <w:rStyle w:val="56"/>
          <w:rFonts w:hint="eastAsia" w:ascii="微软雅黑" w:hAnsi="微软雅黑" w:eastAsia="微软雅黑"/>
          <w:b/>
          <w:bCs/>
          <w:color w:val="auto"/>
          <w:lang w:val="en-US" w:eastAsia="zh-CN"/>
        </w:rPr>
        <w:t>操作页面</w:t>
      </w:r>
      <w:r>
        <w:rPr>
          <w:rStyle w:val="56"/>
          <w:rFonts w:hint="eastAsia" w:ascii="微软雅黑" w:hAnsi="微软雅黑" w:eastAsia="微软雅黑"/>
          <w:color w:val="auto"/>
          <w:lang w:val="en-US" w:eastAsia="zh-CN"/>
        </w:rPr>
        <w:t>：考评档案管理；</w:t>
      </w:r>
    </w:p>
    <w:p>
      <w:pPr>
        <w:ind w:firstLine="420" w:firstLineChars="200"/>
        <w:rPr>
          <w:rStyle w:val="56"/>
          <w:rFonts w:hint="eastAsia" w:ascii="微软雅黑" w:hAnsi="微软雅黑" w:eastAsia="微软雅黑"/>
          <w:color w:val="auto"/>
          <w:lang w:val="en-US" w:eastAsia="zh-CN"/>
        </w:rPr>
      </w:pPr>
      <w:r>
        <w:rPr>
          <w:rStyle w:val="56"/>
          <w:rFonts w:hint="eastAsia" w:ascii="微软雅黑" w:hAnsi="微软雅黑" w:eastAsia="微软雅黑"/>
          <w:color w:val="auto"/>
          <w:lang w:val="en-US" w:eastAsia="zh-CN"/>
        </w:rPr>
        <w:t>供应商绩效考评流程由各部门供管或考评负责人发起，在“考评档案管理”页面操作。发起过程中，需填写基本资料，选择考评模板、考评期间、确定参评供应商及评分人。新建页面如下：</w:t>
      </w:r>
    </w:p>
    <w:p>
      <w:pPr>
        <w:rPr>
          <w:rStyle w:val="56"/>
          <w:rFonts w:hint="default" w:ascii="微软雅黑" w:hAnsi="微软雅黑" w:eastAsia="微软雅黑"/>
          <w:color w:val="auto"/>
          <w:lang w:val="en-US" w:eastAsia="zh-CN"/>
        </w:rPr>
      </w:pPr>
      <w:r>
        <w:drawing>
          <wp:inline distT="0" distB="0" distL="114300" distR="114300">
            <wp:extent cx="6367780" cy="3679825"/>
            <wp:effectExtent l="0" t="0" r="7620"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4"/>
                    <a:stretch>
                      <a:fillRect/>
                    </a:stretch>
                  </pic:blipFill>
                  <pic:spPr>
                    <a:xfrm>
                      <a:off x="0" y="0"/>
                      <a:ext cx="6367780" cy="3679825"/>
                    </a:xfrm>
                    <a:prstGeom prst="rect">
                      <a:avLst/>
                    </a:prstGeom>
                    <a:noFill/>
                    <a:ln>
                      <a:noFill/>
                    </a:ln>
                  </pic:spPr>
                </pic:pic>
              </a:graphicData>
            </a:graphic>
          </wp:inline>
        </w:drawing>
      </w:r>
    </w:p>
    <w:p>
      <w:pPr>
        <w:pStyle w:val="5"/>
        <w:rPr>
          <w:lang w:eastAsia="zh-Hans"/>
        </w:rPr>
      </w:pPr>
      <w:r>
        <w:rPr>
          <w:rFonts w:hint="eastAsia"/>
          <w:lang w:val="en-US" w:eastAsia="zh-CN"/>
        </w:rPr>
        <w:t>基础信息</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基础信息由考评负责人发起考评时填写，包括以下内容：</w:t>
      </w:r>
    </w:p>
    <w:p>
      <w:pPr>
        <w:numPr>
          <w:ilvl w:val="0"/>
          <w:numId w:val="5"/>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档案描述、考评模板（控制考评指标及评分项）、考评周期（包括半年度/年度）；</w:t>
      </w:r>
    </w:p>
    <w:p>
      <w:pPr>
        <w:numPr>
          <w:ilvl w:val="0"/>
          <w:numId w:val="5"/>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考评期间、考评季节：限制客观指标统计条件，若没有季节则不限制；</w:t>
      </w:r>
    </w:p>
    <w:p>
      <w:pPr>
        <w:numPr>
          <w:ilvl w:val="0"/>
          <w:numId w:val="5"/>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优劣势参评部门：限制评分过程中，评分人是否需要评价</w:t>
      </w:r>
      <w:r>
        <w:rPr>
          <w:rFonts w:hint="eastAsia" w:ascii="微软雅黑" w:hAnsi="微软雅黑" w:eastAsia="微软雅黑"/>
          <w:color w:val="auto"/>
          <w:lang w:val="en-US" w:eastAsia="zh-CN"/>
        </w:rPr>
        <w:t>供应商优劣势及供应商能力标签</w:t>
      </w:r>
      <w:r>
        <w:rPr>
          <w:rFonts w:hint="eastAsia" w:ascii="微软雅黑" w:hAnsi="微软雅黑" w:eastAsia="微软雅黑"/>
          <w:lang w:val="en-US" w:eastAsia="zh-CN"/>
        </w:rPr>
        <w:t>；</w:t>
      </w:r>
    </w:p>
    <w:p>
      <w:pPr>
        <w:numPr>
          <w:ilvl w:val="0"/>
          <w:numId w:val="5"/>
        </w:numPr>
        <w:ind w:firstLine="420" w:firstLineChars="200"/>
        <w:rPr>
          <w:rFonts w:hint="default" w:ascii="微软雅黑" w:hAnsi="微软雅黑" w:eastAsia="微软雅黑"/>
          <w:lang w:val="en-US" w:eastAsia="zh-CN"/>
        </w:rPr>
      </w:pPr>
      <w:r>
        <w:rPr>
          <w:rFonts w:hint="eastAsia" w:ascii="微软雅黑" w:hAnsi="微软雅黑" w:eastAsia="微软雅黑"/>
          <w:b/>
          <w:bCs/>
          <w:lang w:val="en-US" w:eastAsia="zh-CN"/>
        </w:rPr>
        <w:t>评分完成期限</w:t>
      </w:r>
      <w:r>
        <w:rPr>
          <w:rFonts w:hint="eastAsia" w:ascii="微软雅黑" w:hAnsi="微软雅黑" w:eastAsia="微软雅黑"/>
          <w:lang w:val="en-US" w:eastAsia="zh-CN"/>
        </w:rPr>
        <w:t>：到期前一天未评分发送消息提醒。</w:t>
      </w:r>
    </w:p>
    <w:p>
      <w:pPr>
        <w:pStyle w:val="5"/>
        <w:rPr>
          <w:lang w:eastAsia="zh-Hans"/>
        </w:rPr>
      </w:pPr>
      <w:r>
        <w:rPr>
          <w:rFonts w:hint="eastAsia"/>
          <w:lang w:val="en-US" w:eastAsia="zh-CN"/>
        </w:rPr>
        <w:t>参评供应商</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参评供应商由考评负责人通过供应商统计报表进行导入。如下图，在参评供应商页签增加按钮“</w:t>
      </w:r>
      <w:r>
        <w:rPr>
          <w:rFonts w:hint="eastAsia" w:ascii="微软雅黑" w:hAnsi="微软雅黑" w:eastAsia="微软雅黑"/>
          <w:b/>
          <w:bCs/>
          <w:lang w:val="en-US" w:eastAsia="zh-CN"/>
        </w:rPr>
        <w:t>合作维度导入</w:t>
      </w:r>
      <w:r>
        <w:rPr>
          <w:rFonts w:hint="eastAsia" w:ascii="微软雅黑" w:hAnsi="微软雅黑" w:eastAsia="微软雅黑"/>
          <w:lang w:val="en-US" w:eastAsia="zh-CN"/>
        </w:rPr>
        <w:t>”，选择筛选范围为“面辅料订单”/“GPO订单”。</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面辅料订单：以以下条件为过滤条件，统计供应商的</w:t>
      </w:r>
      <w:r>
        <w:rPr>
          <w:rFonts w:hint="eastAsia" w:ascii="微软雅黑" w:hAnsi="微软雅黑" w:eastAsia="微软雅黑"/>
          <w:color w:val="auto"/>
          <w:lang w:val="en-US" w:eastAsia="zh-CN"/>
        </w:rPr>
        <w:t>面辅料</w:t>
      </w:r>
      <w:r>
        <w:rPr>
          <w:rFonts w:hint="eastAsia" w:ascii="微软雅黑" w:hAnsi="微软雅黑" w:eastAsia="微软雅黑"/>
          <w:lang w:val="en-US" w:eastAsia="zh-CN"/>
        </w:rPr>
        <w:t>订单总金额：</w:t>
      </w:r>
      <w:r>
        <w:rPr>
          <w:rFonts w:hint="eastAsia" w:ascii="微软雅黑" w:hAnsi="微软雅黑" w:eastAsia="微软雅黑"/>
          <w:color w:val="0000FF"/>
          <w:lang w:val="en-US" w:eastAsia="zh-CN"/>
        </w:rPr>
        <w:t>预计到货时间（默认考评周期）、下单时间、供应商分类、采购部门、物料品类、责任部门、采购用途、季节</w:t>
      </w:r>
      <w:r>
        <w:rPr>
          <w:rFonts w:hint="eastAsia" w:ascii="微软雅黑" w:hAnsi="微软雅黑" w:eastAsia="微软雅黑"/>
          <w:lang w:val="en-US" w:eastAsia="zh-CN"/>
        </w:rPr>
        <w:t>。按照条件统计计算后，显示合作金额不为0的供应商。勾选供应商后点击“导入供应商”按钮，作为参评供应商。</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GPO订单：以下述字段为</w:t>
      </w:r>
      <w:r>
        <w:rPr>
          <w:rFonts w:hint="eastAsia" w:ascii="微软雅黑" w:hAnsi="微软雅黑" w:eastAsia="微软雅黑"/>
          <w:highlight w:val="none"/>
          <w:lang w:val="en-US" w:eastAsia="zh-CN"/>
        </w:rPr>
        <w:t>过滤条件</w:t>
      </w:r>
      <w:r>
        <w:rPr>
          <w:rFonts w:hint="eastAsia" w:ascii="微软雅黑" w:hAnsi="微软雅黑" w:eastAsia="微软雅黑"/>
          <w:lang w:val="en-US" w:eastAsia="zh-CN"/>
        </w:rPr>
        <w:t>，统计供应商的GPO订单总金额：</w:t>
      </w:r>
      <w:r>
        <w:rPr>
          <w:rFonts w:hint="eastAsia" w:ascii="微软雅黑" w:hAnsi="微软雅黑" w:eastAsia="微软雅黑"/>
          <w:color w:val="0000FF"/>
          <w:lang w:val="en-US" w:eastAsia="zh-CN"/>
        </w:rPr>
        <w:t>合同交期（默认考评周期）、出单日期、供应商分类、下单部门、采购用途、季节</w:t>
      </w:r>
      <w:r>
        <w:rPr>
          <w:rFonts w:hint="eastAsia" w:ascii="微软雅黑" w:hAnsi="微软雅黑" w:eastAsia="微软雅黑"/>
          <w:lang w:val="en-US" w:eastAsia="zh-CN"/>
        </w:rPr>
        <w:t>。</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合作维度导入参评供应商功能支持多次导入，累加参评供应商。</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同时支持新增、删除、EXCEL导入参评供应商功能。</w:t>
      </w:r>
    </w:p>
    <w:p>
      <w:pPr>
        <w:rPr>
          <w:rFonts w:hint="eastAsia" w:ascii="微软雅黑" w:hAnsi="微软雅黑" w:eastAsia="微软雅黑"/>
          <w:lang w:val="en-US" w:eastAsia="zh-CN"/>
        </w:rPr>
      </w:pPr>
      <w:r>
        <w:drawing>
          <wp:inline distT="0" distB="0" distL="114300" distR="114300">
            <wp:extent cx="6366510" cy="3119755"/>
            <wp:effectExtent l="0" t="0" r="8890" b="444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15"/>
                    <a:stretch>
                      <a:fillRect/>
                    </a:stretch>
                  </pic:blipFill>
                  <pic:spPr>
                    <a:xfrm>
                      <a:off x="0" y="0"/>
                      <a:ext cx="6366510" cy="3119755"/>
                    </a:xfrm>
                    <a:prstGeom prst="rect">
                      <a:avLst/>
                    </a:prstGeom>
                    <a:noFill/>
                    <a:ln>
                      <a:noFill/>
                    </a:ln>
                  </pic:spPr>
                </pic:pic>
              </a:graphicData>
            </a:graphic>
          </wp:inline>
        </w:drawing>
      </w:r>
    </w:p>
    <w:p>
      <w:pPr>
        <w:pStyle w:val="5"/>
      </w:pPr>
      <w:r>
        <w:rPr>
          <w:rFonts w:hint="eastAsia"/>
          <w:lang w:val="en-US" w:eastAsia="zh-CN"/>
        </w:rPr>
        <w:t>评分部门维护</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主观评分项需分配评分人/评分部门。原料主观评分人为</w:t>
      </w:r>
      <w:r>
        <w:rPr>
          <w:rFonts w:hint="eastAsia" w:ascii="微软雅黑" w:hAnsi="微软雅黑" w:eastAsia="微软雅黑"/>
          <w:color w:val="0000FF"/>
          <w:lang w:val="en-US" w:eastAsia="zh-CN"/>
        </w:rPr>
        <w:t>采购员</w:t>
      </w:r>
      <w:r>
        <w:rPr>
          <w:rFonts w:hint="eastAsia" w:ascii="微软雅黑" w:hAnsi="微软雅黑" w:eastAsia="微软雅黑"/>
          <w:lang w:val="en-US" w:eastAsia="zh-CN"/>
        </w:rPr>
        <w:t>、辅料为</w:t>
      </w:r>
      <w:r>
        <w:rPr>
          <w:rFonts w:hint="eastAsia" w:ascii="微软雅黑" w:hAnsi="微软雅黑" w:eastAsia="微软雅黑"/>
          <w:color w:val="0000FF"/>
          <w:lang w:val="en-US" w:eastAsia="zh-CN"/>
        </w:rPr>
        <w:t>采购员/核价员</w:t>
      </w:r>
      <w:r>
        <w:rPr>
          <w:rFonts w:hint="eastAsia" w:ascii="微软雅黑" w:hAnsi="微软雅黑" w:eastAsia="微软雅黑"/>
          <w:lang w:val="en-US" w:eastAsia="zh-CN"/>
        </w:rPr>
        <w:t>、成衣为</w:t>
      </w:r>
      <w:r>
        <w:rPr>
          <w:rFonts w:hint="eastAsia" w:ascii="微软雅黑" w:hAnsi="微软雅黑" w:eastAsia="微软雅黑"/>
          <w:color w:val="0000FF"/>
          <w:lang w:val="en-US" w:eastAsia="zh-CN"/>
        </w:rPr>
        <w:t>QA/业务员/核价员</w:t>
      </w:r>
      <w:r>
        <w:rPr>
          <w:rFonts w:hint="eastAsia" w:ascii="微软雅黑" w:hAnsi="微软雅黑" w:eastAsia="微软雅黑"/>
          <w:lang w:val="en-US" w:eastAsia="zh-CN"/>
        </w:rPr>
        <w:t>。供管发布评分至各采购经理/产品经理/品管负责人/核价经理，由部门负责人转交至采购员/业务员/QA/核价员进行评分。</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评分明细页增加“</w:t>
      </w:r>
      <w:r>
        <w:rPr>
          <w:rFonts w:hint="eastAsia" w:ascii="微软雅黑" w:hAnsi="微软雅黑" w:eastAsia="微软雅黑"/>
          <w:b/>
          <w:bCs/>
          <w:lang w:val="en-US" w:eastAsia="zh-CN"/>
        </w:rPr>
        <w:t>批量导入评分部门</w:t>
      </w:r>
      <w:r>
        <w:rPr>
          <w:rFonts w:hint="eastAsia" w:ascii="微软雅黑" w:hAnsi="微软雅黑" w:eastAsia="微软雅黑"/>
          <w:lang w:val="en-US" w:eastAsia="zh-CN"/>
        </w:rPr>
        <w:t>”功能，触发该功能后，由供管确定评分部门范围，系统自动带出在考评期间内，跟供应商有过合作的采购部门/产品部的部门经理，导入后显示在评分人列，多个评分人时，权重平均分布。</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同时支持手动维护评分人、批量编辑评分人功能。</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评分人为品管/核价员时，手动筛选考评指标后批量编辑评分人。</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分配评分人后，“评分人”列自动显示评分人名称，没有评分人时显示“评分人信息”，且标红显示。</w:t>
      </w:r>
    </w:p>
    <w:p>
      <w:pPr>
        <w:rPr>
          <w:rFonts w:hint="default" w:ascii="微软雅黑" w:hAnsi="微软雅黑" w:eastAsia="微软雅黑"/>
          <w:lang w:val="en-US" w:eastAsia="zh-CN"/>
        </w:rPr>
      </w:pPr>
      <w:r>
        <w:drawing>
          <wp:inline distT="0" distB="0" distL="114300" distR="114300">
            <wp:extent cx="6367780" cy="4648200"/>
            <wp:effectExtent l="0" t="0" r="762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6367780" cy="4648200"/>
                    </a:xfrm>
                    <a:prstGeom prst="rect">
                      <a:avLst/>
                    </a:prstGeom>
                    <a:noFill/>
                    <a:ln>
                      <a:noFill/>
                    </a:ln>
                  </pic:spPr>
                </pic:pic>
              </a:graphicData>
            </a:graphic>
          </wp:inline>
        </w:drawing>
      </w:r>
    </w:p>
    <w:p>
      <w:pPr>
        <w:numPr>
          <w:ilvl w:val="0"/>
          <w:numId w:val="0"/>
        </w:numPr>
      </w:pPr>
    </w:p>
    <w:p>
      <w:pPr>
        <w:pStyle w:val="5"/>
        <w:rPr>
          <w:rFonts w:hint="eastAsia"/>
          <w:lang w:val="en-US" w:eastAsia="zh-CN"/>
        </w:rPr>
      </w:pPr>
      <w:r>
        <w:rPr>
          <w:rFonts w:hint="eastAsia"/>
          <w:lang w:val="en-US" w:eastAsia="zh-CN"/>
        </w:rPr>
        <w:t>客观指标报表</w:t>
      </w:r>
    </w:p>
    <w:p>
      <w:pPr>
        <w:numPr>
          <w:ilvl w:val="0"/>
          <w:numId w:val="0"/>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参评供应商维护完成后，可点击“</w:t>
      </w:r>
      <w:r>
        <w:rPr>
          <w:rFonts w:hint="eastAsia" w:ascii="微软雅黑" w:hAnsi="微软雅黑" w:eastAsia="微软雅黑"/>
          <w:b/>
          <w:bCs/>
          <w:lang w:val="en-US" w:eastAsia="zh-CN"/>
        </w:rPr>
        <w:t>数据统计</w:t>
      </w:r>
      <w:r>
        <w:rPr>
          <w:rFonts w:hint="eastAsia" w:ascii="微软雅黑" w:hAnsi="微软雅黑" w:eastAsia="微软雅黑"/>
          <w:lang w:val="en-US" w:eastAsia="zh-CN"/>
        </w:rPr>
        <w:t>”按钮，点击后触发定时任务，在当天晚上2点系统自动进行数据统计，生成客观指标的数据报表并记录，即点击数据统计后第二天生成客观指标报表，然后才允许发起评审。后续客观指标评分以该份数据为基准，分发给采购员/产品部查看时对报表的部分数据做权限控制。</w:t>
      </w:r>
    </w:p>
    <w:p>
      <w:pPr>
        <w:numPr>
          <w:ilvl w:val="0"/>
          <w:numId w:val="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生成数据后，点击“数据查看”可查看统计总表，评分汇总行上点击“查看数据”，以各个供应商的维度分别查看明细数据。</w:t>
      </w:r>
    </w:p>
    <w:p>
      <w:pPr>
        <w:numPr>
          <w:ilvl w:val="0"/>
          <w:numId w:val="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生成客观指标数据报表后，允许变更参评供应商，但变更后需重新生成客观指标。</w:t>
      </w:r>
    </w:p>
    <w:p>
      <w:pPr>
        <w:numPr>
          <w:ilvl w:val="0"/>
          <w:numId w:val="0"/>
        </w:numPr>
      </w:pPr>
      <w:r>
        <w:drawing>
          <wp:inline distT="0" distB="0" distL="114300" distR="114300">
            <wp:extent cx="6363335" cy="3096895"/>
            <wp:effectExtent l="0" t="0" r="1206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6363335" cy="3096895"/>
                    </a:xfrm>
                    <a:prstGeom prst="rect">
                      <a:avLst/>
                    </a:prstGeom>
                    <a:noFill/>
                    <a:ln>
                      <a:noFill/>
                    </a:ln>
                  </pic:spPr>
                </pic:pic>
              </a:graphicData>
            </a:graphic>
          </wp:inline>
        </w:drawing>
      </w:r>
    </w:p>
    <w:p>
      <w:pPr>
        <w:numPr>
          <w:ilvl w:val="0"/>
          <w:numId w:val="0"/>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客观指标与评分指标关联，评分模板选择不同的评分指标时，数据报表自动统计并显示不同指标。如供应商维度，原料考评模板对应报表样式如下图：</w:t>
      </w:r>
    </w:p>
    <w:p>
      <w:pPr>
        <w:numPr>
          <w:ilvl w:val="0"/>
          <w:numId w:val="0"/>
        </w:numPr>
        <w:rPr>
          <w:rFonts w:hint="default" w:ascii="微软雅黑" w:hAnsi="微软雅黑" w:eastAsia="微软雅黑"/>
          <w:lang w:val="en-US" w:eastAsia="zh-CN"/>
        </w:rPr>
      </w:pPr>
      <w:r>
        <w:drawing>
          <wp:inline distT="0" distB="0" distL="114300" distR="114300">
            <wp:extent cx="6367780" cy="1675130"/>
            <wp:effectExtent l="0" t="0" r="7620" b="12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8"/>
                    <a:stretch>
                      <a:fillRect/>
                    </a:stretch>
                  </pic:blipFill>
                  <pic:spPr>
                    <a:xfrm>
                      <a:off x="0" y="0"/>
                      <a:ext cx="6367780" cy="1675130"/>
                    </a:xfrm>
                    <a:prstGeom prst="rect">
                      <a:avLst/>
                    </a:prstGeom>
                    <a:noFill/>
                    <a:ln>
                      <a:noFill/>
                    </a:ln>
                  </pic:spPr>
                </pic:pic>
              </a:graphicData>
            </a:graphic>
          </wp:inline>
        </w:drawing>
      </w:r>
    </w:p>
    <w:p>
      <w:pPr>
        <w:numPr>
          <w:ilvl w:val="0"/>
          <w:numId w:val="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对于指标中容易变动的值设参数，如订单类型、阶段比例。</w:t>
      </w:r>
    </w:p>
    <w:p>
      <w:pPr>
        <w:pStyle w:val="5"/>
        <w:rPr>
          <w:rFonts w:hint="eastAsia"/>
          <w:lang w:val="en-US" w:eastAsia="zh-CN"/>
        </w:rPr>
      </w:pPr>
      <w:r>
        <w:rPr>
          <w:rFonts w:hint="eastAsia"/>
          <w:lang w:val="en-US" w:eastAsia="zh-CN"/>
        </w:rPr>
        <w:t>发起评审</w:t>
      </w:r>
    </w:p>
    <w:p>
      <w:pPr>
        <w:numPr>
          <w:ilvl w:val="0"/>
          <w:numId w:val="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生成报表后，发起人点击“执行评分”按钮（数据统计未完成时不可点击），各评分负责人将收到消息通知（站内、企微），进行分配评分流程。</w:t>
      </w:r>
    </w:p>
    <w:p>
      <w:pPr>
        <w:pStyle w:val="5"/>
        <w:rPr>
          <w:rFonts w:hint="default"/>
          <w:lang w:val="en-US" w:eastAsia="zh-CN"/>
        </w:rPr>
      </w:pPr>
      <w:r>
        <w:rPr>
          <w:rFonts w:hint="eastAsia"/>
          <w:lang w:val="en-US" w:eastAsia="zh-CN"/>
        </w:rPr>
        <w:t>权限控制</w:t>
      </w:r>
    </w:p>
    <w:p>
      <w:pPr>
        <w:numPr>
          <w:ilvl w:val="0"/>
          <w:numId w:val="0"/>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“考评档案管理”页面权限通过角色控制，开放给供管专员/考评负责人角色。</w:t>
      </w:r>
    </w:p>
    <w:p>
      <w:pPr>
        <w:numPr>
          <w:ilvl w:val="0"/>
          <w:numId w:val="0"/>
        </w:numPr>
        <w:rPr>
          <w:rFonts w:hint="default" w:ascii="微软雅黑" w:hAnsi="微软雅黑" w:eastAsia="微软雅黑"/>
          <w:lang w:val="en-US" w:eastAsia="zh-CN"/>
        </w:rPr>
      </w:pPr>
    </w:p>
    <w:p>
      <w:pPr>
        <w:pStyle w:val="4"/>
      </w:pPr>
      <w:bookmarkStart w:id="41" w:name="_Toc25556"/>
      <w:r>
        <w:rPr>
          <w:rFonts w:hint="eastAsia"/>
          <w:lang w:val="en-US" w:eastAsia="zh-CN"/>
        </w:rPr>
        <w:t>考评评分</w:t>
      </w:r>
      <w:bookmarkEnd w:id="41"/>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：采购经理&amp;采购员、产品经理&amp;业务员、QA、核价员；</w:t>
      </w:r>
    </w:p>
    <w:p>
      <w:p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：部门负责人在“绩效评分分配”页面操作；评分人（采购员/业务员/QA/核价员）在“考评档案填制”页面操作。</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发起供应商绩效考评并发布评分后，</w:t>
      </w:r>
      <w:r>
        <w:rPr>
          <w:rFonts w:hint="eastAsia" w:ascii="微软雅黑" w:hAnsi="微软雅黑" w:eastAsia="微软雅黑"/>
          <w:color w:val="0000FF"/>
          <w:lang w:val="en-US" w:eastAsia="zh-CN"/>
        </w:rPr>
        <w:t>采购经理/产品经理/品管负责人/核价经理</w:t>
      </w:r>
      <w:r>
        <w:rPr>
          <w:rFonts w:hint="eastAsia" w:ascii="微软雅黑" w:hAnsi="微软雅黑" w:eastAsia="微软雅黑"/>
          <w:lang w:val="en-US" w:eastAsia="zh-CN"/>
        </w:rPr>
        <w:t>分配评分，</w:t>
      </w:r>
      <w:r>
        <w:rPr>
          <w:rFonts w:hint="eastAsia" w:ascii="微软雅黑" w:hAnsi="微软雅黑" w:eastAsia="微软雅黑"/>
          <w:color w:val="0000FF"/>
          <w:lang w:val="en-US" w:eastAsia="zh-CN"/>
        </w:rPr>
        <w:t>采购员/业务员/QA/核价员</w:t>
      </w:r>
      <w:r>
        <w:rPr>
          <w:rFonts w:hint="eastAsia" w:ascii="微软雅黑" w:hAnsi="微软雅黑" w:eastAsia="微软雅黑"/>
          <w:lang w:val="en-US" w:eastAsia="zh-CN"/>
        </w:rPr>
        <w:t>在系统执行评分，由</w:t>
      </w:r>
      <w:r>
        <w:rPr>
          <w:rFonts w:hint="eastAsia" w:ascii="微软雅黑" w:hAnsi="微软雅黑" w:eastAsia="微软雅黑"/>
          <w:color w:val="0000FF"/>
          <w:lang w:val="en-US" w:eastAsia="zh-CN"/>
        </w:rPr>
        <w:t>采购员/业务员/QA</w:t>
      </w:r>
      <w:r>
        <w:rPr>
          <w:rFonts w:hint="eastAsia" w:ascii="微软雅黑" w:hAnsi="微软雅黑" w:eastAsia="微软雅黑"/>
          <w:lang w:val="en-US" w:eastAsia="zh-CN"/>
        </w:rPr>
        <w:t>填写优劣势分析及供应商能力标签。</w:t>
      </w:r>
    </w:p>
    <w:p>
      <w:pPr>
        <w:pStyle w:val="5"/>
        <w:rPr>
          <w:rFonts w:hint="default"/>
          <w:lang w:val="en-US" w:eastAsia="zh-CN"/>
        </w:rPr>
      </w:pPr>
      <w:r>
        <w:rPr>
          <w:rFonts w:hint="eastAsia"/>
          <w:lang w:val="en-US" w:eastAsia="zh-CN"/>
        </w:rPr>
        <w:t>自动评分</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供管点击“执行评分”后，系统根据模板配置自动计算供应商客观指标的得分情况。在供管汇总评分后，可查看供应商客观指标得分情况。</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客观指标评分以报表数据为基础，通过评分模板配置（公式固定，阶梯点和分值可作为参数配置）。</w:t>
      </w:r>
    </w:p>
    <w:p>
      <w:pPr>
        <w:pStyle w:val="5"/>
        <w:rPr>
          <w:rFonts w:hint="default"/>
          <w:lang w:val="en-US" w:eastAsia="zh-CN"/>
        </w:rPr>
      </w:pPr>
      <w:r>
        <w:rPr>
          <w:rFonts w:hint="eastAsia"/>
          <w:lang w:val="en-US" w:eastAsia="zh-CN"/>
        </w:rPr>
        <w:t>手动评分</w:t>
      </w:r>
    </w:p>
    <w:p>
      <w:pPr>
        <w:numPr>
          <w:ilvl w:val="0"/>
          <w:numId w:val="6"/>
        </w:num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分配评分人</w:t>
      </w:r>
      <w:r>
        <w:rPr>
          <w:rFonts w:hint="eastAsia" w:ascii="微软雅黑" w:hAnsi="微软雅黑" w:eastAsia="微软雅黑"/>
          <w:lang w:val="en-US" w:eastAsia="zh-CN"/>
        </w:rPr>
        <w:t>：负责人（采购经理/产品经理/品管部负责人/核价经理）收到消息提醒后，在“绩效评分分配”页面分配评分人，可手动维护/批量编辑评分人，也可通过“</w:t>
      </w:r>
      <w:r>
        <w:rPr>
          <w:rFonts w:hint="eastAsia" w:ascii="微软雅黑" w:hAnsi="微软雅黑" w:eastAsia="微软雅黑"/>
          <w:color w:val="0000FF"/>
          <w:lang w:val="en-US" w:eastAsia="zh-CN"/>
        </w:rPr>
        <w:t>订单维度导入评分人</w:t>
      </w:r>
      <w:r>
        <w:rPr>
          <w:rFonts w:hint="eastAsia" w:ascii="微软雅黑" w:hAnsi="微软雅黑" w:eastAsia="微软雅黑"/>
          <w:lang w:val="en-US" w:eastAsia="zh-CN"/>
        </w:rPr>
        <w:t>”功能，选择需要导入的评分人部门以及数量，点击“确定”后，系统自动带出评分人。</w:t>
      </w:r>
    </w:p>
    <w:p>
      <w:pPr>
        <w:numPr>
          <w:ilvl w:val="0"/>
          <w:numId w:val="0"/>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自动带出逻辑：统计当前考评期间内，采购员/业务员对该家供应商的下单金额，并按金额大小进行排序，默认带出同部门内，下单总金额最高的一位或两位在职的采购员/业务员。</w:t>
      </w:r>
    </w:p>
    <w:p>
      <w:pPr>
        <w:numPr>
          <w:ilvl w:val="0"/>
          <w:numId w:val="0"/>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其中评分人数量选择“1”时权重置灰，默认100%；评分人数量选择“2”时，需维护权重，默认为50%。</w:t>
      </w:r>
    </w:p>
    <w:p>
      <w:pPr>
        <w:numPr>
          <w:ilvl w:val="0"/>
          <w:numId w:val="0"/>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增加“</w:t>
      </w:r>
      <w:r>
        <w:rPr>
          <w:rFonts w:hint="eastAsia" w:ascii="微软雅黑" w:hAnsi="微软雅黑" w:eastAsia="微软雅黑"/>
          <w:color w:val="0000FF"/>
          <w:lang w:val="en-US" w:eastAsia="zh-CN"/>
        </w:rPr>
        <w:t>验货维度导入评分人</w:t>
      </w:r>
      <w:r>
        <w:rPr>
          <w:rFonts w:hint="eastAsia" w:ascii="微软雅黑" w:hAnsi="微软雅黑" w:eastAsia="微软雅黑"/>
          <w:lang w:val="en-US" w:eastAsia="zh-CN"/>
        </w:rPr>
        <w:t>”功能，统计供应商验货报告，以当前考评周期内验货次数最多的QA为默认评分人，取到多个QA时都带出，权重平均分配。</w:t>
      </w:r>
    </w:p>
    <w:p>
      <w:pPr>
        <w:numPr>
          <w:ilvl w:val="0"/>
          <w:numId w:val="0"/>
        </w:numPr>
        <w:rPr>
          <w:rFonts w:hint="default" w:ascii="微软雅黑" w:hAnsi="微软雅黑" w:eastAsia="微软雅黑"/>
          <w:lang w:val="en-US" w:eastAsia="zh-CN"/>
        </w:rPr>
      </w:pPr>
      <w:r>
        <w:drawing>
          <wp:inline distT="0" distB="0" distL="114300" distR="114300">
            <wp:extent cx="6366510" cy="4514850"/>
            <wp:effectExtent l="0" t="0" r="8890" b="635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6366510" cy="4514850"/>
                    </a:xfrm>
                    <a:prstGeom prst="rect">
                      <a:avLst/>
                    </a:prstGeom>
                    <a:noFill/>
                    <a:ln>
                      <a:noFill/>
                    </a:ln>
                  </pic:spPr>
                </pic:pic>
              </a:graphicData>
            </a:graphic>
          </wp:inline>
        </w:drawing>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2、评分</w:t>
      </w:r>
      <w:r>
        <w:rPr>
          <w:rFonts w:hint="eastAsia" w:ascii="微软雅黑" w:hAnsi="微软雅黑" w:eastAsia="微软雅黑"/>
          <w:lang w:val="en-US" w:eastAsia="zh-CN"/>
        </w:rPr>
        <w:t>：负责人发布评分后，采购员/业务员/QA收到消息提醒，至考评档案填制页面填写得分情况，评分人只能看到需要其评分的供应商及指标。评分页面如下，供应商合并单元格/分颜色区分显示。</w:t>
      </w:r>
    </w:p>
    <w:p>
      <w:pPr>
        <w:numPr>
          <w:ilvl w:val="0"/>
          <w:numId w:val="0"/>
        </w:numPr>
        <w:rPr>
          <w:rFonts w:hint="eastAsia" w:ascii="微软雅黑" w:hAnsi="微软雅黑" w:eastAsia="微软雅黑"/>
          <w:lang w:val="en-US" w:eastAsia="zh-CN"/>
        </w:rPr>
      </w:pPr>
      <w:r>
        <w:drawing>
          <wp:inline distT="0" distB="0" distL="114300" distR="114300">
            <wp:extent cx="6364605" cy="2947670"/>
            <wp:effectExtent l="0" t="0" r="10795" b="1143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0"/>
                    <a:stretch>
                      <a:fillRect/>
                    </a:stretch>
                  </pic:blipFill>
                  <pic:spPr>
                    <a:xfrm>
                      <a:off x="0" y="0"/>
                      <a:ext cx="6364605" cy="2947670"/>
                    </a:xfrm>
                    <a:prstGeom prst="rect">
                      <a:avLst/>
                    </a:prstGeom>
                    <a:noFill/>
                    <a:ln>
                      <a:noFill/>
                    </a:ln>
                  </pic:spPr>
                </pic:pic>
              </a:graphicData>
            </a:graphic>
          </wp:inline>
        </w:drawing>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3、评分审核</w:t>
      </w:r>
      <w:r>
        <w:rPr>
          <w:rFonts w:hint="eastAsia" w:ascii="微软雅黑" w:hAnsi="微软雅黑" w:eastAsia="微软雅黑"/>
          <w:lang w:val="en-US" w:eastAsia="zh-CN"/>
        </w:rPr>
        <w:t>：分发后的评分人都提交评分后，由负责人在“绩效评分分配”页面进行审核，审核过程中可对供应商的指标评分进行调整，确认后提交至供管汇总，供管只显示调整后的部门评分。</w:t>
      </w:r>
    </w:p>
    <w:p>
      <w:r>
        <w:drawing>
          <wp:inline distT="0" distB="0" distL="114300" distR="114300">
            <wp:extent cx="6364605" cy="4316095"/>
            <wp:effectExtent l="0" t="0" r="10795" b="190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1"/>
                    <a:stretch>
                      <a:fillRect/>
                    </a:stretch>
                  </pic:blipFill>
                  <pic:spPr>
                    <a:xfrm>
                      <a:off x="0" y="0"/>
                      <a:ext cx="6364605" cy="4316095"/>
                    </a:xfrm>
                    <a:prstGeom prst="rect">
                      <a:avLst/>
                    </a:prstGeom>
                    <a:noFill/>
                    <a:ln>
                      <a:noFill/>
                    </a:ln>
                  </pic:spPr>
                </pic:pic>
              </a:graphicData>
            </a:graphic>
          </wp:inline>
        </w:drawing>
      </w:r>
    </w:p>
    <w:p>
      <w:pPr>
        <w:rPr>
          <w:rFonts w:hint="default"/>
          <w:lang w:val="en-US" w:eastAsia="zh-CN"/>
        </w:rPr>
      </w:pPr>
    </w:p>
    <w:p>
      <w:pPr>
        <w:pStyle w:val="5"/>
        <w:rPr>
          <w:rFonts w:hint="default"/>
          <w:lang w:val="en-US" w:eastAsia="zh-CN"/>
        </w:rPr>
      </w:pPr>
      <w:r>
        <w:rPr>
          <w:rFonts w:hint="eastAsia"/>
          <w:lang w:val="en-US" w:eastAsia="zh-CN"/>
        </w:rPr>
        <w:t>优劣势分析</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评分人在进行评分时，需填写供应商的优劣势，并选择供应商能力标签；系统根据考评模板及评分部门，默认带出该供应商最近一次考评记录的优劣势及供应商能力标签。原线下评分的优劣势需进行初始化批量导入。</w:t>
      </w:r>
    </w:p>
    <w:p>
      <w:p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优劣势分析</w:t>
      </w:r>
      <w:r>
        <w:rPr>
          <w:rFonts w:hint="eastAsia" w:ascii="微软雅黑" w:hAnsi="微软雅黑" w:eastAsia="微软雅黑"/>
          <w:lang w:val="en-US" w:eastAsia="zh-CN"/>
        </w:rPr>
        <w:t>：发起考评时由供管选择优劣势参评部门，评分时进行权限控制，当评分人部门为该参评部门时，显示“优劣势分析”页签。优劣势文本框设置为高度可拖动的悬浮框。</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供应商能力标签</w:t>
      </w:r>
      <w:r>
        <w:rPr>
          <w:rFonts w:hint="eastAsia" w:ascii="微软雅黑" w:hAnsi="微软雅黑" w:eastAsia="微软雅黑"/>
          <w:lang w:val="en-US" w:eastAsia="zh-CN"/>
        </w:rPr>
        <w:t>：评分人针对供应商选择供应商能力标签或对供应商能力标签修改重点标识，可多选，系统默认带出供应商最新的能力标签。</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采购员/业务员点击指标数据查看列“查看数据”按钮，可查看该供应商的相关指标数据。查看数据权限按采购部门区分，即各采购部门评分人只能看到自己部门行数据。</w:t>
      </w:r>
    </w:p>
    <w:p>
      <w:r>
        <w:drawing>
          <wp:inline distT="0" distB="0" distL="114300" distR="114300">
            <wp:extent cx="6367780" cy="2871470"/>
            <wp:effectExtent l="0" t="0" r="7620" b="1143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2"/>
                    <a:stretch>
                      <a:fillRect/>
                    </a:stretch>
                  </pic:blipFill>
                  <pic:spPr>
                    <a:xfrm>
                      <a:off x="0" y="0"/>
                      <a:ext cx="6367780" cy="2871470"/>
                    </a:xfrm>
                    <a:prstGeom prst="rect">
                      <a:avLst/>
                    </a:prstGeom>
                    <a:noFill/>
                    <a:ln>
                      <a:noFill/>
                    </a:ln>
                  </pic:spPr>
                </pic:pic>
              </a:graphicData>
            </a:graphic>
          </wp:inline>
        </w:drawing>
      </w:r>
    </w:p>
    <w:p>
      <w:pPr>
        <w:rPr>
          <w:rFonts w:hint="eastAsia"/>
          <w:lang w:val="zh-CN" w:eastAsia="zh-CN"/>
        </w:rPr>
      </w:pPr>
    </w:p>
    <w:p>
      <w:pPr>
        <w:pStyle w:val="5"/>
        <w:rPr>
          <w:rFonts w:hint="default"/>
          <w:lang w:val="en-US" w:eastAsia="zh-CN"/>
        </w:rPr>
      </w:pPr>
      <w:r>
        <w:rPr>
          <w:rFonts w:hint="eastAsia"/>
          <w:lang w:val="en-US" w:eastAsia="zh-CN"/>
        </w:rPr>
        <w:t>权限控制</w:t>
      </w:r>
    </w:p>
    <w:p>
      <w:pPr>
        <w:numPr>
          <w:ilvl w:val="0"/>
          <w:numId w:val="7"/>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所有评分人（采购员、业务员、核价员、QA）在“考评档案填制”页面进行评分并填写优劣势分析；</w:t>
      </w:r>
    </w:p>
    <w:p>
      <w:pPr>
        <w:numPr>
          <w:ilvl w:val="0"/>
          <w:numId w:val="7"/>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评分人只能看到自己负责的供应商及评分项；</w:t>
      </w:r>
    </w:p>
    <w:p>
      <w:pPr>
        <w:numPr>
          <w:ilvl w:val="0"/>
          <w:numId w:val="7"/>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优劣势参评部门下的评分人才可看到优劣势分析页签；</w:t>
      </w:r>
    </w:p>
    <w:p>
      <w:pPr>
        <w:numPr>
          <w:ilvl w:val="0"/>
          <w:numId w:val="7"/>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指标数据查看列，业务员分采购部门查看。</w:t>
      </w:r>
    </w:p>
    <w:p>
      <w:pPr>
        <w:pStyle w:val="4"/>
        <w:rPr>
          <w:rFonts w:hint="default"/>
          <w:lang w:val="en-US" w:eastAsia="zh-CN"/>
        </w:rPr>
      </w:pPr>
      <w:bookmarkStart w:id="42" w:name="_Toc21405"/>
      <w:r>
        <w:rPr>
          <w:rFonts w:hint="eastAsia"/>
          <w:lang w:val="en-US" w:eastAsia="zh-CN"/>
        </w:rPr>
        <w:t>评分汇总</w:t>
      </w:r>
      <w:bookmarkEnd w:id="42"/>
    </w:p>
    <w:p>
      <w:pPr>
        <w:ind w:firstLine="420" w:firstLineChars="200"/>
        <w:rPr>
          <w:rFonts w:hint="eastAsia"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：考评负责人</w:t>
      </w:r>
    </w:p>
    <w:p>
      <w:pPr>
        <w:ind w:firstLine="420" w:firstLineChars="200"/>
        <w:rPr>
          <w:rFonts w:hint="eastAsia" w:ascii="微软雅黑" w:hAnsi="微软雅黑" w:eastAsia="微软雅黑"/>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：考评档案管理</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所有主观评分完成后，将发送消息通知给考评负责人（供管），发起人在“考评档案管理”页面进行评分汇总。</w:t>
      </w:r>
    </w:p>
    <w:p>
      <w:pPr>
        <w:pStyle w:val="5"/>
        <w:rPr>
          <w:rFonts w:hint="default"/>
          <w:lang w:val="en-US" w:eastAsia="zh-CN"/>
        </w:rPr>
      </w:pPr>
      <w:r>
        <w:rPr>
          <w:rFonts w:hint="eastAsia"/>
          <w:lang w:val="en-US" w:eastAsia="zh-CN"/>
        </w:rPr>
        <w:t>加权系数</w:t>
      </w:r>
    </w:p>
    <w:p>
      <w:pPr>
        <w:numPr>
          <w:ilvl w:val="0"/>
          <w:numId w:val="0"/>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评分完成后，由供管调整供应商的加权系数。加权系数默认为1，辅料和成衣无需调整，供管直接点击“汇总统计”计算总分；原料供管点击“加权系统统计”按钮，系统根据供应商批次数，计算加权系数。汇总统计时，指标总分乘以加权系数得到“汇总得分”。</w:t>
      </w:r>
    </w:p>
    <w:p>
      <w:pPr>
        <w:numPr>
          <w:ilvl w:val="0"/>
          <w:numId w:val="0"/>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加权系数与批次数对应关系，由系统管理员通过值集进行配置。</w:t>
      </w:r>
    </w:p>
    <w:p>
      <w:pPr>
        <w:numPr>
          <w:ilvl w:val="0"/>
          <w:numId w:val="0"/>
        </w:numPr>
        <w:rPr>
          <w:rFonts w:hint="default" w:ascii="微软雅黑" w:hAnsi="微软雅黑" w:eastAsia="微软雅黑"/>
          <w:lang w:val="en-US" w:eastAsia="zh-CN"/>
        </w:rPr>
      </w:pPr>
      <w:r>
        <w:drawing>
          <wp:inline distT="0" distB="0" distL="114300" distR="114300">
            <wp:extent cx="6366510" cy="3146425"/>
            <wp:effectExtent l="0" t="0" r="8890" b="317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23"/>
                    <a:stretch>
                      <a:fillRect/>
                    </a:stretch>
                  </pic:blipFill>
                  <pic:spPr>
                    <a:xfrm>
                      <a:off x="0" y="0"/>
                      <a:ext cx="6366510" cy="3146425"/>
                    </a:xfrm>
                    <a:prstGeom prst="rect">
                      <a:avLst/>
                    </a:prstGeom>
                    <a:noFill/>
                    <a:ln>
                      <a:noFill/>
                    </a:ln>
                  </pic:spPr>
                </pic:pic>
              </a:graphicData>
            </a:graphic>
          </wp:inline>
        </w:drawing>
      </w:r>
    </w:p>
    <w:p>
      <w:pPr>
        <w:numPr>
          <w:ilvl w:val="0"/>
          <w:numId w:val="0"/>
        </w:numPr>
        <w:rPr>
          <w:rFonts w:hint="default" w:ascii="微软雅黑" w:hAnsi="微软雅黑" w:eastAsia="微软雅黑"/>
          <w:lang w:val="en-US" w:eastAsia="zh-CN"/>
        </w:rPr>
      </w:pPr>
    </w:p>
    <w:p>
      <w:pPr>
        <w:pStyle w:val="5"/>
        <w:rPr>
          <w:rFonts w:hint="default"/>
          <w:lang w:val="en-US" w:eastAsia="zh-CN"/>
        </w:rPr>
      </w:pPr>
      <w:r>
        <w:rPr>
          <w:rFonts w:hint="eastAsia"/>
          <w:lang w:val="en-US" w:eastAsia="zh-CN"/>
        </w:rPr>
        <w:t>汇总评分及优劣势</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考评负责人点击“汇总统计”后，系统自动汇总客观评分和主观评分，得出总分，并根据总分得到等级（A/B/C/D/E）、考评排名、初步建议策略（</w:t>
      </w:r>
      <w:r>
        <w:rPr>
          <w:rFonts w:hint="eastAsia" w:ascii="微软雅黑" w:hAnsi="微软雅黑" w:eastAsia="微软雅黑"/>
          <w:strike w:val="0"/>
          <w:dstrike w:val="0"/>
          <w:sz w:val="21"/>
          <w:highlight w:val="none"/>
          <w:lang w:val="en-US" w:eastAsia="zh-CN"/>
        </w:rPr>
        <w:t>减量/增量/维持/</w:t>
      </w:r>
      <w:r>
        <w:rPr>
          <w:rFonts w:hint="eastAsia" w:ascii="微软雅黑" w:hAnsi="微软雅黑" w:eastAsia="微软雅黑"/>
          <w:lang w:val="en-US" w:eastAsia="zh-CN"/>
        </w:rPr>
        <w:t>冻结/黑名单）。等级可在评分模板上进行配置，由考评得分决定。建议策略系统默认为“维持”，可由供管进行调整。</w:t>
      </w:r>
    </w:p>
    <w:p>
      <w:pPr>
        <w:numPr>
          <w:ilvl w:val="0"/>
          <w:numId w:val="8"/>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汇总优劣势：汇总评分后，供管可汇总/修改供应商的优劣势，点击“优劣势明细查看”，可查看各评分人所填写的优劣势，同时对优劣势进行汇总，若只有一位评分人填写，自动带出该评分人填写的优劣势，供管可进行编辑/修改。若</w:t>
      </w:r>
      <w:r>
        <w:rPr>
          <w:rFonts w:hint="eastAsia" w:ascii="微软雅黑" w:hAnsi="微软雅黑" w:eastAsia="微软雅黑"/>
          <w:color w:val="0000FF"/>
          <w:lang w:val="en-US" w:eastAsia="zh-CN"/>
        </w:rPr>
        <w:t>有多个评分人，优劣势自动带出上一次的优劣势记录</w:t>
      </w:r>
      <w:r>
        <w:rPr>
          <w:rFonts w:hint="eastAsia" w:ascii="微软雅黑" w:hAnsi="微软雅黑" w:eastAsia="微软雅黑"/>
          <w:lang w:val="en-US" w:eastAsia="zh-CN"/>
        </w:rPr>
        <w:t>，由供管手动汇总修改。列表页面平铺显示汇总后的优劣势；</w:t>
      </w:r>
    </w:p>
    <w:p>
      <w:pPr>
        <w:numPr>
          <w:ilvl w:val="0"/>
          <w:numId w:val="8"/>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供应商360上在关联业务单据列表中显示汇总后的优劣势；</w:t>
      </w:r>
    </w:p>
    <w:p>
      <w:pPr>
        <w:numPr>
          <w:ilvl w:val="0"/>
          <w:numId w:val="8"/>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供应商能力标签：系统自动汇总，取所有评分人填写的并集，供管可以修改；</w:t>
      </w:r>
    </w:p>
    <w:p>
      <w:pPr>
        <w:numPr>
          <w:ilvl w:val="0"/>
          <w:numId w:val="8"/>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建议策略：包括</w:t>
      </w:r>
      <w:r>
        <w:rPr>
          <w:rFonts w:hint="eastAsia" w:ascii="微软雅黑" w:hAnsi="微软雅黑" w:eastAsia="微软雅黑"/>
          <w:strike w:val="0"/>
          <w:dstrike w:val="0"/>
          <w:sz w:val="21"/>
          <w:highlight w:val="none"/>
          <w:lang w:val="en-US" w:eastAsia="zh-CN"/>
        </w:rPr>
        <w:t>减量/增量/维持/</w:t>
      </w:r>
      <w:r>
        <w:rPr>
          <w:rFonts w:hint="eastAsia" w:ascii="微软雅黑" w:hAnsi="微软雅黑" w:eastAsia="微软雅黑"/>
          <w:lang w:val="en-US" w:eastAsia="zh-CN"/>
        </w:rPr>
        <w:t>冻结/黑名单，默认为“维持”；</w:t>
      </w:r>
    </w:p>
    <w:p>
      <w:pPr>
        <w:numPr>
          <w:ilvl w:val="0"/>
          <w:numId w:val="8"/>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供应商关系定义：由供管维护。</w:t>
      </w:r>
    </w:p>
    <w:p>
      <w:r>
        <w:drawing>
          <wp:inline distT="0" distB="0" distL="114300" distR="114300">
            <wp:extent cx="6367145" cy="2829560"/>
            <wp:effectExtent l="0" t="0" r="8255" b="254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4"/>
                    <a:stretch>
                      <a:fillRect/>
                    </a:stretch>
                  </pic:blipFill>
                  <pic:spPr>
                    <a:xfrm>
                      <a:off x="0" y="0"/>
                      <a:ext cx="6367145" cy="2829560"/>
                    </a:xfrm>
                    <a:prstGeom prst="rect">
                      <a:avLst/>
                    </a:prstGeom>
                    <a:noFill/>
                    <a:ln>
                      <a:noFill/>
                    </a:ln>
                  </pic:spPr>
                </pic:pic>
              </a:graphicData>
            </a:graphic>
          </wp:inline>
        </w:drawing>
      </w:r>
    </w:p>
    <w:p>
      <w:pPr>
        <w:rPr>
          <w:rFonts w:hint="default" w:eastAsia="等线"/>
          <w:lang w:val="en-US" w:eastAsia="zh-CN"/>
        </w:rPr>
      </w:pPr>
      <w:r>
        <w:rPr>
          <w:rFonts w:hint="eastAsia"/>
          <w:lang w:val="en-US" w:eastAsia="zh-CN"/>
        </w:rPr>
        <w:t>接后列：</w:t>
      </w:r>
    </w:p>
    <w:p>
      <w:r>
        <w:drawing>
          <wp:inline distT="0" distB="0" distL="114300" distR="114300">
            <wp:extent cx="2561590" cy="1160145"/>
            <wp:effectExtent l="0" t="0" r="3810" b="82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5"/>
                    <a:stretch>
                      <a:fillRect/>
                    </a:stretch>
                  </pic:blipFill>
                  <pic:spPr>
                    <a:xfrm>
                      <a:off x="0" y="0"/>
                      <a:ext cx="2561590" cy="1160145"/>
                    </a:xfrm>
                    <a:prstGeom prst="rect">
                      <a:avLst/>
                    </a:prstGeom>
                    <a:noFill/>
                    <a:ln>
                      <a:noFill/>
                    </a:ln>
                  </pic:spPr>
                </pic:pic>
              </a:graphicData>
            </a:graphic>
          </wp:inline>
        </w:drawing>
      </w:r>
    </w:p>
    <w:p>
      <w:pPr>
        <w:rPr>
          <w:rFonts w:hint="default" w:eastAsia="等线"/>
          <w:lang w:val="en-US" w:eastAsia="zh-CN"/>
        </w:rPr>
      </w:pPr>
      <w:r>
        <w:rPr>
          <w:rFonts w:hint="eastAsia"/>
          <w:lang w:val="en-US" w:eastAsia="zh-CN"/>
        </w:rPr>
        <w:t>优劣势明细查看弹窗：</w:t>
      </w:r>
    </w:p>
    <w:p>
      <w:pPr>
        <w:jc w:val="center"/>
      </w:pPr>
      <w:r>
        <w:drawing>
          <wp:inline distT="0" distB="0" distL="114300" distR="114300">
            <wp:extent cx="2777490" cy="2668905"/>
            <wp:effectExtent l="0" t="0" r="3810" b="1079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6"/>
                    <a:stretch>
                      <a:fillRect/>
                    </a:stretch>
                  </pic:blipFill>
                  <pic:spPr>
                    <a:xfrm>
                      <a:off x="0" y="0"/>
                      <a:ext cx="2777490" cy="2668905"/>
                    </a:xfrm>
                    <a:prstGeom prst="rect">
                      <a:avLst/>
                    </a:prstGeom>
                    <a:noFill/>
                    <a:ln>
                      <a:noFill/>
                    </a:ln>
                  </pic:spPr>
                </pic:pic>
              </a:graphicData>
            </a:graphic>
          </wp:inline>
        </w:drawing>
      </w:r>
    </w:p>
    <w:p/>
    <w:p>
      <w:pPr>
        <w:pStyle w:val="4"/>
        <w:rPr>
          <w:rFonts w:hint="default"/>
          <w:lang w:val="en-US" w:eastAsia="zh-CN"/>
        </w:rPr>
      </w:pPr>
      <w:bookmarkStart w:id="43" w:name="_Toc15746"/>
      <w:r>
        <w:rPr>
          <w:rFonts w:hint="eastAsia"/>
          <w:lang w:val="en-US" w:eastAsia="zh-CN"/>
        </w:rPr>
        <w:t>应用评级</w:t>
      </w:r>
      <w:bookmarkEnd w:id="43"/>
    </w:p>
    <w:p>
      <w:pPr>
        <w:pStyle w:val="5"/>
        <w:rPr>
          <w:rFonts w:hint="default"/>
          <w:lang w:val="en-US" w:eastAsia="zh-CN"/>
        </w:rPr>
      </w:pPr>
      <w:r>
        <w:rPr>
          <w:rFonts w:hint="eastAsia"/>
          <w:lang w:val="en-US" w:eastAsia="zh-CN"/>
        </w:rPr>
        <w:t>发布应用评级</w:t>
      </w:r>
    </w:p>
    <w:p>
      <w:p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：考评负责人；</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：考评档案管理；</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发起人汇总完成后，点击头上“发布应用评级”按钮，选择发布部门的发布范围，通知各产品经理至“考评评级反馈”页面对供应商评级结果进行反馈。</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同时通知供应链总监，可至“考评结果查询”页面查看考评初步考评结果。</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评级人确认规则：</w:t>
      </w:r>
    </w:p>
    <w:p>
      <w:pPr>
        <w:numPr>
          <w:ilvl w:val="0"/>
          <w:numId w:val="9"/>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面辅料评级人：自动带出供应商面辅料订单中的下单部门经理及责任部门经理；</w:t>
      </w:r>
    </w:p>
    <w:p>
      <w:pPr>
        <w:numPr>
          <w:ilvl w:val="0"/>
          <w:numId w:val="9"/>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成衣评级人：自动带出供应商GPO订单中所有下单部门经理</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系统按照以上规则自动带出所有的评级人，供管在发布应用评级时勾选确定评级人总体发布范围，可替换评级用户或者减少评级部门，更改后与该部门相关的供应商的评级人批量更改。</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发布应用评级时，系统会在所选部门范围内针对单个供应商进行过滤，对该供应商下过订单的部门才需进行反馈评级。</w:t>
      </w:r>
    </w:p>
    <w:p>
      <w:pPr>
        <w:rPr>
          <w:rFonts w:hint="default" w:ascii="微软雅黑" w:hAnsi="微软雅黑" w:eastAsia="微软雅黑"/>
          <w:lang w:val="en-US" w:eastAsia="zh-CN"/>
        </w:rPr>
      </w:pPr>
      <w:r>
        <w:drawing>
          <wp:inline distT="0" distB="0" distL="114300" distR="114300">
            <wp:extent cx="6371590" cy="3154680"/>
            <wp:effectExtent l="0" t="0" r="3810" b="762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7"/>
                    <a:stretch>
                      <a:fillRect/>
                    </a:stretch>
                  </pic:blipFill>
                  <pic:spPr>
                    <a:xfrm>
                      <a:off x="0" y="0"/>
                      <a:ext cx="6371590" cy="3154680"/>
                    </a:xfrm>
                    <a:prstGeom prst="rect">
                      <a:avLst/>
                    </a:prstGeom>
                    <a:noFill/>
                    <a:ln>
                      <a:noFill/>
                    </a:ln>
                  </pic:spPr>
                </pic:pic>
              </a:graphicData>
            </a:graphic>
          </wp:inline>
        </w:drawing>
      </w:r>
    </w:p>
    <w:p>
      <w:pPr>
        <w:pStyle w:val="5"/>
        <w:rPr>
          <w:rFonts w:hint="default"/>
          <w:lang w:val="en-US" w:eastAsia="zh-CN"/>
        </w:rPr>
      </w:pPr>
      <w:r>
        <w:rPr>
          <w:rFonts w:hint="eastAsia"/>
          <w:lang w:val="en-US" w:eastAsia="zh-CN"/>
        </w:rPr>
        <w:t>考评评级反馈</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：采购经理/产品经理/设计部经理</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：考评评级反馈</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采购经理/产品经理在“考评评级反馈”页面下对供应商的应用评级进行修改或调整，页面如下图。</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应用评级自动带出实际考核评级，可对应用评级进行修改；建议策略默认为“维持”，点击编辑可进行修改并确定。</w:t>
      </w:r>
    </w:p>
    <w:p>
      <w:r>
        <w:drawing>
          <wp:inline distT="0" distB="0" distL="114300" distR="114300">
            <wp:extent cx="6361430" cy="2299970"/>
            <wp:effectExtent l="0" t="0" r="1270" b="11430"/>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28"/>
                    <a:stretch>
                      <a:fillRect/>
                    </a:stretch>
                  </pic:blipFill>
                  <pic:spPr>
                    <a:xfrm>
                      <a:off x="0" y="0"/>
                      <a:ext cx="6361430" cy="2299970"/>
                    </a:xfrm>
                    <a:prstGeom prst="rect">
                      <a:avLst/>
                    </a:prstGeom>
                    <a:noFill/>
                    <a:ln>
                      <a:noFill/>
                    </a:ln>
                  </pic:spPr>
                </pic:pic>
              </a:graphicData>
            </a:graphic>
          </wp:inline>
        </w:drawing>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权限控制：</w:t>
      </w:r>
    </w:p>
    <w:p>
      <w:pPr>
        <w:numPr>
          <w:ilvl w:val="0"/>
          <w:numId w:val="10"/>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评级人只能看到并编辑合作过的供应商；</w:t>
      </w:r>
    </w:p>
    <w:p>
      <w:pPr>
        <w:numPr>
          <w:ilvl w:val="0"/>
          <w:numId w:val="1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各产品经理查看数据时只看到采购部门为其部门下的指标数据；</w:t>
      </w:r>
    </w:p>
    <w:p>
      <w:pPr>
        <w:numPr>
          <w:ilvl w:val="0"/>
          <w:numId w:val="10"/>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总得分不按部门进行区分，为汇总计算后得分。</w:t>
      </w:r>
    </w:p>
    <w:p>
      <w:pPr>
        <w:pStyle w:val="5"/>
        <w:rPr>
          <w:rFonts w:hint="default"/>
          <w:lang w:val="en-US" w:eastAsia="zh-CN"/>
        </w:rPr>
      </w:pPr>
      <w:r>
        <w:rPr>
          <w:rFonts w:hint="eastAsia"/>
          <w:lang w:val="en-US" w:eastAsia="zh-CN"/>
        </w:rPr>
        <w:t>应用评级汇总</w:t>
      </w:r>
    </w:p>
    <w:p>
      <w:p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：考评负责人</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：考评档案管理</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所有评级人考评评级提交后，发送消息通知发起人，发起人在“考评档案管理”页面汇总应用评级。建议明细中显示各部门意见，若各部门意见一致，建议策略中自动带出意见，若建议策略不一致，则不自动带出，由考评负责人线下组织共识会，达成一致后填写。建议策略/建议策略明细内为冻结、黑名单以红色字体显示；</w:t>
      </w:r>
    </w:p>
    <w:p>
      <w:pPr>
        <w:rPr>
          <w:rFonts w:hint="default" w:ascii="微软雅黑" w:hAnsi="微软雅黑" w:eastAsia="微软雅黑"/>
          <w:lang w:val="en-US" w:eastAsia="zh-CN"/>
        </w:rPr>
      </w:pPr>
      <w:r>
        <w:drawing>
          <wp:inline distT="0" distB="0" distL="114300" distR="114300">
            <wp:extent cx="6363970" cy="2673985"/>
            <wp:effectExtent l="0" t="0" r="11430" b="5715"/>
            <wp:docPr id="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pic:cNvPicPr>
                      <a:picLocks noChangeAspect="1"/>
                    </pic:cNvPicPr>
                  </pic:nvPicPr>
                  <pic:blipFill>
                    <a:blip r:embed="rId29"/>
                    <a:stretch>
                      <a:fillRect/>
                    </a:stretch>
                  </pic:blipFill>
                  <pic:spPr>
                    <a:xfrm>
                      <a:off x="0" y="0"/>
                      <a:ext cx="6363970" cy="2673985"/>
                    </a:xfrm>
                    <a:prstGeom prst="rect">
                      <a:avLst/>
                    </a:prstGeom>
                    <a:noFill/>
                    <a:ln>
                      <a:noFill/>
                    </a:ln>
                  </pic:spPr>
                </pic:pic>
              </a:graphicData>
            </a:graphic>
          </wp:inline>
        </w:drawing>
      </w:r>
    </w:p>
    <w:p>
      <w:pPr>
        <w:pStyle w:val="4"/>
        <w:rPr>
          <w:rFonts w:hint="default"/>
          <w:lang w:val="en-US" w:eastAsia="zh-CN"/>
        </w:rPr>
      </w:pPr>
      <w:bookmarkStart w:id="44" w:name="_Toc25539"/>
      <w:r>
        <w:rPr>
          <w:rFonts w:hint="eastAsia"/>
          <w:lang w:val="en-US" w:eastAsia="zh-CN"/>
        </w:rPr>
        <w:t>发布考评结果</w:t>
      </w:r>
      <w:bookmarkEnd w:id="44"/>
    </w:p>
    <w:p>
      <w:pPr>
        <w:ind w:firstLine="420" w:firstLineChars="0"/>
        <w:rPr>
          <w:rFonts w:hint="eastAsia"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：考评负责人</w:t>
      </w:r>
    </w:p>
    <w:p>
      <w:pPr>
        <w:ind w:firstLine="420" w:firstLineChars="200"/>
        <w:rPr>
          <w:rFonts w:hint="default"/>
          <w:lang w:val="en-US" w:eastAsia="zh-CN"/>
        </w:rPr>
      </w:pPr>
      <w:r>
        <w:rPr>
          <w:rFonts w:hint="eastAsia" w:ascii="微软雅黑" w:hAnsi="微软雅黑" w:eastAsia="微软雅黑"/>
          <w:b/>
          <w:bCs/>
          <w:lang w:val="en-US" w:eastAsia="zh-CN"/>
        </w:rPr>
        <w:t>操作页面</w:t>
      </w:r>
      <w:r>
        <w:rPr>
          <w:rFonts w:hint="eastAsia" w:ascii="微软雅黑" w:hAnsi="微软雅黑" w:eastAsia="微软雅黑"/>
          <w:lang w:val="en-US" w:eastAsia="zh-CN"/>
        </w:rPr>
        <w:t>：考评档案管理</w:t>
      </w:r>
    </w:p>
    <w:p>
      <w:pPr>
        <w:pStyle w:val="5"/>
        <w:rPr>
          <w:rFonts w:hint="default"/>
          <w:lang w:val="en-US" w:eastAsia="zh-CN"/>
        </w:rPr>
      </w:pPr>
      <w:r>
        <w:rPr>
          <w:rFonts w:hint="eastAsia"/>
          <w:lang w:val="en-US" w:eastAsia="zh-CN"/>
        </w:rPr>
        <w:t>内部发布</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最终评级结果确定后，点击“内部发布”，发送消息通知（站内、企微）采购经理/产品经理、设计部经理、品管部经理、供应链总监，至“考评结果查看”页面查看最终结果；</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发布后，系统根据评级结果自动升降级。自动升降级记录在供应商360中体现。</w:t>
      </w:r>
    </w:p>
    <w:p>
      <w:pPr>
        <w:rPr>
          <w:rFonts w:hint="eastAsia" w:ascii="微软雅黑" w:hAnsi="微软雅黑" w:eastAsia="微软雅黑"/>
          <w:lang w:val="zh-CN" w:eastAsia="zh-CN"/>
        </w:rPr>
      </w:pPr>
      <w:r>
        <w:drawing>
          <wp:inline distT="0" distB="0" distL="114300" distR="114300">
            <wp:extent cx="5163185" cy="2456815"/>
            <wp:effectExtent l="0" t="0" r="5715" b="698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30"/>
                    <a:stretch>
                      <a:fillRect/>
                    </a:stretch>
                  </pic:blipFill>
                  <pic:spPr>
                    <a:xfrm>
                      <a:off x="0" y="0"/>
                      <a:ext cx="5163185" cy="2456815"/>
                    </a:xfrm>
                    <a:prstGeom prst="rect">
                      <a:avLst/>
                    </a:prstGeom>
                    <a:noFill/>
                    <a:ln>
                      <a:noFill/>
                    </a:ln>
                  </pic:spPr>
                </pic:pic>
              </a:graphicData>
            </a:graphic>
          </wp:inline>
        </w:drawing>
      </w:r>
    </w:p>
    <w:p>
      <w:pPr>
        <w:pStyle w:val="5"/>
        <w:rPr>
          <w:rFonts w:hint="default" w:ascii="微软雅黑" w:hAnsi="微软雅黑" w:eastAsia="微软雅黑"/>
          <w:lang w:val="en-US" w:eastAsia="zh-CN"/>
        </w:rPr>
      </w:pPr>
      <w:r>
        <w:rPr>
          <w:rFonts w:hint="eastAsia" w:ascii="微软雅黑" w:hAnsi="微软雅黑" w:eastAsia="微软雅黑"/>
          <w:lang w:val="en-US" w:eastAsia="zh-CN"/>
        </w:rPr>
        <w:t>外部发布</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最终评级结果确定后，点击“发布至供应商”按钮，发送消息通知供应商，至系统“我收到的考评结果”页面查看该供应商的考评结果数据。“我收到的考评结果”页面见4.3节</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发布至哪些供应商可在参评供应商页签下进行勾选并填写意见。默认不勾选，需要发布时进行勾选。同一张考评档案，不同供应商可分多次发布。</w:t>
      </w:r>
    </w:p>
    <w:p>
      <w:pPr>
        <w:rPr>
          <w:rFonts w:hint="default" w:ascii="微软雅黑" w:hAnsi="微软雅黑" w:eastAsia="微软雅黑"/>
          <w:lang w:val="en-US" w:eastAsia="zh-CN"/>
        </w:rPr>
      </w:pPr>
      <w:r>
        <w:drawing>
          <wp:inline distT="0" distB="0" distL="114300" distR="114300">
            <wp:extent cx="6369685" cy="3260725"/>
            <wp:effectExtent l="0" t="0" r="5715" b="317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1"/>
                    <a:stretch>
                      <a:fillRect/>
                    </a:stretch>
                  </pic:blipFill>
                  <pic:spPr>
                    <a:xfrm>
                      <a:off x="0" y="0"/>
                      <a:ext cx="6369685" cy="3260725"/>
                    </a:xfrm>
                    <a:prstGeom prst="rect">
                      <a:avLst/>
                    </a:prstGeom>
                    <a:noFill/>
                    <a:ln>
                      <a:noFill/>
                    </a:ln>
                  </pic:spPr>
                </pic:pic>
              </a:graphicData>
            </a:graphic>
          </wp:inline>
        </w:drawing>
      </w:r>
    </w:p>
    <w:p>
      <w:pPr>
        <w:pStyle w:val="4"/>
        <w:rPr>
          <w:rFonts w:hint="default"/>
          <w:lang w:val="en-US" w:eastAsia="zh-CN"/>
        </w:rPr>
      </w:pPr>
      <w:bookmarkStart w:id="45" w:name="_Toc22050"/>
      <w:r>
        <w:rPr>
          <w:rFonts w:hint="eastAsia"/>
          <w:lang w:val="en-US" w:eastAsia="zh-CN"/>
        </w:rPr>
        <w:t>消息预警说明</w:t>
      </w:r>
      <w:bookmarkEnd w:id="45"/>
    </w:p>
    <w:p>
      <w:pPr>
        <w:numPr>
          <w:ilvl w:val="0"/>
          <w:numId w:val="0"/>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以下节点系统自动发送消息通知：</w:t>
      </w:r>
    </w:p>
    <w:p>
      <w:pPr>
        <w:numPr>
          <w:ilvl w:val="0"/>
          <w:numId w:val="11"/>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发布评分，通知评分人；</w:t>
      </w:r>
    </w:p>
    <w:p>
      <w:pPr>
        <w:numPr>
          <w:ilvl w:val="0"/>
          <w:numId w:val="11"/>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部门评分完成，通知经理审核；</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评分完成通知考评负责人；</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发布应用评级，通知评级人；</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发布应用评级，通知总监查看初步考评结果；</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评级完成通知考评负责人；</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最终考评结果内部发布，通知采购经理、采购员、供应链总监、产品经理；</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最终考评结果发布，通知供应商；</w:t>
      </w:r>
    </w:p>
    <w:p>
      <w:pPr>
        <w:numPr>
          <w:ilvl w:val="0"/>
          <w:numId w:val="11"/>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超期未评分提醒。</w:t>
      </w:r>
    </w:p>
    <w:p>
      <w:pPr>
        <w:ind w:firstLine="420" w:firstLineChars="0"/>
        <w:rPr>
          <w:rFonts w:hint="eastAsia" w:ascii="微软雅黑" w:hAnsi="微软雅黑" w:eastAsia="微软雅黑"/>
          <w:lang w:val="zh-CN" w:eastAsia="zh-CN"/>
        </w:rPr>
      </w:pPr>
    </w:p>
    <w:p>
      <w:pPr>
        <w:pStyle w:val="3"/>
        <w:rPr>
          <w:rFonts w:hint="eastAsia"/>
          <w:lang w:val="en-US" w:eastAsia="zh-Hans"/>
        </w:rPr>
      </w:pPr>
      <w:bookmarkStart w:id="46" w:name="_Toc109251918"/>
      <w:bookmarkEnd w:id="46"/>
      <w:bookmarkStart w:id="47" w:name="_Toc109308943"/>
      <w:bookmarkEnd w:id="47"/>
      <w:bookmarkStart w:id="48" w:name="_Toc23761"/>
      <w:r>
        <w:rPr>
          <w:rFonts w:hint="eastAsia"/>
          <w:lang w:val="en-US" w:eastAsia="zh-CN"/>
        </w:rPr>
        <w:t>考评结果查询</w:t>
      </w:r>
      <w:bookmarkEnd w:id="48"/>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供应链总监、产品经理、采购经理、品质管理部经理、供管经理等角色，在“考评结果查询”页面查看考评的初步结论/最终结果。</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采购员、业务员通过供应商360页面，关联业务单据上查看对应供应商绩效结果，不开放总表查看权限。</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考评结果查询页面如下：</w:t>
      </w:r>
    </w:p>
    <w:p>
      <w:r>
        <w:drawing>
          <wp:inline distT="0" distB="0" distL="114300" distR="114300">
            <wp:extent cx="6368415" cy="3241675"/>
            <wp:effectExtent l="0" t="0" r="6985" b="952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2"/>
                    <a:stretch>
                      <a:fillRect/>
                    </a:stretch>
                  </pic:blipFill>
                  <pic:spPr>
                    <a:xfrm>
                      <a:off x="0" y="0"/>
                      <a:ext cx="6368415" cy="3241675"/>
                    </a:xfrm>
                    <a:prstGeom prst="rect">
                      <a:avLst/>
                    </a:prstGeom>
                    <a:noFill/>
                    <a:ln>
                      <a:noFill/>
                    </a:ln>
                  </pic:spPr>
                </pic:pic>
              </a:graphicData>
            </a:graphic>
          </wp:inline>
        </w:drawing>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接后列：</w:t>
      </w:r>
    </w:p>
    <w:p>
      <w:r>
        <w:drawing>
          <wp:inline distT="0" distB="0" distL="114300" distR="114300">
            <wp:extent cx="5539105" cy="1695450"/>
            <wp:effectExtent l="0" t="0" r="10795" b="635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3"/>
                    <a:stretch>
                      <a:fillRect/>
                    </a:stretch>
                  </pic:blipFill>
                  <pic:spPr>
                    <a:xfrm>
                      <a:off x="0" y="0"/>
                      <a:ext cx="5539105" cy="1695450"/>
                    </a:xfrm>
                    <a:prstGeom prst="rect">
                      <a:avLst/>
                    </a:prstGeom>
                    <a:noFill/>
                    <a:ln>
                      <a:noFill/>
                    </a:ln>
                  </pic:spPr>
                </pic:pic>
              </a:graphicData>
            </a:graphic>
          </wp:inline>
        </w:drawing>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页面说明：</w:t>
      </w:r>
    </w:p>
    <w:p>
      <w:pPr>
        <w:numPr>
          <w:ilvl w:val="0"/>
          <w:numId w:val="12"/>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综合能力标签、工艺标签，按照固定顺序排序显示，重要度高的排在前面；供应商能力突出的标签分红色记号显示；</w:t>
      </w:r>
    </w:p>
    <w:p>
      <w:pPr>
        <w:numPr>
          <w:ilvl w:val="0"/>
          <w:numId w:val="12"/>
        </w:numPr>
        <w:ind w:firstLine="420" w:firstLineChars="0"/>
        <w:rPr>
          <w:rFonts w:hint="default" w:ascii="微软雅黑" w:hAnsi="微软雅黑" w:eastAsia="微软雅黑"/>
          <w:lang w:val="en-US" w:eastAsia="zh-CN"/>
        </w:rPr>
      </w:pPr>
      <w:r>
        <w:rPr>
          <w:rFonts w:hint="default" w:ascii="微软雅黑" w:hAnsi="微软雅黑" w:eastAsia="微软雅黑"/>
          <w:lang w:val="en-US" w:eastAsia="zh-CN"/>
        </w:rPr>
        <w:t>点击供应商编码可跳转360界面</w:t>
      </w:r>
      <w:r>
        <w:rPr>
          <w:rFonts w:hint="eastAsia" w:ascii="微软雅黑" w:hAnsi="微软雅黑" w:eastAsia="微软雅黑"/>
          <w:lang w:val="en-US" w:eastAsia="zh-CN"/>
        </w:rPr>
        <w:t>；</w:t>
      </w:r>
    </w:p>
    <w:p>
      <w:pPr>
        <w:numPr>
          <w:ilvl w:val="0"/>
          <w:numId w:val="12"/>
        </w:numPr>
        <w:ind w:firstLine="420" w:firstLineChars="0"/>
        <w:rPr>
          <w:rFonts w:hint="default" w:ascii="微软雅黑" w:hAnsi="微软雅黑" w:eastAsia="微软雅黑"/>
          <w:lang w:val="en-US" w:eastAsia="zh-CN"/>
        </w:rPr>
      </w:pPr>
      <w:r>
        <w:rPr>
          <w:rFonts w:hint="default" w:ascii="微软雅黑" w:hAnsi="微软雅黑" w:eastAsia="微软雅黑"/>
          <w:lang w:val="en-US" w:eastAsia="zh-CN"/>
        </w:rPr>
        <w:t>列表按金额从大到小排序</w:t>
      </w:r>
      <w:r>
        <w:rPr>
          <w:rFonts w:hint="eastAsia" w:ascii="微软雅黑" w:hAnsi="微软雅黑" w:eastAsia="微软雅黑"/>
          <w:lang w:val="en-US" w:eastAsia="zh-CN"/>
        </w:rPr>
        <w:t>；</w:t>
      </w:r>
    </w:p>
    <w:p>
      <w:pPr>
        <w:numPr>
          <w:ilvl w:val="0"/>
          <w:numId w:val="12"/>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支持列表导出功能。</w:t>
      </w:r>
    </w:p>
    <w:p>
      <w:pPr>
        <w:pStyle w:val="4"/>
        <w:rPr>
          <w:rFonts w:hint="default"/>
          <w:lang w:val="en-US" w:eastAsia="zh-CN"/>
        </w:rPr>
      </w:pPr>
      <w:bookmarkStart w:id="49" w:name="_Toc18386"/>
      <w:r>
        <w:rPr>
          <w:rFonts w:hint="eastAsia"/>
          <w:lang w:val="en-US" w:eastAsia="zh-CN"/>
        </w:rPr>
        <w:t>评分明细查看</w:t>
      </w:r>
      <w:bookmarkEnd w:id="49"/>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点击“评分明细”，查看各供应商各个指标的评分详情，如下图；</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评分明细页支持一键收起，一键展开。</w:t>
      </w:r>
    </w:p>
    <w:p>
      <w:pPr>
        <w:ind w:firstLine="420" w:firstLineChars="0"/>
        <w:rPr>
          <w:rFonts w:hint="eastAsia" w:ascii="微软雅黑" w:hAnsi="微软雅黑" w:eastAsia="微软雅黑"/>
          <w:lang w:val="en-US" w:eastAsia="zh-CN"/>
        </w:rPr>
      </w:pPr>
      <w:r>
        <w:drawing>
          <wp:inline distT="0" distB="0" distL="114300" distR="114300">
            <wp:extent cx="5627370" cy="3328670"/>
            <wp:effectExtent l="0" t="0" r="11430" b="1143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34"/>
                    <a:stretch>
                      <a:fillRect/>
                    </a:stretch>
                  </pic:blipFill>
                  <pic:spPr>
                    <a:xfrm>
                      <a:off x="0" y="0"/>
                      <a:ext cx="5627370" cy="3328670"/>
                    </a:xfrm>
                    <a:prstGeom prst="rect">
                      <a:avLst/>
                    </a:prstGeom>
                    <a:noFill/>
                    <a:ln>
                      <a:noFill/>
                    </a:ln>
                  </pic:spPr>
                </pic:pic>
              </a:graphicData>
            </a:graphic>
          </wp:inline>
        </w:drawing>
      </w:r>
    </w:p>
    <w:p>
      <w:pPr>
        <w:pStyle w:val="4"/>
        <w:rPr>
          <w:rFonts w:hint="default"/>
          <w:lang w:val="en-US" w:eastAsia="zh-CN"/>
        </w:rPr>
      </w:pPr>
      <w:bookmarkStart w:id="50" w:name="_Toc83"/>
      <w:r>
        <w:rPr>
          <w:rFonts w:hint="eastAsia"/>
          <w:lang w:val="en-US" w:eastAsia="zh-CN"/>
        </w:rPr>
        <w:t>指标数据查看</w:t>
      </w:r>
      <w:bookmarkEnd w:id="50"/>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点击列表中的“指标数据”，查看该供应商的详细数据，页面展示与“考评档案填制”页面相同，该页面做权限控制。产品部只能看到其采购部门下的数据。</w:t>
      </w:r>
    </w:p>
    <w:p>
      <w:pPr>
        <w:rPr>
          <w:rFonts w:hint="default" w:ascii="微软雅黑" w:hAnsi="微软雅黑" w:eastAsia="微软雅黑"/>
          <w:lang w:val="en-US" w:eastAsia="zh-CN"/>
        </w:rPr>
      </w:pPr>
      <w:r>
        <w:drawing>
          <wp:inline distT="0" distB="0" distL="114300" distR="114300">
            <wp:extent cx="6372225" cy="1948180"/>
            <wp:effectExtent l="0" t="0" r="3175"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5"/>
                    <a:stretch>
                      <a:fillRect/>
                    </a:stretch>
                  </pic:blipFill>
                  <pic:spPr>
                    <a:xfrm>
                      <a:off x="0" y="0"/>
                      <a:ext cx="6372225" cy="1948180"/>
                    </a:xfrm>
                    <a:prstGeom prst="rect">
                      <a:avLst/>
                    </a:prstGeom>
                    <a:noFill/>
                    <a:ln>
                      <a:noFill/>
                    </a:ln>
                  </pic:spPr>
                </pic:pic>
              </a:graphicData>
            </a:graphic>
          </wp:inline>
        </w:drawing>
      </w:r>
    </w:p>
    <w:p>
      <w:pPr>
        <w:pStyle w:val="4"/>
        <w:rPr>
          <w:rFonts w:hint="default"/>
          <w:lang w:val="en-US" w:eastAsia="zh-CN"/>
        </w:rPr>
      </w:pPr>
      <w:bookmarkStart w:id="51" w:name="_Toc17966"/>
      <w:r>
        <w:rPr>
          <w:rFonts w:hint="eastAsia"/>
          <w:lang w:val="en-US" w:eastAsia="zh-CN"/>
        </w:rPr>
        <w:t>权限控制</w:t>
      </w:r>
      <w:bookmarkEnd w:id="51"/>
    </w:p>
    <w:p>
      <w:pPr>
        <w:ind w:firstLine="420" w:firstLineChars="0"/>
        <w:rPr>
          <w:rFonts w:hint="eastAsia" w:ascii="微软雅黑" w:hAnsi="微软雅黑" w:eastAsia="微软雅黑"/>
          <w:b/>
          <w:bCs/>
          <w:lang w:val="en-US" w:eastAsia="zh-CN"/>
        </w:rPr>
      </w:pPr>
      <w:r>
        <w:rPr>
          <w:rFonts w:hint="eastAsia" w:ascii="微软雅黑" w:hAnsi="微软雅黑" w:eastAsia="微软雅黑"/>
          <w:b/>
          <w:bCs/>
          <w:lang w:val="en-US" w:eastAsia="zh-CN"/>
        </w:rPr>
        <w:t>考评档案查看权限：</w:t>
      </w:r>
    </w:p>
    <w:p>
      <w:pPr>
        <w:ind w:firstLine="420" w:firstLineChars="0"/>
        <w:rPr>
          <w:rFonts w:hint="default" w:ascii="微软雅黑" w:hAnsi="微软雅黑" w:eastAsia="微软雅黑"/>
          <w:b w:val="0"/>
          <w:bCs w:val="0"/>
          <w:lang w:val="en-US" w:eastAsia="zh-CN"/>
        </w:rPr>
      </w:pPr>
      <w:r>
        <w:rPr>
          <w:rFonts w:hint="eastAsia" w:ascii="微软雅黑" w:hAnsi="微软雅黑" w:eastAsia="微软雅黑"/>
          <w:b w:val="0"/>
          <w:bCs w:val="0"/>
          <w:lang w:val="en-US" w:eastAsia="zh-CN"/>
        </w:rPr>
        <w:t>总监、产品经理、供管、品管部经理、采购经理</w:t>
      </w:r>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指标数据</w:t>
      </w:r>
      <w:r>
        <w:rPr>
          <w:rFonts w:hint="eastAsia" w:ascii="微软雅黑" w:hAnsi="微软雅黑" w:eastAsia="微软雅黑"/>
          <w:lang w:val="en-US" w:eastAsia="zh-CN"/>
        </w:rPr>
        <w:t>权限控制：</w:t>
      </w:r>
    </w:p>
    <w:p>
      <w:pPr>
        <w:numPr>
          <w:ilvl w:val="0"/>
          <w:numId w:val="13"/>
        </w:num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不做控制：供管、总监</w:t>
      </w:r>
    </w:p>
    <w:p>
      <w:pPr>
        <w:numPr>
          <w:ilvl w:val="0"/>
          <w:numId w:val="13"/>
        </w:num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数据筛选订单的采购部门：产品经理、业务员</w:t>
      </w:r>
    </w:p>
    <w:p>
      <w:pPr>
        <w:ind w:firstLine="420" w:firstLineChars="200"/>
        <w:rPr>
          <w:rFonts w:hint="default" w:ascii="微软雅黑" w:hAnsi="微软雅黑" w:eastAsia="微软雅黑"/>
          <w:lang w:val="en-US" w:eastAsia="zh-CN"/>
        </w:rPr>
      </w:pPr>
      <w:r>
        <w:rPr>
          <w:rFonts w:hint="eastAsia" w:ascii="微软雅黑" w:hAnsi="微软雅黑" w:eastAsia="微软雅黑"/>
          <w:b/>
          <w:bCs/>
          <w:lang w:val="en-US" w:eastAsia="zh-CN"/>
        </w:rPr>
        <w:t>建议等级明细</w:t>
      </w:r>
      <w:r>
        <w:rPr>
          <w:rFonts w:hint="eastAsia" w:ascii="微软雅黑" w:hAnsi="微软雅黑" w:eastAsia="微软雅黑"/>
          <w:lang w:val="en-US" w:eastAsia="zh-CN"/>
        </w:rPr>
        <w:t>权限控制：</w:t>
      </w:r>
    </w:p>
    <w:p>
      <w:pPr>
        <w:numPr>
          <w:ilvl w:val="0"/>
          <w:numId w:val="14"/>
        </w:num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不做控制：总监、供管、采购经理、品质管理部经理</w:t>
      </w:r>
    </w:p>
    <w:p>
      <w:pPr>
        <w:numPr>
          <w:ilvl w:val="0"/>
          <w:numId w:val="14"/>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只看自己部门填写的建议明细：产品经理、业务员</w:t>
      </w:r>
    </w:p>
    <w:p>
      <w:pPr>
        <w:ind w:firstLine="420" w:firstLineChars="200"/>
        <w:rPr>
          <w:rFonts w:hint="eastAsia" w:ascii="微软雅黑" w:hAnsi="微软雅黑" w:eastAsia="微软雅黑"/>
          <w:lang w:val="en-US" w:eastAsia="zh-CN"/>
        </w:rPr>
      </w:pPr>
      <w:r>
        <w:rPr>
          <w:rFonts w:hint="eastAsia" w:ascii="微软雅黑" w:hAnsi="微软雅黑" w:eastAsia="微软雅黑"/>
          <w:b/>
          <w:bCs/>
          <w:lang w:val="en-US" w:eastAsia="zh-CN"/>
        </w:rPr>
        <w:t>优劣势明细查看</w:t>
      </w:r>
      <w:r>
        <w:rPr>
          <w:rFonts w:hint="eastAsia" w:ascii="微软雅黑" w:hAnsi="微软雅黑" w:eastAsia="微软雅黑"/>
          <w:lang w:val="en-US" w:eastAsia="zh-CN"/>
        </w:rPr>
        <w:t>权限控制：</w:t>
      </w:r>
    </w:p>
    <w:p>
      <w:pPr>
        <w:numPr>
          <w:ilvl w:val="0"/>
          <w:numId w:val="0"/>
        </w:num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（1）不做控制：供管、总监、品质管理部经理</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（2）只看自己部门填写的建议明细：产品经理、业务员</w:t>
      </w:r>
    </w:p>
    <w:p>
      <w:pPr>
        <w:pStyle w:val="3"/>
        <w:shd w:val="clear" w:color="auto" w:fill="CCCCCC"/>
        <w:rPr>
          <w:rFonts w:hint="default"/>
          <w:lang w:val="en-US" w:eastAsia="zh-CN"/>
        </w:rPr>
      </w:pPr>
      <w:bookmarkStart w:id="52" w:name="_Toc21173"/>
      <w:r>
        <w:rPr>
          <w:rFonts w:hint="eastAsia"/>
          <w:lang w:val="en-US" w:eastAsia="zh-CN"/>
        </w:rPr>
        <w:t>供应商360页面显示</w:t>
      </w:r>
      <w:bookmarkEnd w:id="52"/>
    </w:p>
    <w:p>
      <w:pPr>
        <w:ind w:firstLine="420" w:firstLineChars="0"/>
        <w:rPr>
          <w:rFonts w:hint="default" w:ascii="微软雅黑" w:hAnsi="微软雅黑" w:eastAsia="微软雅黑"/>
          <w:b/>
          <w:bCs/>
          <w:lang w:val="en-US" w:eastAsia="zh-CN"/>
        </w:rPr>
      </w:pPr>
      <w:r>
        <w:rPr>
          <w:rFonts w:hint="eastAsia" w:ascii="微软雅黑" w:hAnsi="微软雅黑" w:eastAsia="微软雅黑"/>
          <w:b/>
          <w:bCs/>
          <w:lang w:val="en-US" w:eastAsia="zh-CN"/>
        </w:rPr>
        <w:t>1、供应商关联业务单据</w:t>
      </w:r>
    </w:p>
    <w:p>
      <w:pPr>
        <w:ind w:firstLine="420" w:firstLineChars="0"/>
        <w:rPr>
          <w:rFonts w:hint="default" w:ascii="微软雅黑" w:hAnsi="微软雅黑" w:eastAsia="微软雅黑"/>
          <w:b w:val="0"/>
          <w:bCs w:val="0"/>
          <w:lang w:val="en-US" w:eastAsia="zh-CN"/>
        </w:rPr>
      </w:pPr>
      <w:r>
        <w:rPr>
          <w:rFonts w:hint="eastAsia" w:ascii="微软雅黑" w:hAnsi="微软雅黑" w:eastAsia="微软雅黑"/>
          <w:b w:val="0"/>
          <w:bCs w:val="0"/>
          <w:lang w:val="en-US" w:eastAsia="zh-CN"/>
        </w:rPr>
        <w:t>绩效考评记录显示在供应商360度查询，供应商关联业务单据中，并显示供应商考评数据如下图。点击考评档案编码，跳转至“考评结果查询页面”。</w:t>
      </w:r>
    </w:p>
    <w:p>
      <w:pPr>
        <w:rPr>
          <w:rFonts w:hint="default" w:ascii="微软雅黑" w:hAnsi="微软雅黑" w:eastAsia="微软雅黑"/>
          <w:b w:val="0"/>
          <w:bCs w:val="0"/>
          <w:lang w:val="en-US" w:eastAsia="zh-CN"/>
        </w:rPr>
      </w:pPr>
      <w:r>
        <w:drawing>
          <wp:inline distT="0" distB="0" distL="114300" distR="114300">
            <wp:extent cx="6610350" cy="1540510"/>
            <wp:effectExtent l="0" t="0" r="6350" b="889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36"/>
                    <a:stretch>
                      <a:fillRect/>
                    </a:stretch>
                  </pic:blipFill>
                  <pic:spPr>
                    <a:xfrm>
                      <a:off x="0" y="0"/>
                      <a:ext cx="6610350" cy="1540510"/>
                    </a:xfrm>
                    <a:prstGeom prst="rect">
                      <a:avLst/>
                    </a:prstGeom>
                    <a:noFill/>
                    <a:ln>
                      <a:noFill/>
                    </a:ln>
                  </pic:spPr>
                </pic:pic>
              </a:graphicData>
            </a:graphic>
          </wp:inline>
        </w:drawing>
      </w:r>
    </w:p>
    <w:p>
      <w:pPr>
        <w:ind w:firstLine="420" w:firstLineChars="0"/>
        <w:rPr>
          <w:rFonts w:hint="eastAsia" w:ascii="微软雅黑" w:hAnsi="微软雅黑" w:eastAsia="微软雅黑"/>
          <w:b w:val="0"/>
          <w:bCs w:val="0"/>
          <w:lang w:val="en-US" w:eastAsia="zh-CN"/>
        </w:rPr>
      </w:pPr>
      <w:r>
        <w:rPr>
          <w:rFonts w:hint="eastAsia" w:ascii="微软雅黑" w:hAnsi="微软雅黑" w:eastAsia="微软雅黑"/>
          <w:b w:val="0"/>
          <w:bCs w:val="0"/>
          <w:lang w:val="en-US" w:eastAsia="zh-CN"/>
        </w:rPr>
        <w:t>接后列：</w:t>
      </w:r>
    </w:p>
    <w:p>
      <w:r>
        <w:drawing>
          <wp:inline distT="0" distB="0" distL="114300" distR="114300">
            <wp:extent cx="4070985" cy="1056005"/>
            <wp:effectExtent l="0" t="0" r="5715" b="10795"/>
            <wp:docPr id="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pic:cNvPicPr>
                      <a:picLocks noChangeAspect="1"/>
                    </pic:cNvPicPr>
                  </pic:nvPicPr>
                  <pic:blipFill>
                    <a:blip r:embed="rId37"/>
                    <a:srcRect l="18082"/>
                    <a:stretch>
                      <a:fillRect/>
                    </a:stretch>
                  </pic:blipFill>
                  <pic:spPr>
                    <a:xfrm>
                      <a:off x="0" y="0"/>
                      <a:ext cx="4070985" cy="1056005"/>
                    </a:xfrm>
                    <a:prstGeom prst="rect">
                      <a:avLst/>
                    </a:prstGeom>
                    <a:noFill/>
                    <a:ln>
                      <a:noFill/>
                    </a:ln>
                  </pic:spPr>
                </pic:pic>
              </a:graphicData>
            </a:graphic>
          </wp:inline>
        </w:drawing>
      </w:r>
    </w:p>
    <w:p>
      <w:pPr>
        <w:ind w:firstLine="420" w:firstLineChars="0"/>
        <w:rPr>
          <w:rFonts w:hint="default" w:ascii="微软雅黑" w:hAnsi="微软雅黑" w:eastAsia="微软雅黑"/>
          <w:b/>
          <w:bCs/>
          <w:lang w:val="en-US" w:eastAsia="zh-CN"/>
        </w:rPr>
      </w:pPr>
      <w:r>
        <w:rPr>
          <w:rFonts w:hint="eastAsia" w:ascii="微软雅黑" w:hAnsi="微软雅黑" w:eastAsia="微软雅黑"/>
          <w:b/>
          <w:bCs/>
          <w:lang w:val="en-US" w:eastAsia="zh-CN"/>
        </w:rPr>
        <w:t>2、交易列表展示页面</w:t>
      </w:r>
    </w:p>
    <w:p>
      <w:pPr>
        <w:ind w:firstLine="420" w:firstLineChars="0"/>
        <w:rPr>
          <w:rFonts w:hint="default" w:ascii="微软雅黑" w:hAnsi="微软雅黑" w:eastAsia="微软雅黑"/>
          <w:b w:val="0"/>
          <w:bCs w:val="0"/>
          <w:lang w:val="en-US" w:eastAsia="zh-CN"/>
        </w:rPr>
      </w:pPr>
      <w:r>
        <w:rPr>
          <w:rFonts w:hint="eastAsia" w:ascii="微软雅黑" w:hAnsi="微软雅黑" w:eastAsia="微软雅黑"/>
          <w:b w:val="0"/>
          <w:bCs w:val="0"/>
          <w:lang w:val="en-US" w:eastAsia="zh-CN"/>
        </w:rPr>
        <w:t>供应商360度查询页面增加“交易信息”页签，字段如下：</w:t>
      </w:r>
    </w:p>
    <w:p>
      <w:pPr>
        <w:rPr>
          <w:rFonts w:hint="eastAsia" w:ascii="微软雅黑" w:hAnsi="微软雅黑" w:eastAsia="微软雅黑"/>
          <w:b w:val="0"/>
          <w:bCs w:val="0"/>
          <w:lang w:val="en-US" w:eastAsia="zh-CN"/>
        </w:rPr>
      </w:pPr>
      <w:r>
        <w:rPr>
          <w:rFonts w:hint="eastAsia" w:ascii="微软雅黑" w:hAnsi="微软雅黑" w:eastAsia="微软雅黑"/>
          <w:b w:val="0"/>
          <w:bCs w:val="0"/>
          <w:lang w:val="en-US" w:eastAsia="zh-CN"/>
        </w:rPr>
        <w:drawing>
          <wp:inline distT="0" distB="0" distL="0" distR="0">
            <wp:extent cx="6372225" cy="1229995"/>
            <wp:effectExtent l="0" t="0" r="3175" b="1905"/>
            <wp:docPr id="29" name="图片 29" descr="C:\Users\dorad\Documents\WeChat Files\wxid_aqiyi3s9u9pd22\FileStorage\Temp\1666238204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dorad\Documents\WeChat Files\wxid_aqiyi3s9u9pd22\FileStorage\Temp\1666238204755.jpg"/>
                    <pic:cNvPicPr>
                      <a:picLocks noChangeAspect="1" noChangeArrowheads="1"/>
                    </pic:cNvPicPr>
                  </pic:nvPicPr>
                  <pic:blipFill>
                    <a:blip r:embed="rId38">
                      <a:extLst>
                        <a:ext uri="{28A0092B-C50C-407E-A947-70E740481C1C}">
                          <a14:useLocalDpi xmlns:a14="http://schemas.microsoft.com/office/drawing/2010/main" val="0"/>
                        </a:ext>
                      </a:extLst>
                    </a:blip>
                    <a:srcRect b="20517"/>
                    <a:stretch>
                      <a:fillRect/>
                    </a:stretch>
                  </pic:blipFill>
                  <pic:spPr>
                    <a:xfrm>
                      <a:off x="0" y="0"/>
                      <a:ext cx="6372225" cy="1229995"/>
                    </a:xfrm>
                    <a:prstGeom prst="rect">
                      <a:avLst/>
                    </a:prstGeom>
                    <a:noFill/>
                    <a:ln>
                      <a:noFill/>
                    </a:ln>
                  </pic:spPr>
                </pic:pic>
              </a:graphicData>
            </a:graphic>
          </wp:inline>
        </w:drawing>
      </w:r>
    </w:p>
    <w:p>
      <w:pPr>
        <w:rPr>
          <w:rFonts w:hint="default"/>
          <w:lang w:val="en-US" w:eastAsia="zh-CN"/>
        </w:rPr>
      </w:pPr>
    </w:p>
    <w:p>
      <w:pPr>
        <w:pStyle w:val="3"/>
        <w:shd w:val="clear" w:color="auto" w:fill="CCCCCC"/>
        <w:rPr>
          <w:rFonts w:hint="default"/>
          <w:lang w:val="en-US" w:eastAsia="zh-CN"/>
        </w:rPr>
      </w:pPr>
      <w:bookmarkStart w:id="53" w:name="_Toc20040"/>
      <w:r>
        <w:rPr>
          <w:rFonts w:hint="eastAsia"/>
          <w:lang w:val="en-US" w:eastAsia="zh-CN"/>
        </w:rPr>
        <w:t>供应商查看考评结果</w:t>
      </w:r>
      <w:bookmarkEnd w:id="53"/>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发布至供应商后，供应商可在“我收到的考评结果”页面查看，供应商只能看到自己的考评信息。</w:t>
      </w:r>
    </w:p>
    <w:p>
      <w:pPr>
        <w:rPr>
          <w:rFonts w:hint="default" w:ascii="微软雅黑" w:hAnsi="微软雅黑" w:eastAsia="微软雅黑"/>
          <w:lang w:val="en-US" w:eastAsia="zh-CN"/>
        </w:rPr>
      </w:pPr>
      <w:r>
        <w:drawing>
          <wp:inline distT="0" distB="0" distL="114300" distR="114300">
            <wp:extent cx="6369050" cy="4847590"/>
            <wp:effectExtent l="0" t="0" r="6350" b="3810"/>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39"/>
                    <a:srcRect b="4587"/>
                    <a:stretch>
                      <a:fillRect/>
                    </a:stretch>
                  </pic:blipFill>
                  <pic:spPr>
                    <a:xfrm>
                      <a:off x="0" y="0"/>
                      <a:ext cx="6369050" cy="4847590"/>
                    </a:xfrm>
                    <a:prstGeom prst="rect">
                      <a:avLst/>
                    </a:prstGeom>
                    <a:noFill/>
                    <a:ln>
                      <a:noFill/>
                    </a:ln>
                  </pic:spPr>
                </pic:pic>
              </a:graphicData>
            </a:graphic>
          </wp:inline>
        </w:drawing>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（1）评分信息：包括得分、评分明细、等级；评分明细与采购方页面相同，以树形结构展示</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（2）阶段得分：动态拉取当前考评期间下，同一考评模板，前六次的考评记录得分（不区分发布状态，没有则不显示），展示一级指标得分和总得分。</w:t>
      </w:r>
    </w:p>
    <w:p>
      <w:pPr>
        <w:ind w:firstLine="420" w:firstLineChars="0"/>
        <w:rPr>
          <w:rFonts w:hint="eastAsia" w:ascii="微软雅黑" w:hAnsi="微软雅黑" w:eastAsia="微软雅黑"/>
          <w:lang w:val="en-US" w:eastAsia="zh-Hans"/>
        </w:rPr>
      </w:pPr>
    </w:p>
    <w:p>
      <w:pPr>
        <w:pStyle w:val="3"/>
        <w:shd w:val="clear" w:color="auto" w:fill="CCCCCC"/>
        <w:rPr>
          <w:rFonts w:hint="default"/>
          <w:lang w:val="en-US" w:eastAsia="zh-CN"/>
        </w:rPr>
      </w:pPr>
      <w:bookmarkStart w:id="54" w:name="_Toc1480"/>
      <w:r>
        <w:rPr>
          <w:rFonts w:hint="eastAsia"/>
          <w:lang w:val="en-US" w:eastAsia="zh-CN"/>
        </w:rPr>
        <w:t>考评指标说明</w:t>
      </w:r>
      <w:bookmarkEnd w:id="54"/>
    </w:p>
    <w:p>
      <w:pPr>
        <w:pStyle w:val="4"/>
        <w:rPr>
          <w:rFonts w:hint="default"/>
          <w:lang w:val="en-US" w:eastAsia="zh-CN"/>
        </w:rPr>
      </w:pPr>
      <w:bookmarkStart w:id="55" w:name="_Toc30604"/>
      <w:r>
        <w:rPr>
          <w:rFonts w:hint="eastAsia"/>
          <w:lang w:val="en-US" w:eastAsia="zh-CN"/>
        </w:rPr>
        <w:t>主观评分指标</w:t>
      </w:r>
      <w:bookmarkEnd w:id="55"/>
    </w:p>
    <w:p>
      <w:pPr>
        <w:ind w:firstLine="420" w:firstLineChars="0"/>
        <w:rPr>
          <w:rFonts w:hint="default" w:ascii="微软雅黑" w:hAnsi="微软雅黑" w:eastAsia="微软雅黑"/>
          <w:lang w:val="en-US" w:eastAsia="zh-CN"/>
        </w:rPr>
      </w:pPr>
      <w:r>
        <w:rPr>
          <w:rFonts w:hint="eastAsia" w:ascii="微软雅黑" w:hAnsi="微软雅黑" w:eastAsia="微软雅黑"/>
          <w:b/>
          <w:bCs/>
          <w:lang w:val="en-US" w:eastAsia="zh-CN"/>
        </w:rPr>
        <w:t>操作人员</w:t>
      </w:r>
      <w:r>
        <w:rPr>
          <w:rFonts w:hint="eastAsia" w:ascii="微软雅黑" w:hAnsi="微软雅黑" w:eastAsia="微软雅黑"/>
          <w:lang w:val="en-US" w:eastAsia="zh-CN"/>
        </w:rPr>
        <w:t>：供管/系统管理员；</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具体指标及评分模板以以下文档为准：</w:t>
      </w:r>
    </w:p>
    <w:p>
      <w:pPr>
        <w:ind w:firstLine="840" w:firstLineChars="400"/>
        <w:rPr>
          <w:rFonts w:hint="eastAsia" w:ascii="微软雅黑" w:hAnsi="微软雅黑" w:eastAsia="微软雅黑"/>
          <w:lang w:val="en-US" w:eastAsia="zh-CN"/>
        </w:rPr>
      </w:pPr>
      <w:r>
        <w:rPr>
          <w:rFonts w:hint="eastAsia" w:ascii="微软雅黑" w:hAnsi="微软雅黑" w:eastAsia="微软雅黑"/>
          <w:lang w:val="en-US" w:eastAsia="zh-CN"/>
        </w:rPr>
        <w:t>原料：《原辅料供应商绩效考核标准2021-11-29.xlsx》；</w:t>
      </w:r>
    </w:p>
    <w:p>
      <w:pPr>
        <w:ind w:firstLine="840" w:firstLineChars="400"/>
        <w:rPr>
          <w:rFonts w:hint="eastAsia" w:ascii="微软雅黑" w:hAnsi="微软雅黑" w:eastAsia="微软雅黑"/>
          <w:lang w:val="en-US" w:eastAsia="zh-CN"/>
        </w:rPr>
      </w:pPr>
      <w:r>
        <w:rPr>
          <w:rFonts w:hint="eastAsia" w:ascii="微软雅黑" w:hAnsi="微软雅黑" w:eastAsia="微软雅黑"/>
          <w:lang w:val="en-US" w:eastAsia="zh-CN"/>
        </w:rPr>
        <w:t>辅料：《生产性辅料供应商考核标准V2（20220907）.xlsx》；</w:t>
      </w:r>
    </w:p>
    <w:p>
      <w:pPr>
        <w:ind w:firstLine="840" w:firstLineChars="400"/>
        <w:rPr>
          <w:rFonts w:hint="default" w:ascii="微软雅黑" w:hAnsi="微软雅黑" w:eastAsia="微软雅黑"/>
          <w:lang w:val="en-US" w:eastAsia="zh-CN"/>
        </w:rPr>
      </w:pPr>
      <w:r>
        <w:rPr>
          <w:rFonts w:hint="eastAsia" w:ascii="微软雅黑" w:hAnsi="微软雅黑" w:eastAsia="微软雅黑"/>
          <w:lang w:val="en-US" w:eastAsia="zh-CN"/>
        </w:rPr>
        <w:t>成衣：《成衣供应商绩效考核标准V2(1).xlsx》；</w:t>
      </w:r>
    </w:p>
    <w:p>
      <w:pPr>
        <w:pStyle w:val="5"/>
        <w:rPr>
          <w:rFonts w:hint="eastAsia"/>
          <w:lang w:val="en-US" w:eastAsia="zh-CN"/>
        </w:rPr>
      </w:pPr>
      <w:r>
        <w:rPr>
          <w:rFonts w:hint="eastAsia"/>
          <w:lang w:val="en-US" w:eastAsia="zh-CN"/>
        </w:rPr>
        <w:t>标准指标定义</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主观评分指标由供管在“标准指标定义”页面进行增添或修改。可维护评分方式，评分标准，指标分值。</w:t>
      </w:r>
    </w:p>
    <w:p>
      <w:pPr>
        <w:rPr>
          <w:rFonts w:hint="default" w:ascii="微软雅黑" w:hAnsi="微软雅黑" w:eastAsia="微软雅黑"/>
          <w:lang w:val="en-US" w:eastAsia="zh-CN"/>
        </w:rPr>
      </w:pPr>
      <w:r>
        <w:drawing>
          <wp:inline distT="0" distB="0" distL="114300" distR="114300">
            <wp:extent cx="6369050" cy="2923540"/>
            <wp:effectExtent l="0" t="0" r="6350" b="10160"/>
            <wp:docPr id="4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
                    <pic:cNvPicPr>
                      <a:picLocks noChangeAspect="1"/>
                    </pic:cNvPicPr>
                  </pic:nvPicPr>
                  <pic:blipFill>
                    <a:blip r:embed="rId40"/>
                    <a:stretch>
                      <a:fillRect/>
                    </a:stretch>
                  </pic:blipFill>
                  <pic:spPr>
                    <a:xfrm>
                      <a:off x="0" y="0"/>
                      <a:ext cx="6369050" cy="2923540"/>
                    </a:xfrm>
                    <a:prstGeom prst="rect">
                      <a:avLst/>
                    </a:prstGeom>
                    <a:noFill/>
                    <a:ln>
                      <a:noFill/>
                    </a:ln>
                  </pic:spPr>
                </pic:pic>
              </a:graphicData>
            </a:graphic>
          </wp:inline>
        </w:drawing>
      </w:r>
    </w:p>
    <w:p>
      <w:pPr>
        <w:pStyle w:val="5"/>
        <w:rPr>
          <w:rFonts w:hint="default"/>
          <w:lang w:val="en-US" w:eastAsia="zh-CN"/>
        </w:rPr>
      </w:pPr>
      <w:r>
        <w:rPr>
          <w:rFonts w:hint="eastAsia"/>
          <w:lang w:val="en-US" w:eastAsia="zh-CN"/>
        </w:rPr>
        <w:t>评分模板定义</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维护评分指标后，在“评分模板定义”页面维护评分模板，分配指标，设置指标权重，等级阶段。</w:t>
      </w:r>
    </w:p>
    <w:p>
      <w:pPr>
        <w:rPr>
          <w:rFonts w:hint="default" w:ascii="微软雅黑" w:hAnsi="微软雅黑" w:eastAsia="微软雅黑"/>
          <w:lang w:val="en-US" w:eastAsia="zh-CN"/>
        </w:rPr>
      </w:pPr>
      <w:r>
        <w:drawing>
          <wp:inline distT="0" distB="0" distL="114300" distR="114300">
            <wp:extent cx="6362700" cy="2733675"/>
            <wp:effectExtent l="0" t="0" r="0" b="9525"/>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
                    <pic:cNvPicPr>
                      <a:picLocks noChangeAspect="1"/>
                    </pic:cNvPicPr>
                  </pic:nvPicPr>
                  <pic:blipFill>
                    <a:blip r:embed="rId41"/>
                    <a:stretch>
                      <a:fillRect/>
                    </a:stretch>
                  </pic:blipFill>
                  <pic:spPr>
                    <a:xfrm>
                      <a:off x="0" y="0"/>
                      <a:ext cx="6362700" cy="2733675"/>
                    </a:xfrm>
                    <a:prstGeom prst="rect">
                      <a:avLst/>
                    </a:prstGeom>
                    <a:noFill/>
                    <a:ln>
                      <a:noFill/>
                    </a:ln>
                  </pic:spPr>
                </pic:pic>
              </a:graphicData>
            </a:graphic>
          </wp:inline>
        </w:drawing>
      </w:r>
    </w:p>
    <w:p>
      <w:pPr>
        <w:pStyle w:val="4"/>
        <w:rPr>
          <w:rFonts w:hint="default"/>
          <w:lang w:val="en-US" w:eastAsia="zh-CN"/>
        </w:rPr>
      </w:pPr>
      <w:bookmarkStart w:id="56" w:name="_Toc21665"/>
      <w:r>
        <w:rPr>
          <w:rFonts w:hint="eastAsia"/>
          <w:lang w:val="en-US" w:eastAsia="zh-CN"/>
        </w:rPr>
        <w:t>客观评分指标</w:t>
      </w:r>
      <w:bookmarkEnd w:id="56"/>
    </w:p>
    <w:p>
      <w:pPr>
        <w:pStyle w:val="5"/>
        <w:rPr>
          <w:rFonts w:hint="default"/>
          <w:lang w:val="en-US" w:eastAsia="zh-CN"/>
        </w:rPr>
      </w:pPr>
      <w:r>
        <w:rPr>
          <w:rFonts w:hint="eastAsia"/>
          <w:lang w:val="en-US" w:eastAsia="zh-CN"/>
        </w:rPr>
        <w:t>客观指标数据</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数据指标由技术/IT设定，关联在标准指标上，通过所选择的评分模板，数据统计时自动带出模板上的关联指标。数据指标的范围、名词定义等在指标中设参数，可由系统管理员在“配置表”/“值集配置”页面设置。如下图。</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单数值通过配置表设置；多数据通过配置表/值集配置设置（具体页面视开发情况判定）。</w:t>
      </w:r>
    </w:p>
    <w:p>
      <w:pPr>
        <w:rPr>
          <w:rFonts w:hint="default" w:ascii="微软雅黑" w:hAnsi="微软雅黑" w:eastAsia="微软雅黑"/>
          <w:lang w:val="en-US" w:eastAsia="zh-CN"/>
        </w:rPr>
      </w:pPr>
      <w:r>
        <w:drawing>
          <wp:inline distT="0" distB="0" distL="114300" distR="114300">
            <wp:extent cx="6367780" cy="1945640"/>
            <wp:effectExtent l="0" t="0" r="7620" b="10160"/>
            <wp:docPr id="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6"/>
                    <pic:cNvPicPr>
                      <a:picLocks noChangeAspect="1"/>
                    </pic:cNvPicPr>
                  </pic:nvPicPr>
                  <pic:blipFill>
                    <a:blip r:embed="rId42"/>
                    <a:stretch>
                      <a:fillRect/>
                    </a:stretch>
                  </pic:blipFill>
                  <pic:spPr>
                    <a:xfrm>
                      <a:off x="0" y="0"/>
                      <a:ext cx="6367780" cy="1945640"/>
                    </a:xfrm>
                    <a:prstGeom prst="rect">
                      <a:avLst/>
                    </a:prstGeom>
                    <a:noFill/>
                    <a:ln>
                      <a:noFill/>
                    </a:ln>
                  </pic:spPr>
                </pic:pic>
              </a:graphicData>
            </a:graphic>
          </wp:inline>
        </w:drawing>
      </w:r>
    </w:p>
    <w:p>
      <w:pPr>
        <w:pStyle w:val="5"/>
        <w:rPr>
          <w:rFonts w:hint="default" w:ascii="微软雅黑" w:hAnsi="微软雅黑" w:eastAsia="微软雅黑"/>
          <w:lang w:val="en-US" w:eastAsia="zh-CN"/>
        </w:rPr>
      </w:pPr>
      <w:r>
        <w:rPr>
          <w:rFonts w:hint="eastAsia" w:ascii="微软雅黑" w:hAnsi="微软雅黑" w:eastAsia="微软雅黑"/>
          <w:lang w:val="en-US" w:eastAsia="zh-CN"/>
        </w:rPr>
        <w:t>评分项</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客观指标评分以数据报表为基础，引用统计后的数据换算为分值，</w:t>
      </w:r>
      <w:r>
        <w:rPr>
          <w:rFonts w:hint="eastAsia" w:ascii="微软雅黑" w:hAnsi="微软雅黑" w:eastAsia="微软雅黑"/>
          <w:b/>
          <w:bCs/>
          <w:lang w:val="en-US" w:eastAsia="zh-CN"/>
        </w:rPr>
        <w:t>换算规则</w:t>
      </w:r>
      <w:r>
        <w:rPr>
          <w:rFonts w:hint="eastAsia" w:ascii="微软雅黑" w:hAnsi="微软雅黑" w:eastAsia="微软雅黑"/>
          <w:lang w:val="en-US" w:eastAsia="zh-CN"/>
        </w:rPr>
        <w:t>由系统管理员在“标准指标定义”页面做参数配置。形式如下图。</w:t>
      </w:r>
    </w:p>
    <w:p>
      <w:pPr>
        <w:rPr>
          <w:rFonts w:hint="eastAsia" w:ascii="微软雅黑" w:hAnsi="微软雅黑" w:eastAsia="微软雅黑"/>
          <w:lang w:val="en-US" w:eastAsia="zh-Hans"/>
        </w:rPr>
      </w:pPr>
      <w:r>
        <w:drawing>
          <wp:inline distT="0" distB="0" distL="114300" distR="114300">
            <wp:extent cx="6371590" cy="2100580"/>
            <wp:effectExtent l="0" t="0" r="3810" b="7620"/>
            <wp:docPr id="4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pic:cNvPicPr>
                      <a:picLocks noChangeAspect="1"/>
                    </pic:cNvPicPr>
                  </pic:nvPicPr>
                  <pic:blipFill>
                    <a:blip r:embed="rId43"/>
                    <a:srcRect b="25629"/>
                    <a:stretch>
                      <a:fillRect/>
                    </a:stretch>
                  </pic:blipFill>
                  <pic:spPr>
                    <a:xfrm>
                      <a:off x="0" y="0"/>
                      <a:ext cx="6371590" cy="2100580"/>
                    </a:xfrm>
                    <a:prstGeom prst="rect">
                      <a:avLst/>
                    </a:prstGeom>
                    <a:noFill/>
                    <a:ln>
                      <a:noFill/>
                    </a:ln>
                  </pic:spPr>
                </pic:pic>
              </a:graphicData>
            </a:graphic>
          </wp:inline>
        </w:drawing>
      </w:r>
    </w:p>
    <w:p>
      <w:pPr>
        <w:pStyle w:val="3"/>
        <w:shd w:val="clear" w:color="auto" w:fill="CCCCCC"/>
        <w:rPr>
          <w:rFonts w:hint="default"/>
          <w:lang w:val="en-US" w:eastAsia="zh-CN"/>
        </w:rPr>
      </w:pPr>
      <w:r>
        <w:rPr>
          <w:rFonts w:hint="eastAsia"/>
          <w:lang w:val="en-US" w:eastAsia="zh-CN"/>
        </w:rPr>
        <w:t>供应商能力标签管理</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1、采购方及供应商增加“供应商能力标签”功能页面，可维护供应商的综合能力标签、工艺标签。</w:t>
      </w:r>
    </w:p>
    <w:p>
      <w:pPr>
        <w:ind w:firstLine="420" w:firstLineChars="200"/>
        <w:rPr>
          <w:rFonts w:hint="eastAsia" w:ascii="微软雅黑" w:hAnsi="微软雅黑" w:eastAsia="微软雅黑"/>
          <w:lang w:val="en-US" w:eastAsia="zh-Hans"/>
        </w:rPr>
      </w:pPr>
      <w:r>
        <w:rPr>
          <w:rFonts w:hint="eastAsia" w:ascii="微软雅黑" w:hAnsi="微软雅黑" w:eastAsia="微软雅黑"/>
          <w:lang w:val="en-US" w:eastAsia="zh-CN"/>
        </w:rPr>
        <w:t>2、</w:t>
      </w:r>
      <w:r>
        <w:rPr>
          <w:rFonts w:hint="eastAsia" w:ascii="微软雅黑" w:hAnsi="微软雅黑" w:eastAsia="微软雅黑"/>
          <w:lang w:val="en-US" w:eastAsia="zh-Hans"/>
        </w:rPr>
        <w:t>宝姿可选择重点标签以其它颜色标识/填充，供应商端看到界面无颜色标识。</w:t>
      </w:r>
    </w:p>
    <w:p>
      <w:pPr>
        <w:ind w:firstLine="420" w:firstLineChars="0"/>
        <w:rPr>
          <w:rFonts w:hint="eastAsia" w:ascii="微软雅黑" w:hAnsi="微软雅黑" w:eastAsia="微软雅黑"/>
          <w:lang w:val="en-US" w:eastAsia="zh-Hans"/>
        </w:rPr>
      </w:pPr>
      <w:r>
        <w:rPr>
          <w:rFonts w:hint="eastAsia" w:ascii="微软雅黑" w:hAnsi="微软雅黑" w:eastAsia="微软雅黑"/>
          <w:lang w:val="en-US" w:eastAsia="zh-CN"/>
        </w:rPr>
        <w:t>3</w:t>
      </w:r>
      <w:r>
        <w:rPr>
          <w:rFonts w:hint="eastAsia" w:ascii="微软雅黑" w:hAnsi="微软雅黑" w:eastAsia="微软雅黑"/>
          <w:lang w:val="en-US" w:eastAsia="zh-Hans"/>
        </w:rPr>
        <w:t>、绩效汇总界面可更新供应商综合能力标签、工艺标签，宝姿可选择重点标签以其它颜色标识/填充。</w:t>
      </w:r>
    </w:p>
    <w:p>
      <w:pPr>
        <w:ind w:firstLine="420" w:firstLineChars="0"/>
        <w:rPr>
          <w:rFonts w:hint="eastAsia" w:ascii="微软雅黑" w:hAnsi="微软雅黑" w:eastAsia="微软雅黑"/>
          <w:lang w:val="en-US" w:eastAsia="zh-Hans"/>
        </w:rPr>
      </w:pPr>
      <w:r>
        <w:rPr>
          <w:rFonts w:hint="eastAsia" w:ascii="微软雅黑" w:hAnsi="微软雅黑" w:eastAsia="微软雅黑"/>
          <w:lang w:val="en-US" w:eastAsia="zh-CN"/>
        </w:rPr>
        <w:t>4、</w:t>
      </w:r>
      <w:r>
        <w:rPr>
          <w:rFonts w:hint="eastAsia" w:ascii="微软雅黑" w:hAnsi="微软雅黑" w:eastAsia="微软雅黑"/>
          <w:lang w:val="en-US" w:eastAsia="zh-Hans"/>
        </w:rPr>
        <w:t>绩效和能力标签定义界面信息可互传，但在绩效评估</w:t>
      </w:r>
      <w:r>
        <w:rPr>
          <w:rFonts w:hint="eastAsia" w:ascii="微软雅黑" w:hAnsi="微软雅黑" w:eastAsia="微软雅黑"/>
          <w:lang w:val="en-US" w:eastAsia="zh-CN"/>
        </w:rPr>
        <w:t>过程中</w:t>
      </w:r>
      <w:r>
        <w:rPr>
          <w:rFonts w:hint="eastAsia" w:ascii="微软雅黑" w:hAnsi="微软雅黑" w:eastAsia="微软雅黑"/>
          <w:lang w:val="en-US" w:eastAsia="zh-Hans"/>
        </w:rPr>
        <w:t>，能力标签定义界面不可编辑。</w:t>
      </w:r>
    </w:p>
    <w:p>
      <w:pPr>
        <w:ind w:firstLine="420" w:firstLineChars="0"/>
        <w:rPr>
          <w:rFonts w:hint="default" w:ascii="微软雅黑" w:hAnsi="微软雅黑" w:eastAsia="微软雅黑"/>
          <w:lang w:val="en-US" w:eastAsia="zh-CN"/>
        </w:rPr>
      </w:pPr>
      <w:r>
        <w:rPr>
          <w:rFonts w:hint="eastAsia" w:ascii="微软雅黑" w:hAnsi="微软雅黑" w:eastAsia="微软雅黑"/>
          <w:lang w:val="en-US" w:eastAsia="zh-CN"/>
        </w:rPr>
        <w:t>5、供应商360上展示供应商能力标签。</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采购方端页面：</w:t>
      </w:r>
    </w:p>
    <w:p>
      <w:r>
        <w:drawing>
          <wp:inline distT="0" distB="0" distL="114300" distR="114300">
            <wp:extent cx="6369050" cy="3380105"/>
            <wp:effectExtent l="0" t="0" r="6350" b="1079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44"/>
                    <a:stretch>
                      <a:fillRect/>
                    </a:stretch>
                  </pic:blipFill>
                  <pic:spPr>
                    <a:xfrm>
                      <a:off x="0" y="0"/>
                      <a:ext cx="6369050" cy="3380105"/>
                    </a:xfrm>
                    <a:prstGeom prst="rect">
                      <a:avLst/>
                    </a:prstGeom>
                    <a:noFill/>
                    <a:ln>
                      <a:noFill/>
                    </a:ln>
                  </pic:spPr>
                </pic:pic>
              </a:graphicData>
            </a:graphic>
          </wp:inline>
        </w:drawing>
      </w:r>
    </w:p>
    <w:p>
      <w:pPr>
        <w:pStyle w:val="3"/>
        <w:shd w:val="clear" w:color="auto" w:fill="CCCCCC"/>
        <w:rPr>
          <w:rFonts w:hint="default"/>
          <w:lang w:val="en-US" w:eastAsia="zh-CN"/>
        </w:rPr>
      </w:pPr>
      <w:r>
        <w:rPr>
          <w:rFonts w:hint="eastAsia"/>
          <w:lang w:val="en-US" w:eastAsia="zh-CN"/>
        </w:rPr>
        <w:t>蓝图补充</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1、应用策略增加转正；</w:t>
      </w:r>
    </w:p>
    <w:p>
      <w:pPr>
        <w:ind w:firstLine="420" w:firstLineChars="0"/>
        <w:rPr>
          <w:rFonts w:hint="eastAsia" w:ascii="微软雅黑" w:hAnsi="微软雅黑" w:eastAsia="微软雅黑"/>
          <w:lang w:val="en-US" w:eastAsia="zh-CN"/>
        </w:rPr>
      </w:pPr>
      <w:r>
        <w:rPr>
          <w:rFonts w:hint="eastAsia" w:ascii="微软雅黑" w:hAnsi="微软雅黑" w:eastAsia="微软雅黑"/>
          <w:lang w:val="en-US" w:eastAsia="zh-CN"/>
        </w:rPr>
        <w:t>2、绩效评级查看列表增加考核金额排名；</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3、能力标签维护界面这里支持点击供应商编码可跳转360；</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4、数量，金额类字段右对齐，带千位符；</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5、供应商列表增加责任部门的查询条件；</w:t>
      </w:r>
    </w:p>
    <w:p>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6、考评结果发布至供应商后，供应商增加反馈功能；</w:t>
      </w:r>
    </w:p>
    <w:p>
      <w:pPr>
        <w:ind w:firstLine="420" w:firstLineChars="200"/>
        <w:rPr>
          <w:rFonts w:hint="default" w:ascii="微软雅黑" w:hAnsi="微软雅黑" w:eastAsia="微软雅黑"/>
          <w:lang w:val="en-US" w:eastAsia="zh-CN"/>
        </w:rPr>
      </w:pPr>
      <w:r>
        <w:rPr>
          <w:rFonts w:hint="eastAsia" w:ascii="微软雅黑" w:hAnsi="微软雅黑" w:eastAsia="微软雅黑"/>
          <w:lang w:val="en-US" w:eastAsia="zh-CN"/>
        </w:rPr>
        <w:t>7、指标数据查看不作为弹窗，展示为页面形式，采购员评分时可切换查看。</w:t>
      </w:r>
    </w:p>
    <w:p>
      <w:pPr>
        <w:ind w:firstLine="420" w:firstLineChars="0"/>
        <w:rPr>
          <w:rFonts w:hint="eastAsia" w:ascii="微软雅黑" w:hAnsi="微软雅黑" w:eastAsia="微软雅黑"/>
          <w:lang w:val="en-US" w:eastAsia="zh-Hans"/>
        </w:rPr>
      </w:pPr>
    </w:p>
    <w:p>
      <w:pPr>
        <w:ind w:firstLine="420" w:firstLineChars="0"/>
        <w:rPr>
          <w:rFonts w:hint="eastAsia" w:ascii="微软雅黑" w:hAnsi="微软雅黑" w:eastAsia="微软雅黑"/>
          <w:lang w:val="en-US" w:eastAsia="zh-Hans"/>
        </w:rPr>
      </w:pPr>
    </w:p>
    <w:p>
      <w:pPr>
        <w:ind w:firstLine="420" w:firstLineChars="0"/>
        <w:rPr>
          <w:rFonts w:hint="eastAsia" w:ascii="微软雅黑" w:hAnsi="微软雅黑" w:eastAsia="微软雅黑"/>
          <w:lang w:val="en-US" w:eastAsia="zh-Hans"/>
        </w:rPr>
      </w:pPr>
    </w:p>
    <w:sectPr>
      <w:headerReference r:id="rId3" w:type="default"/>
      <w:pgSz w:w="11906" w:h="16838"/>
      <w:pgMar w:top="1440" w:right="737" w:bottom="1440"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TKTypeRegular">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PMingLiU">
    <w:altName w:val="Verdana"/>
    <w:panose1 w:val="02010601000101010101"/>
    <w:charset w:val="00"/>
    <w:family w:val="auto"/>
    <w:pitch w:val="default"/>
    <w:sig w:usb0="00000000" w:usb1="00000000" w:usb2="00000010" w:usb3="00000000" w:csb0="00100000"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rFonts w:hint="eastAsia"/>
      </w:rPr>
      <w:t xml:space="preserve"> </w:t>
    </w:r>
    <w:r>
      <w:t xml:space="preserve">                                                                                       </w:t>
    </w:r>
    <w:r>
      <w:drawing>
        <wp:inline distT="0" distB="0" distL="114300" distR="114300">
          <wp:extent cx="1219200" cy="438150"/>
          <wp:effectExtent l="0" t="0" r="0" b="19050"/>
          <wp:docPr id="54"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descr="1"/>
                  <pic:cNvPicPr>
                    <a:picLocks noChangeAspect="1"/>
                  </pic:cNvPicPr>
                </pic:nvPicPr>
                <pic:blipFill>
                  <a:blip r:embed="rId1"/>
                  <a:stretch>
                    <a:fillRect/>
                  </a:stretch>
                </pic:blipFill>
                <pic:spPr>
                  <a:xfrm>
                    <a:off x="0" y="0"/>
                    <a:ext cx="1219200" cy="438150"/>
                  </a:xfrm>
                  <a:prstGeom prst="rect">
                    <a:avLst/>
                  </a:prstGeom>
                  <a:noFill/>
                  <a:ln w="9525">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CE9FA"/>
    <w:multiLevelType w:val="singleLevel"/>
    <w:tmpl w:val="9D0CE9FA"/>
    <w:lvl w:ilvl="0" w:tentative="0">
      <w:start w:val="1"/>
      <w:numFmt w:val="decimal"/>
      <w:suff w:val="nothing"/>
      <w:lvlText w:val="%1、"/>
      <w:lvlJc w:val="left"/>
    </w:lvl>
  </w:abstractNum>
  <w:abstractNum w:abstractNumId="1">
    <w:nsid w:val="BBA9C4E8"/>
    <w:multiLevelType w:val="singleLevel"/>
    <w:tmpl w:val="BBA9C4E8"/>
    <w:lvl w:ilvl="0" w:tentative="0">
      <w:start w:val="1"/>
      <w:numFmt w:val="decimal"/>
      <w:suff w:val="nothing"/>
      <w:lvlText w:val="%1、"/>
      <w:lvlJc w:val="left"/>
    </w:lvl>
  </w:abstractNum>
  <w:abstractNum w:abstractNumId="2">
    <w:nsid w:val="DC0CDD2A"/>
    <w:multiLevelType w:val="singleLevel"/>
    <w:tmpl w:val="DC0CDD2A"/>
    <w:lvl w:ilvl="0" w:tentative="0">
      <w:start w:val="1"/>
      <w:numFmt w:val="decimal"/>
      <w:suff w:val="nothing"/>
      <w:lvlText w:val="（%1）"/>
      <w:lvlJc w:val="left"/>
    </w:lvl>
  </w:abstractNum>
  <w:abstractNum w:abstractNumId="3">
    <w:nsid w:val="E4CE3574"/>
    <w:multiLevelType w:val="singleLevel"/>
    <w:tmpl w:val="E4CE3574"/>
    <w:lvl w:ilvl="0" w:tentative="0">
      <w:start w:val="1"/>
      <w:numFmt w:val="decimal"/>
      <w:suff w:val="nothing"/>
      <w:lvlText w:val="（%1）"/>
      <w:lvlJc w:val="left"/>
    </w:lvl>
  </w:abstractNum>
  <w:abstractNum w:abstractNumId="4">
    <w:nsid w:val="EB923FF4"/>
    <w:multiLevelType w:val="singleLevel"/>
    <w:tmpl w:val="EB923FF4"/>
    <w:lvl w:ilvl="0" w:tentative="0">
      <w:start w:val="1"/>
      <w:numFmt w:val="decimal"/>
      <w:suff w:val="nothing"/>
      <w:lvlText w:val="%1、"/>
      <w:lvlJc w:val="left"/>
    </w:lvl>
  </w:abstractNum>
  <w:abstractNum w:abstractNumId="5">
    <w:nsid w:val="FC5053DE"/>
    <w:multiLevelType w:val="singleLevel"/>
    <w:tmpl w:val="FC5053DE"/>
    <w:lvl w:ilvl="0" w:tentative="0">
      <w:start w:val="1"/>
      <w:numFmt w:val="decimal"/>
      <w:suff w:val="nothing"/>
      <w:lvlText w:val="（%1）"/>
      <w:lvlJc w:val="left"/>
    </w:lvl>
  </w:abstractNum>
  <w:abstractNum w:abstractNumId="6">
    <w:nsid w:val="08334410"/>
    <w:multiLevelType w:val="multilevel"/>
    <w:tmpl w:val="08334410"/>
    <w:lvl w:ilvl="0" w:tentative="0">
      <w:start w:val="1"/>
      <w:numFmt w:val="decimal"/>
      <w:pStyle w:val="2"/>
      <w:lvlText w:val="第%1章"/>
      <w:lvlJc w:val="left"/>
      <w:pPr>
        <w:tabs>
          <w:tab w:val="left" w:pos="1021"/>
        </w:tabs>
        <w:ind w:left="1021" w:hanging="1021"/>
      </w:pPr>
      <w:rPr>
        <w:rFonts w:hint="eastAsia" w:ascii="Verdana"/>
      </w:rPr>
    </w:lvl>
    <w:lvl w:ilvl="1" w:tentative="0">
      <w:start w:val="1"/>
      <w:numFmt w:val="decimal"/>
      <w:pStyle w:val="3"/>
      <w:lvlText w:val="%1.%2"/>
      <w:lvlJc w:val="left"/>
      <w:pPr>
        <w:tabs>
          <w:tab w:val="left" w:pos="1021"/>
        </w:tabs>
        <w:ind w:left="1021" w:hanging="1021"/>
      </w:pPr>
      <w:rPr>
        <w:rFonts w:hint="eastAsia" w:ascii="Verdana"/>
        <w:sz w:val="24"/>
        <w:szCs w:val="24"/>
      </w:rPr>
    </w:lvl>
    <w:lvl w:ilvl="2" w:tentative="0">
      <w:start w:val="1"/>
      <w:numFmt w:val="decimal"/>
      <w:pStyle w:val="4"/>
      <w:lvlText w:val="%1.%2.%3"/>
      <w:lvlJc w:val="left"/>
      <w:pPr>
        <w:tabs>
          <w:tab w:val="left" w:pos="1021"/>
        </w:tabs>
        <w:ind w:left="1021" w:hanging="1021"/>
      </w:pPr>
      <w:rPr>
        <w:rFonts w:hint="eastAsia" w:ascii="Verdana" w:hAnsi="Verdana"/>
        <w:sz w:val="21"/>
        <w:lang w:val="en-US"/>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7">
    <w:nsid w:val="113D0BA1"/>
    <w:multiLevelType w:val="multilevel"/>
    <w:tmpl w:val="113D0BA1"/>
    <w:lvl w:ilvl="0" w:tentative="0">
      <w:start w:val="1"/>
      <w:numFmt w:val="bullet"/>
      <w:pStyle w:val="12"/>
      <w:lvlText w:val=""/>
      <w:lvlJc w:val="left"/>
      <w:pPr>
        <w:tabs>
          <w:tab w:val="left" w:pos="360"/>
        </w:tabs>
        <w:ind w:left="360" w:hanging="360"/>
      </w:pPr>
      <w:rPr>
        <w:rFonts w:hint="default" w:ascii="Wingdings" w:hAnsi="Wingdings"/>
        <w:color w:val="061DC8"/>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136EF297"/>
    <w:multiLevelType w:val="singleLevel"/>
    <w:tmpl w:val="136EF297"/>
    <w:lvl w:ilvl="0" w:tentative="0">
      <w:start w:val="1"/>
      <w:numFmt w:val="decimal"/>
      <w:suff w:val="nothing"/>
      <w:lvlText w:val="（%1）"/>
      <w:lvlJc w:val="left"/>
    </w:lvl>
  </w:abstractNum>
  <w:abstractNum w:abstractNumId="9">
    <w:nsid w:val="1FC91163"/>
    <w:multiLevelType w:val="multilevel"/>
    <w:tmpl w:val="1FC91163"/>
    <w:lvl w:ilvl="0" w:tentative="0">
      <w:start w:val="1"/>
      <w:numFmt w:val="decimal"/>
      <w:pStyle w:val="45"/>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4"/>
      <w:suff w:val="nothing"/>
      <w:lvlText w:val="%1.%2　"/>
      <w:lvlJc w:val="left"/>
      <w:pPr>
        <w:ind w:left="71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pStyle w:val="43"/>
      <w:suff w:val="nothing"/>
      <w:lvlText w:val="%1.%2.%3　"/>
      <w:lvlJc w:val="left"/>
      <w:pPr>
        <w:ind w:left="630" w:firstLine="0"/>
      </w:pPr>
      <w:rPr>
        <w:rFonts w:hint="eastAsia" w:ascii="黑体" w:hAnsi="Times New Roman" w:eastAsia="黑体"/>
        <w:b w:val="0"/>
        <w:i w:val="0"/>
        <w:sz w:val="21"/>
      </w:rPr>
    </w:lvl>
    <w:lvl w:ilvl="3" w:tentative="0">
      <w:start w:val="1"/>
      <w:numFmt w:val="decimal"/>
      <w:pStyle w:val="42"/>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7"/>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433247F9"/>
    <w:multiLevelType w:val="singleLevel"/>
    <w:tmpl w:val="433247F9"/>
    <w:lvl w:ilvl="0" w:tentative="0">
      <w:start w:val="1"/>
      <w:numFmt w:val="decimal"/>
      <w:suff w:val="nothing"/>
      <w:lvlText w:val="（%1）"/>
      <w:lvlJc w:val="left"/>
    </w:lvl>
  </w:abstractNum>
  <w:abstractNum w:abstractNumId="11">
    <w:nsid w:val="56ADE6AD"/>
    <w:multiLevelType w:val="singleLevel"/>
    <w:tmpl w:val="56ADE6AD"/>
    <w:lvl w:ilvl="0" w:tentative="0">
      <w:start w:val="1"/>
      <w:numFmt w:val="decimal"/>
      <w:suff w:val="nothing"/>
      <w:lvlText w:val="（%1）"/>
      <w:lvlJc w:val="left"/>
    </w:lvl>
  </w:abstractNum>
  <w:abstractNum w:abstractNumId="12">
    <w:nsid w:val="60BF454C"/>
    <w:multiLevelType w:val="multilevel"/>
    <w:tmpl w:val="60BF454C"/>
    <w:lvl w:ilvl="0" w:tentative="0">
      <w:start w:val="1"/>
      <w:numFmt w:val="bullet"/>
      <w:pStyle w:val="14"/>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7AB4A8D1"/>
    <w:multiLevelType w:val="singleLevel"/>
    <w:tmpl w:val="7AB4A8D1"/>
    <w:lvl w:ilvl="0" w:tentative="0">
      <w:start w:val="1"/>
      <w:numFmt w:val="decimal"/>
      <w:suff w:val="nothing"/>
      <w:lvlText w:val="%1、"/>
      <w:lvlJc w:val="left"/>
    </w:lvl>
  </w:abstractNum>
  <w:num w:numId="1">
    <w:abstractNumId w:val="6"/>
  </w:num>
  <w:num w:numId="2">
    <w:abstractNumId w:val="7"/>
  </w:num>
  <w:num w:numId="3">
    <w:abstractNumId w:val="12"/>
  </w:num>
  <w:num w:numId="4">
    <w:abstractNumId w:val="9"/>
  </w:num>
  <w:num w:numId="5">
    <w:abstractNumId w:val="10"/>
  </w:num>
  <w:num w:numId="6">
    <w:abstractNumId w:val="0"/>
  </w:num>
  <w:num w:numId="7">
    <w:abstractNumId w:val="13"/>
  </w:num>
  <w:num w:numId="8">
    <w:abstractNumId w:val="5"/>
  </w:num>
  <w:num w:numId="9">
    <w:abstractNumId w:val="8"/>
  </w:num>
  <w:num w:numId="10">
    <w:abstractNumId w:val="3"/>
  </w:num>
  <w:num w:numId="11">
    <w:abstractNumId w:val="1"/>
  </w:num>
  <w:num w:numId="12">
    <w:abstractNumId w:val="4"/>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jMGNkYzRlM2U5NWMwODQxYTYyZmFjYmRiYzRkMWEifQ=="/>
  </w:docVars>
  <w:rsids>
    <w:rsidRoot w:val="0061660C"/>
    <w:rsid w:val="00004226"/>
    <w:rsid w:val="000055EB"/>
    <w:rsid w:val="00010000"/>
    <w:rsid w:val="00013886"/>
    <w:rsid w:val="00020571"/>
    <w:rsid w:val="00024498"/>
    <w:rsid w:val="00024F8C"/>
    <w:rsid w:val="00027BC8"/>
    <w:rsid w:val="00033B32"/>
    <w:rsid w:val="00035E63"/>
    <w:rsid w:val="000369ED"/>
    <w:rsid w:val="000376FA"/>
    <w:rsid w:val="00040081"/>
    <w:rsid w:val="00045396"/>
    <w:rsid w:val="00046F24"/>
    <w:rsid w:val="00047E6B"/>
    <w:rsid w:val="00050156"/>
    <w:rsid w:val="000514A0"/>
    <w:rsid w:val="000519DD"/>
    <w:rsid w:val="00051CA1"/>
    <w:rsid w:val="00053EE3"/>
    <w:rsid w:val="000547F8"/>
    <w:rsid w:val="00056EF2"/>
    <w:rsid w:val="000606F7"/>
    <w:rsid w:val="00060FA5"/>
    <w:rsid w:val="00061737"/>
    <w:rsid w:val="00061BB0"/>
    <w:rsid w:val="0006394C"/>
    <w:rsid w:val="000670D5"/>
    <w:rsid w:val="00072821"/>
    <w:rsid w:val="00072BE1"/>
    <w:rsid w:val="00077132"/>
    <w:rsid w:val="0007736E"/>
    <w:rsid w:val="00082216"/>
    <w:rsid w:val="0008237D"/>
    <w:rsid w:val="000829A7"/>
    <w:rsid w:val="00085329"/>
    <w:rsid w:val="000859B4"/>
    <w:rsid w:val="000867E1"/>
    <w:rsid w:val="00091E8E"/>
    <w:rsid w:val="000948AE"/>
    <w:rsid w:val="00097D85"/>
    <w:rsid w:val="000A1081"/>
    <w:rsid w:val="000A1F79"/>
    <w:rsid w:val="000A3972"/>
    <w:rsid w:val="000A6960"/>
    <w:rsid w:val="000B175A"/>
    <w:rsid w:val="000B1EE1"/>
    <w:rsid w:val="000B2C7A"/>
    <w:rsid w:val="000B2ECC"/>
    <w:rsid w:val="000B3178"/>
    <w:rsid w:val="000B3C94"/>
    <w:rsid w:val="000C4606"/>
    <w:rsid w:val="000C7D6D"/>
    <w:rsid w:val="000D49F2"/>
    <w:rsid w:val="000D7514"/>
    <w:rsid w:val="000E3055"/>
    <w:rsid w:val="000E59CE"/>
    <w:rsid w:val="000E7F77"/>
    <w:rsid w:val="000F1904"/>
    <w:rsid w:val="000F1B79"/>
    <w:rsid w:val="000F28C0"/>
    <w:rsid w:val="000F48A0"/>
    <w:rsid w:val="000F7F5B"/>
    <w:rsid w:val="00100433"/>
    <w:rsid w:val="0010584D"/>
    <w:rsid w:val="00105A80"/>
    <w:rsid w:val="00111727"/>
    <w:rsid w:val="001122E2"/>
    <w:rsid w:val="0011539E"/>
    <w:rsid w:val="001171E5"/>
    <w:rsid w:val="0012360D"/>
    <w:rsid w:val="00123C68"/>
    <w:rsid w:val="00124EAC"/>
    <w:rsid w:val="00132017"/>
    <w:rsid w:val="001323D0"/>
    <w:rsid w:val="00133F57"/>
    <w:rsid w:val="00134E38"/>
    <w:rsid w:val="00135135"/>
    <w:rsid w:val="0013610B"/>
    <w:rsid w:val="00140B4E"/>
    <w:rsid w:val="001458D4"/>
    <w:rsid w:val="00146235"/>
    <w:rsid w:val="00146A24"/>
    <w:rsid w:val="00150647"/>
    <w:rsid w:val="00160257"/>
    <w:rsid w:val="0016357A"/>
    <w:rsid w:val="00164A74"/>
    <w:rsid w:val="00171907"/>
    <w:rsid w:val="001730C3"/>
    <w:rsid w:val="0017400E"/>
    <w:rsid w:val="00174B7F"/>
    <w:rsid w:val="00180A29"/>
    <w:rsid w:val="001836AF"/>
    <w:rsid w:val="00184F13"/>
    <w:rsid w:val="0018542B"/>
    <w:rsid w:val="00186429"/>
    <w:rsid w:val="00194D91"/>
    <w:rsid w:val="001962A1"/>
    <w:rsid w:val="00196B8A"/>
    <w:rsid w:val="00197F21"/>
    <w:rsid w:val="001A0331"/>
    <w:rsid w:val="001A1A4B"/>
    <w:rsid w:val="001A5741"/>
    <w:rsid w:val="001A6E15"/>
    <w:rsid w:val="001B0CCF"/>
    <w:rsid w:val="001B196D"/>
    <w:rsid w:val="001B7A92"/>
    <w:rsid w:val="001C0284"/>
    <w:rsid w:val="001C21D2"/>
    <w:rsid w:val="001C4B03"/>
    <w:rsid w:val="001C6AFA"/>
    <w:rsid w:val="001D17AB"/>
    <w:rsid w:val="001D1CB9"/>
    <w:rsid w:val="001D2B20"/>
    <w:rsid w:val="001D3E57"/>
    <w:rsid w:val="001D4087"/>
    <w:rsid w:val="001D6A34"/>
    <w:rsid w:val="001D72D5"/>
    <w:rsid w:val="001E08F2"/>
    <w:rsid w:val="001E2E68"/>
    <w:rsid w:val="001E4256"/>
    <w:rsid w:val="001E4D97"/>
    <w:rsid w:val="001F4ABF"/>
    <w:rsid w:val="001F78DD"/>
    <w:rsid w:val="00201171"/>
    <w:rsid w:val="002025B2"/>
    <w:rsid w:val="00202884"/>
    <w:rsid w:val="00203426"/>
    <w:rsid w:val="00204E0F"/>
    <w:rsid w:val="00205E39"/>
    <w:rsid w:val="00207E38"/>
    <w:rsid w:val="00214640"/>
    <w:rsid w:val="00215716"/>
    <w:rsid w:val="00217F82"/>
    <w:rsid w:val="0022001B"/>
    <w:rsid w:val="002225D0"/>
    <w:rsid w:val="00225A2C"/>
    <w:rsid w:val="0022637B"/>
    <w:rsid w:val="002307AC"/>
    <w:rsid w:val="002308C7"/>
    <w:rsid w:val="00232B64"/>
    <w:rsid w:val="00232F47"/>
    <w:rsid w:val="002335F9"/>
    <w:rsid w:val="00233964"/>
    <w:rsid w:val="00234915"/>
    <w:rsid w:val="002363E0"/>
    <w:rsid w:val="00240D1E"/>
    <w:rsid w:val="00247CFC"/>
    <w:rsid w:val="00250957"/>
    <w:rsid w:val="002529DA"/>
    <w:rsid w:val="00253D13"/>
    <w:rsid w:val="0025577C"/>
    <w:rsid w:val="002558EB"/>
    <w:rsid w:val="00256037"/>
    <w:rsid w:val="0025603C"/>
    <w:rsid w:val="0026146D"/>
    <w:rsid w:val="00262AE5"/>
    <w:rsid w:val="0026497D"/>
    <w:rsid w:val="002664ED"/>
    <w:rsid w:val="002672FC"/>
    <w:rsid w:val="002719FD"/>
    <w:rsid w:val="00272CFD"/>
    <w:rsid w:val="00275085"/>
    <w:rsid w:val="00275BFF"/>
    <w:rsid w:val="002769AB"/>
    <w:rsid w:val="002809BF"/>
    <w:rsid w:val="00280E6D"/>
    <w:rsid w:val="002820ED"/>
    <w:rsid w:val="00282E2B"/>
    <w:rsid w:val="00284377"/>
    <w:rsid w:val="0028488D"/>
    <w:rsid w:val="00284A5D"/>
    <w:rsid w:val="002913C2"/>
    <w:rsid w:val="002A09D0"/>
    <w:rsid w:val="002A457E"/>
    <w:rsid w:val="002A6D1A"/>
    <w:rsid w:val="002B2710"/>
    <w:rsid w:val="002B4A40"/>
    <w:rsid w:val="002B5869"/>
    <w:rsid w:val="002B6734"/>
    <w:rsid w:val="002B71A7"/>
    <w:rsid w:val="002B7E00"/>
    <w:rsid w:val="002C13D8"/>
    <w:rsid w:val="002C2787"/>
    <w:rsid w:val="002C48E3"/>
    <w:rsid w:val="002C5C7E"/>
    <w:rsid w:val="002C7194"/>
    <w:rsid w:val="002D117A"/>
    <w:rsid w:val="002D3629"/>
    <w:rsid w:val="002D365B"/>
    <w:rsid w:val="002D3DCF"/>
    <w:rsid w:val="002D497F"/>
    <w:rsid w:val="002D71BA"/>
    <w:rsid w:val="002E0F72"/>
    <w:rsid w:val="002E11F6"/>
    <w:rsid w:val="002E195E"/>
    <w:rsid w:val="002E257D"/>
    <w:rsid w:val="002E2610"/>
    <w:rsid w:val="002E350E"/>
    <w:rsid w:val="002E3C50"/>
    <w:rsid w:val="002E4DEA"/>
    <w:rsid w:val="002F10BD"/>
    <w:rsid w:val="002F225A"/>
    <w:rsid w:val="002F4B37"/>
    <w:rsid w:val="002F4B9A"/>
    <w:rsid w:val="002F7183"/>
    <w:rsid w:val="00303650"/>
    <w:rsid w:val="0030758D"/>
    <w:rsid w:val="003134EA"/>
    <w:rsid w:val="003178BC"/>
    <w:rsid w:val="00322278"/>
    <w:rsid w:val="00322C41"/>
    <w:rsid w:val="00322E13"/>
    <w:rsid w:val="00322E62"/>
    <w:rsid w:val="003230B7"/>
    <w:rsid w:val="00326EA0"/>
    <w:rsid w:val="0033111B"/>
    <w:rsid w:val="003341FB"/>
    <w:rsid w:val="003422B4"/>
    <w:rsid w:val="00344323"/>
    <w:rsid w:val="00345D11"/>
    <w:rsid w:val="003475AC"/>
    <w:rsid w:val="00347F9B"/>
    <w:rsid w:val="00353784"/>
    <w:rsid w:val="0035638F"/>
    <w:rsid w:val="00357204"/>
    <w:rsid w:val="003578DC"/>
    <w:rsid w:val="003665C8"/>
    <w:rsid w:val="00366F49"/>
    <w:rsid w:val="0036700D"/>
    <w:rsid w:val="0036751A"/>
    <w:rsid w:val="003728A3"/>
    <w:rsid w:val="00372CC4"/>
    <w:rsid w:val="003772AB"/>
    <w:rsid w:val="00382D0F"/>
    <w:rsid w:val="003832C5"/>
    <w:rsid w:val="00383C68"/>
    <w:rsid w:val="003A055C"/>
    <w:rsid w:val="003A10AE"/>
    <w:rsid w:val="003A4D50"/>
    <w:rsid w:val="003A5281"/>
    <w:rsid w:val="003A55C9"/>
    <w:rsid w:val="003A7BD0"/>
    <w:rsid w:val="003B0442"/>
    <w:rsid w:val="003B0DA1"/>
    <w:rsid w:val="003B511D"/>
    <w:rsid w:val="003B624C"/>
    <w:rsid w:val="003B7354"/>
    <w:rsid w:val="003C475E"/>
    <w:rsid w:val="003C6705"/>
    <w:rsid w:val="003D0266"/>
    <w:rsid w:val="003D077A"/>
    <w:rsid w:val="003D1070"/>
    <w:rsid w:val="003D3343"/>
    <w:rsid w:val="003D4669"/>
    <w:rsid w:val="003D49FF"/>
    <w:rsid w:val="003D5D49"/>
    <w:rsid w:val="003D635E"/>
    <w:rsid w:val="003D695C"/>
    <w:rsid w:val="003E31B0"/>
    <w:rsid w:val="003E604C"/>
    <w:rsid w:val="003F01C8"/>
    <w:rsid w:val="003F085F"/>
    <w:rsid w:val="003F119E"/>
    <w:rsid w:val="003F4E2A"/>
    <w:rsid w:val="003F72E3"/>
    <w:rsid w:val="003F7CA1"/>
    <w:rsid w:val="00403088"/>
    <w:rsid w:val="00405A07"/>
    <w:rsid w:val="00410AC9"/>
    <w:rsid w:val="0041192E"/>
    <w:rsid w:val="00411E32"/>
    <w:rsid w:val="00413034"/>
    <w:rsid w:val="00420856"/>
    <w:rsid w:val="0042209D"/>
    <w:rsid w:val="00422214"/>
    <w:rsid w:val="004228E0"/>
    <w:rsid w:val="004233D6"/>
    <w:rsid w:val="00425113"/>
    <w:rsid w:val="004252C5"/>
    <w:rsid w:val="00426779"/>
    <w:rsid w:val="004271D2"/>
    <w:rsid w:val="00435B17"/>
    <w:rsid w:val="0044016E"/>
    <w:rsid w:val="00442256"/>
    <w:rsid w:val="00442604"/>
    <w:rsid w:val="00450A11"/>
    <w:rsid w:val="004533BE"/>
    <w:rsid w:val="0045498A"/>
    <w:rsid w:val="004575E8"/>
    <w:rsid w:val="00457945"/>
    <w:rsid w:val="0046021B"/>
    <w:rsid w:val="00460DC0"/>
    <w:rsid w:val="0046109F"/>
    <w:rsid w:val="00465304"/>
    <w:rsid w:val="00467499"/>
    <w:rsid w:val="0047310D"/>
    <w:rsid w:val="0047387C"/>
    <w:rsid w:val="0048000A"/>
    <w:rsid w:val="00480990"/>
    <w:rsid w:val="00481DDE"/>
    <w:rsid w:val="0048334B"/>
    <w:rsid w:val="00487448"/>
    <w:rsid w:val="00490693"/>
    <w:rsid w:val="00494B4A"/>
    <w:rsid w:val="004968BB"/>
    <w:rsid w:val="004A11A7"/>
    <w:rsid w:val="004A20A5"/>
    <w:rsid w:val="004A3D19"/>
    <w:rsid w:val="004A69A7"/>
    <w:rsid w:val="004A7104"/>
    <w:rsid w:val="004B416B"/>
    <w:rsid w:val="004B72D7"/>
    <w:rsid w:val="004C17AA"/>
    <w:rsid w:val="004D1A98"/>
    <w:rsid w:val="004D34D3"/>
    <w:rsid w:val="004D6B9D"/>
    <w:rsid w:val="004E4345"/>
    <w:rsid w:val="004E6E05"/>
    <w:rsid w:val="004F55E8"/>
    <w:rsid w:val="005031B7"/>
    <w:rsid w:val="00504C36"/>
    <w:rsid w:val="005076C1"/>
    <w:rsid w:val="00515998"/>
    <w:rsid w:val="0052036C"/>
    <w:rsid w:val="005205E5"/>
    <w:rsid w:val="00521769"/>
    <w:rsid w:val="0052251A"/>
    <w:rsid w:val="00522A5E"/>
    <w:rsid w:val="00522B09"/>
    <w:rsid w:val="005240B2"/>
    <w:rsid w:val="00525D80"/>
    <w:rsid w:val="00532552"/>
    <w:rsid w:val="005325DD"/>
    <w:rsid w:val="00533863"/>
    <w:rsid w:val="005342A0"/>
    <w:rsid w:val="005366F3"/>
    <w:rsid w:val="00540F3F"/>
    <w:rsid w:val="0054424A"/>
    <w:rsid w:val="00544BBB"/>
    <w:rsid w:val="00545902"/>
    <w:rsid w:val="00547C3E"/>
    <w:rsid w:val="00553601"/>
    <w:rsid w:val="005571FA"/>
    <w:rsid w:val="005617B8"/>
    <w:rsid w:val="005621EF"/>
    <w:rsid w:val="00562F68"/>
    <w:rsid w:val="00567B54"/>
    <w:rsid w:val="00567BDE"/>
    <w:rsid w:val="00571823"/>
    <w:rsid w:val="005739D7"/>
    <w:rsid w:val="00574BEE"/>
    <w:rsid w:val="00576622"/>
    <w:rsid w:val="00581474"/>
    <w:rsid w:val="00583DC6"/>
    <w:rsid w:val="0058737B"/>
    <w:rsid w:val="00587A92"/>
    <w:rsid w:val="005900C9"/>
    <w:rsid w:val="00591657"/>
    <w:rsid w:val="005916C5"/>
    <w:rsid w:val="00592D5A"/>
    <w:rsid w:val="0059313C"/>
    <w:rsid w:val="00594249"/>
    <w:rsid w:val="005944C0"/>
    <w:rsid w:val="0059635C"/>
    <w:rsid w:val="0059691B"/>
    <w:rsid w:val="00597EF2"/>
    <w:rsid w:val="005A14CA"/>
    <w:rsid w:val="005A210D"/>
    <w:rsid w:val="005A5378"/>
    <w:rsid w:val="005B13C1"/>
    <w:rsid w:val="005B20D6"/>
    <w:rsid w:val="005B6A4C"/>
    <w:rsid w:val="005C024D"/>
    <w:rsid w:val="005C3C4F"/>
    <w:rsid w:val="005C406B"/>
    <w:rsid w:val="005C50AB"/>
    <w:rsid w:val="005C5BED"/>
    <w:rsid w:val="005C6AB7"/>
    <w:rsid w:val="005C6DFD"/>
    <w:rsid w:val="005C72AD"/>
    <w:rsid w:val="005C786C"/>
    <w:rsid w:val="005C7FA3"/>
    <w:rsid w:val="005D1ED0"/>
    <w:rsid w:val="005D4B35"/>
    <w:rsid w:val="005D538D"/>
    <w:rsid w:val="005E0EE3"/>
    <w:rsid w:val="005E1291"/>
    <w:rsid w:val="005E1A4B"/>
    <w:rsid w:val="005E1C6F"/>
    <w:rsid w:val="005E2403"/>
    <w:rsid w:val="005E7E3B"/>
    <w:rsid w:val="005F0818"/>
    <w:rsid w:val="005F15AD"/>
    <w:rsid w:val="005F189F"/>
    <w:rsid w:val="005F42CB"/>
    <w:rsid w:val="005F6681"/>
    <w:rsid w:val="00600FF8"/>
    <w:rsid w:val="0060342E"/>
    <w:rsid w:val="00603592"/>
    <w:rsid w:val="006054A6"/>
    <w:rsid w:val="00606F61"/>
    <w:rsid w:val="006075BB"/>
    <w:rsid w:val="00610316"/>
    <w:rsid w:val="00610BD9"/>
    <w:rsid w:val="006110BD"/>
    <w:rsid w:val="00614291"/>
    <w:rsid w:val="00614D9F"/>
    <w:rsid w:val="00615D6D"/>
    <w:rsid w:val="006162E1"/>
    <w:rsid w:val="0061660C"/>
    <w:rsid w:val="0061690F"/>
    <w:rsid w:val="006175D7"/>
    <w:rsid w:val="00624A2C"/>
    <w:rsid w:val="00625467"/>
    <w:rsid w:val="006275CB"/>
    <w:rsid w:val="0063026D"/>
    <w:rsid w:val="00631035"/>
    <w:rsid w:val="00631811"/>
    <w:rsid w:val="006410E7"/>
    <w:rsid w:val="0064439F"/>
    <w:rsid w:val="006443B5"/>
    <w:rsid w:val="006479A9"/>
    <w:rsid w:val="0065182D"/>
    <w:rsid w:val="00653AD0"/>
    <w:rsid w:val="00660903"/>
    <w:rsid w:val="00662BAF"/>
    <w:rsid w:val="00664718"/>
    <w:rsid w:val="00664BD9"/>
    <w:rsid w:val="006656EA"/>
    <w:rsid w:val="00665C99"/>
    <w:rsid w:val="0067190E"/>
    <w:rsid w:val="00673632"/>
    <w:rsid w:val="00675B41"/>
    <w:rsid w:val="006778AC"/>
    <w:rsid w:val="0068034E"/>
    <w:rsid w:val="00680461"/>
    <w:rsid w:val="00681FC6"/>
    <w:rsid w:val="00684DC7"/>
    <w:rsid w:val="006878B5"/>
    <w:rsid w:val="00691233"/>
    <w:rsid w:val="0069135B"/>
    <w:rsid w:val="006932CE"/>
    <w:rsid w:val="00696553"/>
    <w:rsid w:val="006968BC"/>
    <w:rsid w:val="0069709D"/>
    <w:rsid w:val="006A2D5B"/>
    <w:rsid w:val="006A3B80"/>
    <w:rsid w:val="006A555C"/>
    <w:rsid w:val="006A5DC4"/>
    <w:rsid w:val="006A7FB7"/>
    <w:rsid w:val="006B2AA8"/>
    <w:rsid w:val="006C65CD"/>
    <w:rsid w:val="006C664A"/>
    <w:rsid w:val="006C741E"/>
    <w:rsid w:val="006D2BE5"/>
    <w:rsid w:val="006D4D4D"/>
    <w:rsid w:val="006D6816"/>
    <w:rsid w:val="006F2EDA"/>
    <w:rsid w:val="00700E49"/>
    <w:rsid w:val="00701776"/>
    <w:rsid w:val="007018E4"/>
    <w:rsid w:val="007023DF"/>
    <w:rsid w:val="00702CD8"/>
    <w:rsid w:val="00703061"/>
    <w:rsid w:val="00706400"/>
    <w:rsid w:val="00710054"/>
    <w:rsid w:val="007105ED"/>
    <w:rsid w:val="00711FA9"/>
    <w:rsid w:val="0071340F"/>
    <w:rsid w:val="00713573"/>
    <w:rsid w:val="00714889"/>
    <w:rsid w:val="00715F81"/>
    <w:rsid w:val="007208B6"/>
    <w:rsid w:val="00722E1A"/>
    <w:rsid w:val="00725DB2"/>
    <w:rsid w:val="00732251"/>
    <w:rsid w:val="00733652"/>
    <w:rsid w:val="007357AA"/>
    <w:rsid w:val="0073633E"/>
    <w:rsid w:val="00737773"/>
    <w:rsid w:val="00737A6A"/>
    <w:rsid w:val="00737EAC"/>
    <w:rsid w:val="00740FF5"/>
    <w:rsid w:val="00741E02"/>
    <w:rsid w:val="00742E1F"/>
    <w:rsid w:val="007439D6"/>
    <w:rsid w:val="00745936"/>
    <w:rsid w:val="0074712D"/>
    <w:rsid w:val="007509CC"/>
    <w:rsid w:val="00750D49"/>
    <w:rsid w:val="00750ECF"/>
    <w:rsid w:val="00755F00"/>
    <w:rsid w:val="00755FF0"/>
    <w:rsid w:val="00756C28"/>
    <w:rsid w:val="00757A60"/>
    <w:rsid w:val="00760DAB"/>
    <w:rsid w:val="00762951"/>
    <w:rsid w:val="0076613D"/>
    <w:rsid w:val="00774878"/>
    <w:rsid w:val="00785D35"/>
    <w:rsid w:val="007867FF"/>
    <w:rsid w:val="00786BAB"/>
    <w:rsid w:val="007907B3"/>
    <w:rsid w:val="00791B44"/>
    <w:rsid w:val="00792B19"/>
    <w:rsid w:val="00793380"/>
    <w:rsid w:val="00794699"/>
    <w:rsid w:val="007A2380"/>
    <w:rsid w:val="007A396E"/>
    <w:rsid w:val="007A3A83"/>
    <w:rsid w:val="007B26EB"/>
    <w:rsid w:val="007B2A47"/>
    <w:rsid w:val="007B3D9D"/>
    <w:rsid w:val="007B4885"/>
    <w:rsid w:val="007C1F2F"/>
    <w:rsid w:val="007C3208"/>
    <w:rsid w:val="007C5721"/>
    <w:rsid w:val="007C5E50"/>
    <w:rsid w:val="007C5FFA"/>
    <w:rsid w:val="007C7495"/>
    <w:rsid w:val="007D32BE"/>
    <w:rsid w:val="007D5609"/>
    <w:rsid w:val="007D628A"/>
    <w:rsid w:val="007E20F0"/>
    <w:rsid w:val="007E25E9"/>
    <w:rsid w:val="007E29BF"/>
    <w:rsid w:val="007E4BA4"/>
    <w:rsid w:val="007E684A"/>
    <w:rsid w:val="007E78DB"/>
    <w:rsid w:val="007E7FF8"/>
    <w:rsid w:val="007F1610"/>
    <w:rsid w:val="007F22EB"/>
    <w:rsid w:val="007F38EC"/>
    <w:rsid w:val="007F5194"/>
    <w:rsid w:val="007F6ADE"/>
    <w:rsid w:val="00801182"/>
    <w:rsid w:val="00805627"/>
    <w:rsid w:val="0080641B"/>
    <w:rsid w:val="00810640"/>
    <w:rsid w:val="00810B8E"/>
    <w:rsid w:val="008113FC"/>
    <w:rsid w:val="008155F2"/>
    <w:rsid w:val="00815CF7"/>
    <w:rsid w:val="00816093"/>
    <w:rsid w:val="0082055B"/>
    <w:rsid w:val="008258CA"/>
    <w:rsid w:val="00834216"/>
    <w:rsid w:val="00834DF3"/>
    <w:rsid w:val="00844724"/>
    <w:rsid w:val="00845DF0"/>
    <w:rsid w:val="00846CAB"/>
    <w:rsid w:val="00851ED4"/>
    <w:rsid w:val="0085241C"/>
    <w:rsid w:val="008532C0"/>
    <w:rsid w:val="00857699"/>
    <w:rsid w:val="00857ABE"/>
    <w:rsid w:val="00857AFB"/>
    <w:rsid w:val="00857F19"/>
    <w:rsid w:val="00862A8C"/>
    <w:rsid w:val="008632E8"/>
    <w:rsid w:val="00872475"/>
    <w:rsid w:val="0087254F"/>
    <w:rsid w:val="00873B64"/>
    <w:rsid w:val="00873DCA"/>
    <w:rsid w:val="00874295"/>
    <w:rsid w:val="00874B18"/>
    <w:rsid w:val="008772DD"/>
    <w:rsid w:val="0087778B"/>
    <w:rsid w:val="00880FD2"/>
    <w:rsid w:val="00881719"/>
    <w:rsid w:val="008904FC"/>
    <w:rsid w:val="008910B7"/>
    <w:rsid w:val="00893298"/>
    <w:rsid w:val="00895C6F"/>
    <w:rsid w:val="008A01DF"/>
    <w:rsid w:val="008A09BA"/>
    <w:rsid w:val="008A1362"/>
    <w:rsid w:val="008A26ED"/>
    <w:rsid w:val="008A7510"/>
    <w:rsid w:val="008A7E88"/>
    <w:rsid w:val="008B16F4"/>
    <w:rsid w:val="008B1A23"/>
    <w:rsid w:val="008B2EAD"/>
    <w:rsid w:val="008B3196"/>
    <w:rsid w:val="008C13ED"/>
    <w:rsid w:val="008C6165"/>
    <w:rsid w:val="008C724C"/>
    <w:rsid w:val="008D0992"/>
    <w:rsid w:val="008D191D"/>
    <w:rsid w:val="008D30B4"/>
    <w:rsid w:val="008D3393"/>
    <w:rsid w:val="008D6567"/>
    <w:rsid w:val="008D7B27"/>
    <w:rsid w:val="008E37CD"/>
    <w:rsid w:val="008E4A14"/>
    <w:rsid w:val="008E5025"/>
    <w:rsid w:val="008E71DC"/>
    <w:rsid w:val="008F1AC4"/>
    <w:rsid w:val="008F1B16"/>
    <w:rsid w:val="008F1CAC"/>
    <w:rsid w:val="008F32D0"/>
    <w:rsid w:val="008F5116"/>
    <w:rsid w:val="008F69CA"/>
    <w:rsid w:val="008F6CC5"/>
    <w:rsid w:val="008F7D92"/>
    <w:rsid w:val="0090008D"/>
    <w:rsid w:val="0090126F"/>
    <w:rsid w:val="0090459A"/>
    <w:rsid w:val="009100AB"/>
    <w:rsid w:val="00910514"/>
    <w:rsid w:val="00910629"/>
    <w:rsid w:val="0091294D"/>
    <w:rsid w:val="00913402"/>
    <w:rsid w:val="00920B59"/>
    <w:rsid w:val="00920D12"/>
    <w:rsid w:val="009224FE"/>
    <w:rsid w:val="00923746"/>
    <w:rsid w:val="00923777"/>
    <w:rsid w:val="00925143"/>
    <w:rsid w:val="00926DE0"/>
    <w:rsid w:val="009355C4"/>
    <w:rsid w:val="00937FFC"/>
    <w:rsid w:val="00941E62"/>
    <w:rsid w:val="00943031"/>
    <w:rsid w:val="00943638"/>
    <w:rsid w:val="00947566"/>
    <w:rsid w:val="009511AC"/>
    <w:rsid w:val="00954718"/>
    <w:rsid w:val="0095772C"/>
    <w:rsid w:val="00961D65"/>
    <w:rsid w:val="00964FA6"/>
    <w:rsid w:val="009737F4"/>
    <w:rsid w:val="0098203F"/>
    <w:rsid w:val="00983811"/>
    <w:rsid w:val="00984501"/>
    <w:rsid w:val="009905EA"/>
    <w:rsid w:val="009921BB"/>
    <w:rsid w:val="009930D6"/>
    <w:rsid w:val="0099324B"/>
    <w:rsid w:val="00994F84"/>
    <w:rsid w:val="009961E3"/>
    <w:rsid w:val="00997FF1"/>
    <w:rsid w:val="009A0750"/>
    <w:rsid w:val="009A38C8"/>
    <w:rsid w:val="009A7010"/>
    <w:rsid w:val="009A78A9"/>
    <w:rsid w:val="009A7912"/>
    <w:rsid w:val="009A7BFD"/>
    <w:rsid w:val="009B3BA5"/>
    <w:rsid w:val="009B4160"/>
    <w:rsid w:val="009B53CA"/>
    <w:rsid w:val="009B5E9B"/>
    <w:rsid w:val="009C047F"/>
    <w:rsid w:val="009C0F25"/>
    <w:rsid w:val="009C20A2"/>
    <w:rsid w:val="009C3CA2"/>
    <w:rsid w:val="009D1BB5"/>
    <w:rsid w:val="009D2224"/>
    <w:rsid w:val="009E0613"/>
    <w:rsid w:val="009E0830"/>
    <w:rsid w:val="009E1A0F"/>
    <w:rsid w:val="009E7DAE"/>
    <w:rsid w:val="009F1858"/>
    <w:rsid w:val="009F684D"/>
    <w:rsid w:val="00A000F2"/>
    <w:rsid w:val="00A01CF9"/>
    <w:rsid w:val="00A02E53"/>
    <w:rsid w:val="00A06793"/>
    <w:rsid w:val="00A06D0D"/>
    <w:rsid w:val="00A070A6"/>
    <w:rsid w:val="00A118F7"/>
    <w:rsid w:val="00A13F3C"/>
    <w:rsid w:val="00A151BE"/>
    <w:rsid w:val="00A165BE"/>
    <w:rsid w:val="00A17C42"/>
    <w:rsid w:val="00A22A64"/>
    <w:rsid w:val="00A25246"/>
    <w:rsid w:val="00A25E79"/>
    <w:rsid w:val="00A2747B"/>
    <w:rsid w:val="00A31C46"/>
    <w:rsid w:val="00A32C6F"/>
    <w:rsid w:val="00A332E3"/>
    <w:rsid w:val="00A361D0"/>
    <w:rsid w:val="00A3658D"/>
    <w:rsid w:val="00A36C52"/>
    <w:rsid w:val="00A37AB2"/>
    <w:rsid w:val="00A41B2A"/>
    <w:rsid w:val="00A4261E"/>
    <w:rsid w:val="00A4295C"/>
    <w:rsid w:val="00A44852"/>
    <w:rsid w:val="00A449A5"/>
    <w:rsid w:val="00A45B56"/>
    <w:rsid w:val="00A508DA"/>
    <w:rsid w:val="00A51E9C"/>
    <w:rsid w:val="00A52607"/>
    <w:rsid w:val="00A531DA"/>
    <w:rsid w:val="00A533C6"/>
    <w:rsid w:val="00A53E15"/>
    <w:rsid w:val="00A54037"/>
    <w:rsid w:val="00A54851"/>
    <w:rsid w:val="00A55A36"/>
    <w:rsid w:val="00A562F9"/>
    <w:rsid w:val="00A56D17"/>
    <w:rsid w:val="00A6244B"/>
    <w:rsid w:val="00A643D3"/>
    <w:rsid w:val="00A6763A"/>
    <w:rsid w:val="00A75619"/>
    <w:rsid w:val="00A8208B"/>
    <w:rsid w:val="00A85A65"/>
    <w:rsid w:val="00A87065"/>
    <w:rsid w:val="00A90C9D"/>
    <w:rsid w:val="00A9698B"/>
    <w:rsid w:val="00AA0BE6"/>
    <w:rsid w:val="00AA69AA"/>
    <w:rsid w:val="00AB17A5"/>
    <w:rsid w:val="00AB1E56"/>
    <w:rsid w:val="00AB4D0A"/>
    <w:rsid w:val="00AB4EEB"/>
    <w:rsid w:val="00AB7A6E"/>
    <w:rsid w:val="00AC0D6F"/>
    <w:rsid w:val="00AC4D8C"/>
    <w:rsid w:val="00AC57C9"/>
    <w:rsid w:val="00AC5D71"/>
    <w:rsid w:val="00AD3E94"/>
    <w:rsid w:val="00AE1C02"/>
    <w:rsid w:val="00AE5B38"/>
    <w:rsid w:val="00AE65C7"/>
    <w:rsid w:val="00AF0456"/>
    <w:rsid w:val="00AF2A75"/>
    <w:rsid w:val="00AF3988"/>
    <w:rsid w:val="00AF4F35"/>
    <w:rsid w:val="00AF73A8"/>
    <w:rsid w:val="00AF7AE6"/>
    <w:rsid w:val="00B000E3"/>
    <w:rsid w:val="00B026D9"/>
    <w:rsid w:val="00B027BE"/>
    <w:rsid w:val="00B02E1B"/>
    <w:rsid w:val="00B155B6"/>
    <w:rsid w:val="00B17A66"/>
    <w:rsid w:val="00B22D53"/>
    <w:rsid w:val="00B2407C"/>
    <w:rsid w:val="00B24A0A"/>
    <w:rsid w:val="00B30691"/>
    <w:rsid w:val="00B311F1"/>
    <w:rsid w:val="00B328FB"/>
    <w:rsid w:val="00B33AC4"/>
    <w:rsid w:val="00B35E32"/>
    <w:rsid w:val="00B376ED"/>
    <w:rsid w:val="00B4040F"/>
    <w:rsid w:val="00B40417"/>
    <w:rsid w:val="00B412E1"/>
    <w:rsid w:val="00B457E8"/>
    <w:rsid w:val="00B4580D"/>
    <w:rsid w:val="00B46941"/>
    <w:rsid w:val="00B476B1"/>
    <w:rsid w:val="00B52CBA"/>
    <w:rsid w:val="00B55850"/>
    <w:rsid w:val="00B601B4"/>
    <w:rsid w:val="00B62ED0"/>
    <w:rsid w:val="00B63F1C"/>
    <w:rsid w:val="00B659CF"/>
    <w:rsid w:val="00B67328"/>
    <w:rsid w:val="00B71A07"/>
    <w:rsid w:val="00B75569"/>
    <w:rsid w:val="00B769A9"/>
    <w:rsid w:val="00B77753"/>
    <w:rsid w:val="00B82646"/>
    <w:rsid w:val="00B836B7"/>
    <w:rsid w:val="00B84A34"/>
    <w:rsid w:val="00B8538B"/>
    <w:rsid w:val="00B9579A"/>
    <w:rsid w:val="00BA201F"/>
    <w:rsid w:val="00BA2BF1"/>
    <w:rsid w:val="00BA365B"/>
    <w:rsid w:val="00BA7C74"/>
    <w:rsid w:val="00BB2392"/>
    <w:rsid w:val="00BB524F"/>
    <w:rsid w:val="00BB5485"/>
    <w:rsid w:val="00BB5746"/>
    <w:rsid w:val="00BB6A71"/>
    <w:rsid w:val="00BC190F"/>
    <w:rsid w:val="00BC23C3"/>
    <w:rsid w:val="00BC36CA"/>
    <w:rsid w:val="00BD1B58"/>
    <w:rsid w:val="00BD1DE7"/>
    <w:rsid w:val="00BD2483"/>
    <w:rsid w:val="00BD24CA"/>
    <w:rsid w:val="00BD2AC5"/>
    <w:rsid w:val="00BD4222"/>
    <w:rsid w:val="00BD50D8"/>
    <w:rsid w:val="00BE0C7C"/>
    <w:rsid w:val="00BE3C3D"/>
    <w:rsid w:val="00BE47B0"/>
    <w:rsid w:val="00BE4C3E"/>
    <w:rsid w:val="00BE4C86"/>
    <w:rsid w:val="00BE58B8"/>
    <w:rsid w:val="00BE6434"/>
    <w:rsid w:val="00BE72C4"/>
    <w:rsid w:val="00BF1AAD"/>
    <w:rsid w:val="00BF3088"/>
    <w:rsid w:val="00BF3CEB"/>
    <w:rsid w:val="00BF45DE"/>
    <w:rsid w:val="00C0557A"/>
    <w:rsid w:val="00C06E72"/>
    <w:rsid w:val="00C074FB"/>
    <w:rsid w:val="00C1146C"/>
    <w:rsid w:val="00C13693"/>
    <w:rsid w:val="00C22BB9"/>
    <w:rsid w:val="00C26217"/>
    <w:rsid w:val="00C300F6"/>
    <w:rsid w:val="00C305AD"/>
    <w:rsid w:val="00C309C2"/>
    <w:rsid w:val="00C3351C"/>
    <w:rsid w:val="00C33B3A"/>
    <w:rsid w:val="00C34B34"/>
    <w:rsid w:val="00C40821"/>
    <w:rsid w:val="00C428BB"/>
    <w:rsid w:val="00C433AC"/>
    <w:rsid w:val="00C4415B"/>
    <w:rsid w:val="00C4416E"/>
    <w:rsid w:val="00C4774D"/>
    <w:rsid w:val="00C50256"/>
    <w:rsid w:val="00C502A6"/>
    <w:rsid w:val="00C504C2"/>
    <w:rsid w:val="00C53EB6"/>
    <w:rsid w:val="00C5518C"/>
    <w:rsid w:val="00C5601D"/>
    <w:rsid w:val="00C57412"/>
    <w:rsid w:val="00C57544"/>
    <w:rsid w:val="00C61B99"/>
    <w:rsid w:val="00C62FAF"/>
    <w:rsid w:val="00C63674"/>
    <w:rsid w:val="00C71522"/>
    <w:rsid w:val="00C71588"/>
    <w:rsid w:val="00C74DE2"/>
    <w:rsid w:val="00C82358"/>
    <w:rsid w:val="00C862A4"/>
    <w:rsid w:val="00C9024E"/>
    <w:rsid w:val="00C910CB"/>
    <w:rsid w:val="00C91F1A"/>
    <w:rsid w:val="00C93691"/>
    <w:rsid w:val="00C95DEB"/>
    <w:rsid w:val="00CA0CB5"/>
    <w:rsid w:val="00CA3DF6"/>
    <w:rsid w:val="00CA440F"/>
    <w:rsid w:val="00CA7DD1"/>
    <w:rsid w:val="00CB0765"/>
    <w:rsid w:val="00CB29E4"/>
    <w:rsid w:val="00CB3AF9"/>
    <w:rsid w:val="00CB3EB3"/>
    <w:rsid w:val="00CB5932"/>
    <w:rsid w:val="00CB5A88"/>
    <w:rsid w:val="00CB5B25"/>
    <w:rsid w:val="00CB6A13"/>
    <w:rsid w:val="00CB6F85"/>
    <w:rsid w:val="00CC13EC"/>
    <w:rsid w:val="00CC3378"/>
    <w:rsid w:val="00CC352D"/>
    <w:rsid w:val="00CC45B8"/>
    <w:rsid w:val="00CD039F"/>
    <w:rsid w:val="00CD22E2"/>
    <w:rsid w:val="00CD5B87"/>
    <w:rsid w:val="00CE0E14"/>
    <w:rsid w:val="00CE7FEF"/>
    <w:rsid w:val="00CF00D1"/>
    <w:rsid w:val="00CF56F2"/>
    <w:rsid w:val="00CF7006"/>
    <w:rsid w:val="00D049A0"/>
    <w:rsid w:val="00D100A1"/>
    <w:rsid w:val="00D10D4C"/>
    <w:rsid w:val="00D11427"/>
    <w:rsid w:val="00D116EF"/>
    <w:rsid w:val="00D11A0A"/>
    <w:rsid w:val="00D20865"/>
    <w:rsid w:val="00D22C17"/>
    <w:rsid w:val="00D25533"/>
    <w:rsid w:val="00D301D2"/>
    <w:rsid w:val="00D30300"/>
    <w:rsid w:val="00D31256"/>
    <w:rsid w:val="00D362DB"/>
    <w:rsid w:val="00D377FA"/>
    <w:rsid w:val="00D43868"/>
    <w:rsid w:val="00D43B1B"/>
    <w:rsid w:val="00D50647"/>
    <w:rsid w:val="00D5291E"/>
    <w:rsid w:val="00D611A1"/>
    <w:rsid w:val="00D61580"/>
    <w:rsid w:val="00D62D26"/>
    <w:rsid w:val="00D725AF"/>
    <w:rsid w:val="00D83C20"/>
    <w:rsid w:val="00D90780"/>
    <w:rsid w:val="00D90FF9"/>
    <w:rsid w:val="00DA05ED"/>
    <w:rsid w:val="00DA0684"/>
    <w:rsid w:val="00DA0DC6"/>
    <w:rsid w:val="00DB55FF"/>
    <w:rsid w:val="00DC1B67"/>
    <w:rsid w:val="00DC305D"/>
    <w:rsid w:val="00DC3156"/>
    <w:rsid w:val="00DC5210"/>
    <w:rsid w:val="00DC6299"/>
    <w:rsid w:val="00DD02AE"/>
    <w:rsid w:val="00DD328C"/>
    <w:rsid w:val="00DE2931"/>
    <w:rsid w:val="00DE41EB"/>
    <w:rsid w:val="00DE5F54"/>
    <w:rsid w:val="00DF03D0"/>
    <w:rsid w:val="00DF06F2"/>
    <w:rsid w:val="00DF4F07"/>
    <w:rsid w:val="00DF6DC0"/>
    <w:rsid w:val="00E03333"/>
    <w:rsid w:val="00E14957"/>
    <w:rsid w:val="00E23133"/>
    <w:rsid w:val="00E27353"/>
    <w:rsid w:val="00E32FCE"/>
    <w:rsid w:val="00E33272"/>
    <w:rsid w:val="00E332B1"/>
    <w:rsid w:val="00E340B8"/>
    <w:rsid w:val="00E410D4"/>
    <w:rsid w:val="00E414E9"/>
    <w:rsid w:val="00E423B1"/>
    <w:rsid w:val="00E43D68"/>
    <w:rsid w:val="00E44AA3"/>
    <w:rsid w:val="00E465F3"/>
    <w:rsid w:val="00E50700"/>
    <w:rsid w:val="00E5072C"/>
    <w:rsid w:val="00E50BE4"/>
    <w:rsid w:val="00E537B7"/>
    <w:rsid w:val="00E558B0"/>
    <w:rsid w:val="00E57AB2"/>
    <w:rsid w:val="00E60C88"/>
    <w:rsid w:val="00E63A6F"/>
    <w:rsid w:val="00E70657"/>
    <w:rsid w:val="00E77DE6"/>
    <w:rsid w:val="00E77F56"/>
    <w:rsid w:val="00E8112A"/>
    <w:rsid w:val="00E818FF"/>
    <w:rsid w:val="00E81E82"/>
    <w:rsid w:val="00E84402"/>
    <w:rsid w:val="00E9116A"/>
    <w:rsid w:val="00E92FC4"/>
    <w:rsid w:val="00E96658"/>
    <w:rsid w:val="00EA0085"/>
    <w:rsid w:val="00EA00DF"/>
    <w:rsid w:val="00EA07AC"/>
    <w:rsid w:val="00EA147C"/>
    <w:rsid w:val="00EA3682"/>
    <w:rsid w:val="00EA5643"/>
    <w:rsid w:val="00EB07E6"/>
    <w:rsid w:val="00EB195A"/>
    <w:rsid w:val="00EB46C3"/>
    <w:rsid w:val="00EB46F0"/>
    <w:rsid w:val="00EB61E6"/>
    <w:rsid w:val="00EB6A89"/>
    <w:rsid w:val="00EC0C69"/>
    <w:rsid w:val="00EC577A"/>
    <w:rsid w:val="00ED0A05"/>
    <w:rsid w:val="00ED1B35"/>
    <w:rsid w:val="00ED3F17"/>
    <w:rsid w:val="00EE08C7"/>
    <w:rsid w:val="00EE1E8C"/>
    <w:rsid w:val="00EE504C"/>
    <w:rsid w:val="00EE534F"/>
    <w:rsid w:val="00EE5E80"/>
    <w:rsid w:val="00EF084C"/>
    <w:rsid w:val="00EF1D9B"/>
    <w:rsid w:val="00EF2BEA"/>
    <w:rsid w:val="00F00238"/>
    <w:rsid w:val="00F005FE"/>
    <w:rsid w:val="00F00EF1"/>
    <w:rsid w:val="00F02502"/>
    <w:rsid w:val="00F028E5"/>
    <w:rsid w:val="00F04529"/>
    <w:rsid w:val="00F200AF"/>
    <w:rsid w:val="00F238D4"/>
    <w:rsid w:val="00F27935"/>
    <w:rsid w:val="00F27C28"/>
    <w:rsid w:val="00F30AEF"/>
    <w:rsid w:val="00F3555F"/>
    <w:rsid w:val="00F35F58"/>
    <w:rsid w:val="00F40357"/>
    <w:rsid w:val="00F45DB3"/>
    <w:rsid w:val="00F46F82"/>
    <w:rsid w:val="00F50878"/>
    <w:rsid w:val="00F51BC9"/>
    <w:rsid w:val="00F62998"/>
    <w:rsid w:val="00F65C90"/>
    <w:rsid w:val="00F6768A"/>
    <w:rsid w:val="00F67864"/>
    <w:rsid w:val="00F705E9"/>
    <w:rsid w:val="00F7171C"/>
    <w:rsid w:val="00F74134"/>
    <w:rsid w:val="00F747DD"/>
    <w:rsid w:val="00F804FD"/>
    <w:rsid w:val="00F82B72"/>
    <w:rsid w:val="00F83F8F"/>
    <w:rsid w:val="00F84AAC"/>
    <w:rsid w:val="00F856DC"/>
    <w:rsid w:val="00F85A0C"/>
    <w:rsid w:val="00F85E4F"/>
    <w:rsid w:val="00F9070E"/>
    <w:rsid w:val="00F91640"/>
    <w:rsid w:val="00F937F3"/>
    <w:rsid w:val="00F95094"/>
    <w:rsid w:val="00FA661B"/>
    <w:rsid w:val="00FB06C3"/>
    <w:rsid w:val="00FB57A0"/>
    <w:rsid w:val="00FB70DA"/>
    <w:rsid w:val="00FC0686"/>
    <w:rsid w:val="00FC3A50"/>
    <w:rsid w:val="00FC4F3B"/>
    <w:rsid w:val="00FC6143"/>
    <w:rsid w:val="00FD0EF8"/>
    <w:rsid w:val="00FD1EFA"/>
    <w:rsid w:val="00FD3DDA"/>
    <w:rsid w:val="00FD4037"/>
    <w:rsid w:val="00FD46C8"/>
    <w:rsid w:val="00FE2CDB"/>
    <w:rsid w:val="00FE3F0D"/>
    <w:rsid w:val="00FE4377"/>
    <w:rsid w:val="00FE608E"/>
    <w:rsid w:val="00FE77C2"/>
    <w:rsid w:val="00FF0176"/>
    <w:rsid w:val="00FF03DE"/>
    <w:rsid w:val="00FF09E4"/>
    <w:rsid w:val="00FF0A00"/>
    <w:rsid w:val="00FF0AAC"/>
    <w:rsid w:val="00FF16D7"/>
    <w:rsid w:val="01620359"/>
    <w:rsid w:val="018131BB"/>
    <w:rsid w:val="01994742"/>
    <w:rsid w:val="01AC5842"/>
    <w:rsid w:val="01FA65AD"/>
    <w:rsid w:val="02435E89"/>
    <w:rsid w:val="026156AD"/>
    <w:rsid w:val="02873BB9"/>
    <w:rsid w:val="02A70E88"/>
    <w:rsid w:val="02AB7D34"/>
    <w:rsid w:val="02B25989"/>
    <w:rsid w:val="02EA4873"/>
    <w:rsid w:val="034B47D7"/>
    <w:rsid w:val="03AF33C7"/>
    <w:rsid w:val="03BB2A9E"/>
    <w:rsid w:val="03CC5E60"/>
    <w:rsid w:val="03EC7ADB"/>
    <w:rsid w:val="03F618F7"/>
    <w:rsid w:val="040A2791"/>
    <w:rsid w:val="040E11E6"/>
    <w:rsid w:val="041C2E95"/>
    <w:rsid w:val="041D6583"/>
    <w:rsid w:val="0433379B"/>
    <w:rsid w:val="04440A1E"/>
    <w:rsid w:val="04F20623"/>
    <w:rsid w:val="051C4ED9"/>
    <w:rsid w:val="05211415"/>
    <w:rsid w:val="05281A17"/>
    <w:rsid w:val="053E424B"/>
    <w:rsid w:val="055C1B0D"/>
    <w:rsid w:val="055E7F35"/>
    <w:rsid w:val="05686227"/>
    <w:rsid w:val="05962A91"/>
    <w:rsid w:val="05AA653C"/>
    <w:rsid w:val="05F81055"/>
    <w:rsid w:val="062C1C6A"/>
    <w:rsid w:val="065D407D"/>
    <w:rsid w:val="06604117"/>
    <w:rsid w:val="068208C9"/>
    <w:rsid w:val="06C77B40"/>
    <w:rsid w:val="06CB64EA"/>
    <w:rsid w:val="06CF40F7"/>
    <w:rsid w:val="06D2410C"/>
    <w:rsid w:val="06E232D1"/>
    <w:rsid w:val="070103DE"/>
    <w:rsid w:val="07017DE9"/>
    <w:rsid w:val="07027DE5"/>
    <w:rsid w:val="07732ED9"/>
    <w:rsid w:val="078F2413"/>
    <w:rsid w:val="07A157CF"/>
    <w:rsid w:val="07B96770"/>
    <w:rsid w:val="07EA18BC"/>
    <w:rsid w:val="07FD79D6"/>
    <w:rsid w:val="081576BB"/>
    <w:rsid w:val="08892439"/>
    <w:rsid w:val="08D0248A"/>
    <w:rsid w:val="08F057F5"/>
    <w:rsid w:val="08F6501C"/>
    <w:rsid w:val="090E020B"/>
    <w:rsid w:val="09100E8B"/>
    <w:rsid w:val="098D720B"/>
    <w:rsid w:val="098E3A7F"/>
    <w:rsid w:val="09A54736"/>
    <w:rsid w:val="09A84B8F"/>
    <w:rsid w:val="09C20757"/>
    <w:rsid w:val="0A1827EB"/>
    <w:rsid w:val="0A3960E0"/>
    <w:rsid w:val="0A402FCB"/>
    <w:rsid w:val="0A89297D"/>
    <w:rsid w:val="0AB932AC"/>
    <w:rsid w:val="0B3C0840"/>
    <w:rsid w:val="0B5B1B71"/>
    <w:rsid w:val="0BC8786D"/>
    <w:rsid w:val="0C3A4D7D"/>
    <w:rsid w:val="0C3C4A8A"/>
    <w:rsid w:val="0C4C3AE9"/>
    <w:rsid w:val="0C6D512A"/>
    <w:rsid w:val="0C6F7B97"/>
    <w:rsid w:val="0C7B02EA"/>
    <w:rsid w:val="0C833E79"/>
    <w:rsid w:val="0C9A5E1B"/>
    <w:rsid w:val="0CA167E7"/>
    <w:rsid w:val="0CA737D5"/>
    <w:rsid w:val="0CC26DAA"/>
    <w:rsid w:val="0CCB771E"/>
    <w:rsid w:val="0CD74896"/>
    <w:rsid w:val="0CF504F3"/>
    <w:rsid w:val="0CF567B8"/>
    <w:rsid w:val="0D981488"/>
    <w:rsid w:val="0E0123ED"/>
    <w:rsid w:val="0E0363FF"/>
    <w:rsid w:val="0E0A240E"/>
    <w:rsid w:val="0E0C7B93"/>
    <w:rsid w:val="0E52151F"/>
    <w:rsid w:val="0E814C31"/>
    <w:rsid w:val="0E8816DF"/>
    <w:rsid w:val="0E8A6BE9"/>
    <w:rsid w:val="0EAF63C4"/>
    <w:rsid w:val="0ED7641D"/>
    <w:rsid w:val="0EF40828"/>
    <w:rsid w:val="0F53554E"/>
    <w:rsid w:val="0F711E78"/>
    <w:rsid w:val="0F7F00F1"/>
    <w:rsid w:val="0F837769"/>
    <w:rsid w:val="0F980FCE"/>
    <w:rsid w:val="0F9F3C10"/>
    <w:rsid w:val="0FA944D9"/>
    <w:rsid w:val="0FBB0301"/>
    <w:rsid w:val="0FCC2E32"/>
    <w:rsid w:val="0FDF5034"/>
    <w:rsid w:val="0FED2123"/>
    <w:rsid w:val="1030715C"/>
    <w:rsid w:val="103A5288"/>
    <w:rsid w:val="103D7527"/>
    <w:rsid w:val="10455B4B"/>
    <w:rsid w:val="105614DD"/>
    <w:rsid w:val="10725EA8"/>
    <w:rsid w:val="1075084D"/>
    <w:rsid w:val="10835235"/>
    <w:rsid w:val="109604DA"/>
    <w:rsid w:val="10B44B52"/>
    <w:rsid w:val="10FE2C78"/>
    <w:rsid w:val="114F61E9"/>
    <w:rsid w:val="1150218B"/>
    <w:rsid w:val="115472D1"/>
    <w:rsid w:val="11D41899"/>
    <w:rsid w:val="11DB48A9"/>
    <w:rsid w:val="11DF71D0"/>
    <w:rsid w:val="11FE099D"/>
    <w:rsid w:val="1202325C"/>
    <w:rsid w:val="121572D4"/>
    <w:rsid w:val="123C49C0"/>
    <w:rsid w:val="1250257F"/>
    <w:rsid w:val="12724755"/>
    <w:rsid w:val="12C30546"/>
    <w:rsid w:val="136F501E"/>
    <w:rsid w:val="137D70B8"/>
    <w:rsid w:val="13BB6555"/>
    <w:rsid w:val="14294301"/>
    <w:rsid w:val="142B45BB"/>
    <w:rsid w:val="144B713C"/>
    <w:rsid w:val="1462758D"/>
    <w:rsid w:val="146650EF"/>
    <w:rsid w:val="14860174"/>
    <w:rsid w:val="14946C34"/>
    <w:rsid w:val="150A7182"/>
    <w:rsid w:val="150C6365"/>
    <w:rsid w:val="152522AE"/>
    <w:rsid w:val="1542409B"/>
    <w:rsid w:val="15477903"/>
    <w:rsid w:val="156741BC"/>
    <w:rsid w:val="156F5D50"/>
    <w:rsid w:val="15735296"/>
    <w:rsid w:val="157D1103"/>
    <w:rsid w:val="15836559"/>
    <w:rsid w:val="158B1425"/>
    <w:rsid w:val="158E78DE"/>
    <w:rsid w:val="15DA1097"/>
    <w:rsid w:val="15E16AFD"/>
    <w:rsid w:val="16534086"/>
    <w:rsid w:val="1668290F"/>
    <w:rsid w:val="167E1BC5"/>
    <w:rsid w:val="16952763"/>
    <w:rsid w:val="16A856ED"/>
    <w:rsid w:val="16B17A67"/>
    <w:rsid w:val="16DE78EE"/>
    <w:rsid w:val="17771FF6"/>
    <w:rsid w:val="17930727"/>
    <w:rsid w:val="1796247C"/>
    <w:rsid w:val="179731E9"/>
    <w:rsid w:val="17B762F7"/>
    <w:rsid w:val="17BF3DB0"/>
    <w:rsid w:val="17C35A7C"/>
    <w:rsid w:val="18047D2E"/>
    <w:rsid w:val="18163A6D"/>
    <w:rsid w:val="18221982"/>
    <w:rsid w:val="185B3381"/>
    <w:rsid w:val="18A40415"/>
    <w:rsid w:val="18A60DE5"/>
    <w:rsid w:val="18D803F1"/>
    <w:rsid w:val="191D54CE"/>
    <w:rsid w:val="192E33B1"/>
    <w:rsid w:val="19402999"/>
    <w:rsid w:val="195D450E"/>
    <w:rsid w:val="1977008B"/>
    <w:rsid w:val="19B01F03"/>
    <w:rsid w:val="19B86374"/>
    <w:rsid w:val="19D4077F"/>
    <w:rsid w:val="1A2E0AF4"/>
    <w:rsid w:val="1A9A3F82"/>
    <w:rsid w:val="1A9F6A7E"/>
    <w:rsid w:val="1AA068BA"/>
    <w:rsid w:val="1AA11864"/>
    <w:rsid w:val="1AAD6D3F"/>
    <w:rsid w:val="1ABF63BE"/>
    <w:rsid w:val="1B0D0CA7"/>
    <w:rsid w:val="1B6A55DC"/>
    <w:rsid w:val="1B8D1761"/>
    <w:rsid w:val="1BB952E6"/>
    <w:rsid w:val="1C0D1E23"/>
    <w:rsid w:val="1C281B33"/>
    <w:rsid w:val="1C4A7CD9"/>
    <w:rsid w:val="1C512B1B"/>
    <w:rsid w:val="1C7F70B2"/>
    <w:rsid w:val="1CBD13AE"/>
    <w:rsid w:val="1CD30200"/>
    <w:rsid w:val="1CF46B45"/>
    <w:rsid w:val="1D0B577E"/>
    <w:rsid w:val="1D34318F"/>
    <w:rsid w:val="1D464F5D"/>
    <w:rsid w:val="1D733EAC"/>
    <w:rsid w:val="1D734227"/>
    <w:rsid w:val="1DF434E3"/>
    <w:rsid w:val="1E274E12"/>
    <w:rsid w:val="1E373DFD"/>
    <w:rsid w:val="1E480DAA"/>
    <w:rsid w:val="1E8B78F5"/>
    <w:rsid w:val="1E9C5F1F"/>
    <w:rsid w:val="1EF94F18"/>
    <w:rsid w:val="1F330EF8"/>
    <w:rsid w:val="1F720BAD"/>
    <w:rsid w:val="1FAB6CE1"/>
    <w:rsid w:val="1FB80E56"/>
    <w:rsid w:val="1FC778B6"/>
    <w:rsid w:val="201E3957"/>
    <w:rsid w:val="20315BB3"/>
    <w:rsid w:val="205A309E"/>
    <w:rsid w:val="207D2A9E"/>
    <w:rsid w:val="209B608B"/>
    <w:rsid w:val="20DB53A4"/>
    <w:rsid w:val="20FC3C98"/>
    <w:rsid w:val="21251DDC"/>
    <w:rsid w:val="2178257D"/>
    <w:rsid w:val="218557B2"/>
    <w:rsid w:val="218F4199"/>
    <w:rsid w:val="21A8797C"/>
    <w:rsid w:val="21AE4227"/>
    <w:rsid w:val="21C73160"/>
    <w:rsid w:val="21F3665C"/>
    <w:rsid w:val="22110DF9"/>
    <w:rsid w:val="22471AEE"/>
    <w:rsid w:val="22891E8F"/>
    <w:rsid w:val="22AA3280"/>
    <w:rsid w:val="22CD69E8"/>
    <w:rsid w:val="233E57B3"/>
    <w:rsid w:val="234323C9"/>
    <w:rsid w:val="23792398"/>
    <w:rsid w:val="238009CB"/>
    <w:rsid w:val="24280097"/>
    <w:rsid w:val="24552351"/>
    <w:rsid w:val="24F56782"/>
    <w:rsid w:val="251C461B"/>
    <w:rsid w:val="25C519A8"/>
    <w:rsid w:val="25F313ED"/>
    <w:rsid w:val="26054E73"/>
    <w:rsid w:val="26166B51"/>
    <w:rsid w:val="262C28E4"/>
    <w:rsid w:val="265C2AE3"/>
    <w:rsid w:val="2665191F"/>
    <w:rsid w:val="26675943"/>
    <w:rsid w:val="266C262D"/>
    <w:rsid w:val="26727F0B"/>
    <w:rsid w:val="268E23BF"/>
    <w:rsid w:val="269E433B"/>
    <w:rsid w:val="26CB5A84"/>
    <w:rsid w:val="26D42522"/>
    <w:rsid w:val="26E921AF"/>
    <w:rsid w:val="278651DD"/>
    <w:rsid w:val="27E31B5A"/>
    <w:rsid w:val="27E90024"/>
    <w:rsid w:val="27F136FF"/>
    <w:rsid w:val="28262577"/>
    <w:rsid w:val="2878095A"/>
    <w:rsid w:val="28AA3EC8"/>
    <w:rsid w:val="28AE5DB0"/>
    <w:rsid w:val="28D22F6D"/>
    <w:rsid w:val="28ED3EC6"/>
    <w:rsid w:val="291B4AB9"/>
    <w:rsid w:val="29361D11"/>
    <w:rsid w:val="296D1EF8"/>
    <w:rsid w:val="29942360"/>
    <w:rsid w:val="29C16AA1"/>
    <w:rsid w:val="29CC7905"/>
    <w:rsid w:val="29F36631"/>
    <w:rsid w:val="29F56008"/>
    <w:rsid w:val="2A2D7B0F"/>
    <w:rsid w:val="2A424D20"/>
    <w:rsid w:val="2A5A1A2F"/>
    <w:rsid w:val="2A720B27"/>
    <w:rsid w:val="2A7617A1"/>
    <w:rsid w:val="2A9A62D0"/>
    <w:rsid w:val="2AC670C5"/>
    <w:rsid w:val="2B0350A9"/>
    <w:rsid w:val="2B047A7C"/>
    <w:rsid w:val="2B0D4CF3"/>
    <w:rsid w:val="2B3760E2"/>
    <w:rsid w:val="2B5E54DD"/>
    <w:rsid w:val="2B806EDE"/>
    <w:rsid w:val="2B846C8C"/>
    <w:rsid w:val="2B885AA8"/>
    <w:rsid w:val="2B903AB8"/>
    <w:rsid w:val="2C074925"/>
    <w:rsid w:val="2C1C794A"/>
    <w:rsid w:val="2C4E2ECE"/>
    <w:rsid w:val="2C7833B3"/>
    <w:rsid w:val="2C902643"/>
    <w:rsid w:val="2CB47DCF"/>
    <w:rsid w:val="2CF2774E"/>
    <w:rsid w:val="2D515EDF"/>
    <w:rsid w:val="2D833CC1"/>
    <w:rsid w:val="2DA34AA4"/>
    <w:rsid w:val="2E324366"/>
    <w:rsid w:val="2E5E4574"/>
    <w:rsid w:val="2E6710E9"/>
    <w:rsid w:val="2E9D759D"/>
    <w:rsid w:val="2EDC0415"/>
    <w:rsid w:val="2EF54B62"/>
    <w:rsid w:val="2EFE5E08"/>
    <w:rsid w:val="2F296340"/>
    <w:rsid w:val="2F6D7874"/>
    <w:rsid w:val="2F790552"/>
    <w:rsid w:val="2F8310E0"/>
    <w:rsid w:val="2F97607B"/>
    <w:rsid w:val="2FB15A32"/>
    <w:rsid w:val="2FEA6A07"/>
    <w:rsid w:val="302345A0"/>
    <w:rsid w:val="303B0CCF"/>
    <w:rsid w:val="303B1215"/>
    <w:rsid w:val="305C3924"/>
    <w:rsid w:val="30A54C6F"/>
    <w:rsid w:val="30C012E1"/>
    <w:rsid w:val="30E81DDA"/>
    <w:rsid w:val="30F3034E"/>
    <w:rsid w:val="31413001"/>
    <w:rsid w:val="31553F10"/>
    <w:rsid w:val="319109F2"/>
    <w:rsid w:val="31A31F0E"/>
    <w:rsid w:val="31D16A7B"/>
    <w:rsid w:val="321E0DB7"/>
    <w:rsid w:val="321E68E5"/>
    <w:rsid w:val="32236AB2"/>
    <w:rsid w:val="32334E53"/>
    <w:rsid w:val="323607B9"/>
    <w:rsid w:val="324C06E6"/>
    <w:rsid w:val="32780143"/>
    <w:rsid w:val="327F07E8"/>
    <w:rsid w:val="3286076D"/>
    <w:rsid w:val="32DB1233"/>
    <w:rsid w:val="32FC2741"/>
    <w:rsid w:val="33900629"/>
    <w:rsid w:val="33904D6A"/>
    <w:rsid w:val="33983A4D"/>
    <w:rsid w:val="339D1078"/>
    <w:rsid w:val="33A557C5"/>
    <w:rsid w:val="33A67DCB"/>
    <w:rsid w:val="33B71CA0"/>
    <w:rsid w:val="33BF40F2"/>
    <w:rsid w:val="33C1667B"/>
    <w:rsid w:val="340A3924"/>
    <w:rsid w:val="340B78F6"/>
    <w:rsid w:val="343D16EF"/>
    <w:rsid w:val="347270AC"/>
    <w:rsid w:val="34921118"/>
    <w:rsid w:val="349E0F6D"/>
    <w:rsid w:val="34BD4F0D"/>
    <w:rsid w:val="34CA77B1"/>
    <w:rsid w:val="34D15008"/>
    <w:rsid w:val="350201B1"/>
    <w:rsid w:val="355C2A76"/>
    <w:rsid w:val="35786D81"/>
    <w:rsid w:val="3581411C"/>
    <w:rsid w:val="359E0925"/>
    <w:rsid w:val="35A973C7"/>
    <w:rsid w:val="360C5A2A"/>
    <w:rsid w:val="363C0975"/>
    <w:rsid w:val="36483B92"/>
    <w:rsid w:val="36572F6D"/>
    <w:rsid w:val="366F710B"/>
    <w:rsid w:val="36703B69"/>
    <w:rsid w:val="3693381E"/>
    <w:rsid w:val="36935DFC"/>
    <w:rsid w:val="36B030FD"/>
    <w:rsid w:val="36E37838"/>
    <w:rsid w:val="36E92C8A"/>
    <w:rsid w:val="37135DE1"/>
    <w:rsid w:val="371F7175"/>
    <w:rsid w:val="37402617"/>
    <w:rsid w:val="374A45CF"/>
    <w:rsid w:val="37C16C4A"/>
    <w:rsid w:val="37E342B5"/>
    <w:rsid w:val="3850787B"/>
    <w:rsid w:val="389C41BE"/>
    <w:rsid w:val="38BB7B3D"/>
    <w:rsid w:val="38D44413"/>
    <w:rsid w:val="38D71EC7"/>
    <w:rsid w:val="38F117B0"/>
    <w:rsid w:val="39174786"/>
    <w:rsid w:val="3936120A"/>
    <w:rsid w:val="394B4C60"/>
    <w:rsid w:val="39553AED"/>
    <w:rsid w:val="399D1F62"/>
    <w:rsid w:val="39A06449"/>
    <w:rsid w:val="39F02F47"/>
    <w:rsid w:val="3A4841E2"/>
    <w:rsid w:val="3A971FC0"/>
    <w:rsid w:val="3AA74716"/>
    <w:rsid w:val="3AD55DD5"/>
    <w:rsid w:val="3AE656D0"/>
    <w:rsid w:val="3B22120B"/>
    <w:rsid w:val="3B4469CB"/>
    <w:rsid w:val="3B732620"/>
    <w:rsid w:val="3B7F2727"/>
    <w:rsid w:val="3B855CA0"/>
    <w:rsid w:val="3B8B6121"/>
    <w:rsid w:val="3BB2663D"/>
    <w:rsid w:val="3BB54D17"/>
    <w:rsid w:val="3BF423D8"/>
    <w:rsid w:val="3C154B3D"/>
    <w:rsid w:val="3C2B4248"/>
    <w:rsid w:val="3C2C7C83"/>
    <w:rsid w:val="3C3C07B7"/>
    <w:rsid w:val="3C9E3325"/>
    <w:rsid w:val="3C9E57AB"/>
    <w:rsid w:val="3CC20A0B"/>
    <w:rsid w:val="3D0325E5"/>
    <w:rsid w:val="3D351247"/>
    <w:rsid w:val="3DAE19B7"/>
    <w:rsid w:val="3DE324A9"/>
    <w:rsid w:val="3E021191"/>
    <w:rsid w:val="3E185695"/>
    <w:rsid w:val="3E5413B1"/>
    <w:rsid w:val="3E545920"/>
    <w:rsid w:val="3EB17B84"/>
    <w:rsid w:val="3EE22D4F"/>
    <w:rsid w:val="3F46024C"/>
    <w:rsid w:val="3F763DCF"/>
    <w:rsid w:val="3F78561B"/>
    <w:rsid w:val="3F7C2108"/>
    <w:rsid w:val="3F9F3BE3"/>
    <w:rsid w:val="3FA6C0A7"/>
    <w:rsid w:val="3FF85928"/>
    <w:rsid w:val="4016208D"/>
    <w:rsid w:val="403E1757"/>
    <w:rsid w:val="40426159"/>
    <w:rsid w:val="40494D44"/>
    <w:rsid w:val="407155D0"/>
    <w:rsid w:val="40A738A5"/>
    <w:rsid w:val="40F149E1"/>
    <w:rsid w:val="40F20EC7"/>
    <w:rsid w:val="4116473E"/>
    <w:rsid w:val="41462BC1"/>
    <w:rsid w:val="416C0117"/>
    <w:rsid w:val="416C44B7"/>
    <w:rsid w:val="417F6E70"/>
    <w:rsid w:val="4196682C"/>
    <w:rsid w:val="41A63BF5"/>
    <w:rsid w:val="42206C63"/>
    <w:rsid w:val="42564A29"/>
    <w:rsid w:val="429E1FA8"/>
    <w:rsid w:val="42B01D92"/>
    <w:rsid w:val="42EF2B78"/>
    <w:rsid w:val="42FA6581"/>
    <w:rsid w:val="43476B9D"/>
    <w:rsid w:val="435165E5"/>
    <w:rsid w:val="43C15B8E"/>
    <w:rsid w:val="44754DD6"/>
    <w:rsid w:val="44941DDA"/>
    <w:rsid w:val="4496667D"/>
    <w:rsid w:val="44A43B7B"/>
    <w:rsid w:val="44A6065D"/>
    <w:rsid w:val="44A90E1D"/>
    <w:rsid w:val="44B244EA"/>
    <w:rsid w:val="44EF1179"/>
    <w:rsid w:val="44F716A5"/>
    <w:rsid w:val="450C5460"/>
    <w:rsid w:val="458B6858"/>
    <w:rsid w:val="45B93656"/>
    <w:rsid w:val="45EC03C2"/>
    <w:rsid w:val="460665C5"/>
    <w:rsid w:val="462972E7"/>
    <w:rsid w:val="462F7C75"/>
    <w:rsid w:val="46337833"/>
    <w:rsid w:val="46416637"/>
    <w:rsid w:val="465313B5"/>
    <w:rsid w:val="46676936"/>
    <w:rsid w:val="46814CDA"/>
    <w:rsid w:val="46AA4DCC"/>
    <w:rsid w:val="46B35A9A"/>
    <w:rsid w:val="471F7C73"/>
    <w:rsid w:val="47265700"/>
    <w:rsid w:val="477503CE"/>
    <w:rsid w:val="47AF6ABF"/>
    <w:rsid w:val="47CA04A4"/>
    <w:rsid w:val="48212C0D"/>
    <w:rsid w:val="4854242C"/>
    <w:rsid w:val="48565808"/>
    <w:rsid w:val="48704EDF"/>
    <w:rsid w:val="487D6BBD"/>
    <w:rsid w:val="48C81A9C"/>
    <w:rsid w:val="49115242"/>
    <w:rsid w:val="491215CE"/>
    <w:rsid w:val="49160A51"/>
    <w:rsid w:val="4932784F"/>
    <w:rsid w:val="49386D6A"/>
    <w:rsid w:val="4968130F"/>
    <w:rsid w:val="497C47B3"/>
    <w:rsid w:val="498B60E5"/>
    <w:rsid w:val="498F54A8"/>
    <w:rsid w:val="49A540DA"/>
    <w:rsid w:val="49A63177"/>
    <w:rsid w:val="49A752B8"/>
    <w:rsid w:val="49B125A8"/>
    <w:rsid w:val="49B77EAC"/>
    <w:rsid w:val="49C03436"/>
    <w:rsid w:val="49C1705E"/>
    <w:rsid w:val="49EA4D7B"/>
    <w:rsid w:val="4A093D17"/>
    <w:rsid w:val="4A126315"/>
    <w:rsid w:val="4A222522"/>
    <w:rsid w:val="4A2E0B2D"/>
    <w:rsid w:val="4A2E6A51"/>
    <w:rsid w:val="4A2F1E5B"/>
    <w:rsid w:val="4A37185F"/>
    <w:rsid w:val="4A3F67C0"/>
    <w:rsid w:val="4A431329"/>
    <w:rsid w:val="4AD772D2"/>
    <w:rsid w:val="4AE54133"/>
    <w:rsid w:val="4B025B6F"/>
    <w:rsid w:val="4B226125"/>
    <w:rsid w:val="4B2E1FB7"/>
    <w:rsid w:val="4B3C29F1"/>
    <w:rsid w:val="4B5868B4"/>
    <w:rsid w:val="4B63653E"/>
    <w:rsid w:val="4BB1223F"/>
    <w:rsid w:val="4BB37012"/>
    <w:rsid w:val="4C2832E3"/>
    <w:rsid w:val="4C4E4E5E"/>
    <w:rsid w:val="4CA56952"/>
    <w:rsid w:val="4CA94B43"/>
    <w:rsid w:val="4CB933D5"/>
    <w:rsid w:val="4D090380"/>
    <w:rsid w:val="4D117196"/>
    <w:rsid w:val="4D2F62F5"/>
    <w:rsid w:val="4D337373"/>
    <w:rsid w:val="4D5D5975"/>
    <w:rsid w:val="4D9118CB"/>
    <w:rsid w:val="4DA44CDC"/>
    <w:rsid w:val="4DA950CD"/>
    <w:rsid w:val="4DAE15C6"/>
    <w:rsid w:val="4DC259C4"/>
    <w:rsid w:val="4DF23BA9"/>
    <w:rsid w:val="4DF47921"/>
    <w:rsid w:val="4E0543D4"/>
    <w:rsid w:val="4E2E53E9"/>
    <w:rsid w:val="4E315E5A"/>
    <w:rsid w:val="4E523481"/>
    <w:rsid w:val="4E6731C1"/>
    <w:rsid w:val="4E7B39C7"/>
    <w:rsid w:val="4E816CDB"/>
    <w:rsid w:val="4E90280D"/>
    <w:rsid w:val="4E964534"/>
    <w:rsid w:val="4EA76BAB"/>
    <w:rsid w:val="4EAA7FE0"/>
    <w:rsid w:val="4EEE25C2"/>
    <w:rsid w:val="4EF632AE"/>
    <w:rsid w:val="4F0E67B6"/>
    <w:rsid w:val="4F52563A"/>
    <w:rsid w:val="4F6D37CD"/>
    <w:rsid w:val="4F720A86"/>
    <w:rsid w:val="4FBBAF9C"/>
    <w:rsid w:val="4FF85D9A"/>
    <w:rsid w:val="4FFE38B3"/>
    <w:rsid w:val="50252008"/>
    <w:rsid w:val="50393F67"/>
    <w:rsid w:val="504E007C"/>
    <w:rsid w:val="508358E1"/>
    <w:rsid w:val="508E3509"/>
    <w:rsid w:val="50A91291"/>
    <w:rsid w:val="50B12C64"/>
    <w:rsid w:val="50B415EA"/>
    <w:rsid w:val="50BB64D4"/>
    <w:rsid w:val="50D442C5"/>
    <w:rsid w:val="514F5C98"/>
    <w:rsid w:val="5156457B"/>
    <w:rsid w:val="51890875"/>
    <w:rsid w:val="518B1603"/>
    <w:rsid w:val="51BC21FC"/>
    <w:rsid w:val="51C25435"/>
    <w:rsid w:val="5201461C"/>
    <w:rsid w:val="52107F81"/>
    <w:rsid w:val="5219561F"/>
    <w:rsid w:val="522C47C1"/>
    <w:rsid w:val="526D287D"/>
    <w:rsid w:val="52A26183"/>
    <w:rsid w:val="52B3679D"/>
    <w:rsid w:val="52B56FA8"/>
    <w:rsid w:val="52D8471E"/>
    <w:rsid w:val="53591FD4"/>
    <w:rsid w:val="535A4B37"/>
    <w:rsid w:val="538D5952"/>
    <w:rsid w:val="53E7113F"/>
    <w:rsid w:val="53EE096F"/>
    <w:rsid w:val="540C39F4"/>
    <w:rsid w:val="54240767"/>
    <w:rsid w:val="542E3995"/>
    <w:rsid w:val="543E4FDE"/>
    <w:rsid w:val="547C0783"/>
    <w:rsid w:val="54B640EE"/>
    <w:rsid w:val="551504E3"/>
    <w:rsid w:val="55572DD3"/>
    <w:rsid w:val="555F546C"/>
    <w:rsid w:val="559E1D2E"/>
    <w:rsid w:val="55C23E61"/>
    <w:rsid w:val="55E464CD"/>
    <w:rsid w:val="55EB160A"/>
    <w:rsid w:val="561935A2"/>
    <w:rsid w:val="565E627F"/>
    <w:rsid w:val="56BE3705"/>
    <w:rsid w:val="56C11275"/>
    <w:rsid w:val="56DB722C"/>
    <w:rsid w:val="56E07A2A"/>
    <w:rsid w:val="577D2735"/>
    <w:rsid w:val="579D7961"/>
    <w:rsid w:val="57AE6D93"/>
    <w:rsid w:val="57DE3641"/>
    <w:rsid w:val="5825126E"/>
    <w:rsid w:val="582F56F6"/>
    <w:rsid w:val="583472B3"/>
    <w:rsid w:val="58A21F71"/>
    <w:rsid w:val="58A55BA2"/>
    <w:rsid w:val="58EB0B00"/>
    <w:rsid w:val="58F65722"/>
    <w:rsid w:val="59376914"/>
    <w:rsid w:val="598C6A79"/>
    <w:rsid w:val="59A02CAB"/>
    <w:rsid w:val="59BA46C8"/>
    <w:rsid w:val="5A102007"/>
    <w:rsid w:val="5A2C5D5C"/>
    <w:rsid w:val="5A581824"/>
    <w:rsid w:val="5A654652"/>
    <w:rsid w:val="5AA420A9"/>
    <w:rsid w:val="5AB0697E"/>
    <w:rsid w:val="5B124DA4"/>
    <w:rsid w:val="5B6149FC"/>
    <w:rsid w:val="5B621474"/>
    <w:rsid w:val="5B7E5E6B"/>
    <w:rsid w:val="5B867C91"/>
    <w:rsid w:val="5B9237DF"/>
    <w:rsid w:val="5BA237F4"/>
    <w:rsid w:val="5BC362B3"/>
    <w:rsid w:val="5BC9012E"/>
    <w:rsid w:val="5C2652A6"/>
    <w:rsid w:val="5C4946BC"/>
    <w:rsid w:val="5C58551F"/>
    <w:rsid w:val="5C970DCC"/>
    <w:rsid w:val="5CB8441F"/>
    <w:rsid w:val="5CF9472D"/>
    <w:rsid w:val="5D01426A"/>
    <w:rsid w:val="5D161098"/>
    <w:rsid w:val="5D272F0E"/>
    <w:rsid w:val="5D526412"/>
    <w:rsid w:val="5D9E3405"/>
    <w:rsid w:val="5DF474C9"/>
    <w:rsid w:val="5E047F45"/>
    <w:rsid w:val="5E604B5F"/>
    <w:rsid w:val="5E802B0B"/>
    <w:rsid w:val="5EE016B2"/>
    <w:rsid w:val="5EE76494"/>
    <w:rsid w:val="5F1E6A2D"/>
    <w:rsid w:val="5F2336F2"/>
    <w:rsid w:val="5F4A037F"/>
    <w:rsid w:val="5F597245"/>
    <w:rsid w:val="5F6B47EE"/>
    <w:rsid w:val="5F8D4E24"/>
    <w:rsid w:val="5F8E7B88"/>
    <w:rsid w:val="5F911DE1"/>
    <w:rsid w:val="5FB0306B"/>
    <w:rsid w:val="5FC133DB"/>
    <w:rsid w:val="5FC436AE"/>
    <w:rsid w:val="5FD075DF"/>
    <w:rsid w:val="602C7133"/>
    <w:rsid w:val="60471B32"/>
    <w:rsid w:val="6061371C"/>
    <w:rsid w:val="606609BD"/>
    <w:rsid w:val="60787697"/>
    <w:rsid w:val="60EE343D"/>
    <w:rsid w:val="60F546A2"/>
    <w:rsid w:val="612B45F3"/>
    <w:rsid w:val="61461C9B"/>
    <w:rsid w:val="61542FF6"/>
    <w:rsid w:val="619C1998"/>
    <w:rsid w:val="61EA206D"/>
    <w:rsid w:val="62053A53"/>
    <w:rsid w:val="62181542"/>
    <w:rsid w:val="621C5807"/>
    <w:rsid w:val="62322322"/>
    <w:rsid w:val="62594319"/>
    <w:rsid w:val="625C22CE"/>
    <w:rsid w:val="62716ABC"/>
    <w:rsid w:val="628726BA"/>
    <w:rsid w:val="628D1259"/>
    <w:rsid w:val="62E9088B"/>
    <w:rsid w:val="63205936"/>
    <w:rsid w:val="63877B19"/>
    <w:rsid w:val="6390559E"/>
    <w:rsid w:val="639E348C"/>
    <w:rsid w:val="63AF6760"/>
    <w:rsid w:val="63D17DE5"/>
    <w:rsid w:val="63D826D5"/>
    <w:rsid w:val="644563D7"/>
    <w:rsid w:val="64517A4F"/>
    <w:rsid w:val="646E425C"/>
    <w:rsid w:val="647102FB"/>
    <w:rsid w:val="647B624F"/>
    <w:rsid w:val="64982B6D"/>
    <w:rsid w:val="64BC0E9E"/>
    <w:rsid w:val="64CC2881"/>
    <w:rsid w:val="64F41B5D"/>
    <w:rsid w:val="6505099A"/>
    <w:rsid w:val="65637788"/>
    <w:rsid w:val="65C0444E"/>
    <w:rsid w:val="65F067C8"/>
    <w:rsid w:val="66425167"/>
    <w:rsid w:val="664A1F0D"/>
    <w:rsid w:val="66582E5A"/>
    <w:rsid w:val="6660394E"/>
    <w:rsid w:val="66760BB8"/>
    <w:rsid w:val="669045EE"/>
    <w:rsid w:val="66A10C0C"/>
    <w:rsid w:val="66B83FDA"/>
    <w:rsid w:val="66CA352C"/>
    <w:rsid w:val="670F2BB9"/>
    <w:rsid w:val="672A5D0A"/>
    <w:rsid w:val="67522938"/>
    <w:rsid w:val="67587910"/>
    <w:rsid w:val="67A905C8"/>
    <w:rsid w:val="67CE4826"/>
    <w:rsid w:val="67E77816"/>
    <w:rsid w:val="68180AC9"/>
    <w:rsid w:val="681D1441"/>
    <w:rsid w:val="6834396F"/>
    <w:rsid w:val="686139AD"/>
    <w:rsid w:val="68833924"/>
    <w:rsid w:val="68881FE0"/>
    <w:rsid w:val="68B05B70"/>
    <w:rsid w:val="68E93A75"/>
    <w:rsid w:val="68EF2692"/>
    <w:rsid w:val="68FE4AC8"/>
    <w:rsid w:val="69430EFF"/>
    <w:rsid w:val="69787DE4"/>
    <w:rsid w:val="6986714D"/>
    <w:rsid w:val="69BF27C0"/>
    <w:rsid w:val="69C10F5A"/>
    <w:rsid w:val="6A54296B"/>
    <w:rsid w:val="6A8E3730"/>
    <w:rsid w:val="6ADE7D03"/>
    <w:rsid w:val="6B221F87"/>
    <w:rsid w:val="6B484BE9"/>
    <w:rsid w:val="6B827EC3"/>
    <w:rsid w:val="6B97491A"/>
    <w:rsid w:val="6BEA3CBA"/>
    <w:rsid w:val="6C243FE6"/>
    <w:rsid w:val="6C4D6CD2"/>
    <w:rsid w:val="6C731F01"/>
    <w:rsid w:val="6C7B752A"/>
    <w:rsid w:val="6C832144"/>
    <w:rsid w:val="6CAA433C"/>
    <w:rsid w:val="6CCE1F3F"/>
    <w:rsid w:val="6CFB7326"/>
    <w:rsid w:val="6D0C3FD5"/>
    <w:rsid w:val="6D1B01B2"/>
    <w:rsid w:val="6D1B5580"/>
    <w:rsid w:val="6D356946"/>
    <w:rsid w:val="6D43415D"/>
    <w:rsid w:val="6D963ECA"/>
    <w:rsid w:val="6D9B1E51"/>
    <w:rsid w:val="6DDD4F62"/>
    <w:rsid w:val="6E224303"/>
    <w:rsid w:val="6E391715"/>
    <w:rsid w:val="6E4408FB"/>
    <w:rsid w:val="6E4A5D5F"/>
    <w:rsid w:val="6E53082E"/>
    <w:rsid w:val="6E842461"/>
    <w:rsid w:val="6EA3770C"/>
    <w:rsid w:val="6ECF6B20"/>
    <w:rsid w:val="6EF74CA0"/>
    <w:rsid w:val="6F226797"/>
    <w:rsid w:val="6F3214FE"/>
    <w:rsid w:val="6F526BC2"/>
    <w:rsid w:val="6F6153CD"/>
    <w:rsid w:val="6F64384D"/>
    <w:rsid w:val="6F6C09D0"/>
    <w:rsid w:val="6F7DB7EE"/>
    <w:rsid w:val="6FA04E1B"/>
    <w:rsid w:val="6FA4646D"/>
    <w:rsid w:val="6FAF2640"/>
    <w:rsid w:val="6FC93379"/>
    <w:rsid w:val="6FD70D7C"/>
    <w:rsid w:val="6FF7AE29"/>
    <w:rsid w:val="6FFC7F62"/>
    <w:rsid w:val="70585909"/>
    <w:rsid w:val="706A53C9"/>
    <w:rsid w:val="70700C31"/>
    <w:rsid w:val="70922ED0"/>
    <w:rsid w:val="70D00C51"/>
    <w:rsid w:val="718F549A"/>
    <w:rsid w:val="7198231F"/>
    <w:rsid w:val="71E47133"/>
    <w:rsid w:val="72062ED0"/>
    <w:rsid w:val="72106532"/>
    <w:rsid w:val="7225342D"/>
    <w:rsid w:val="722717C4"/>
    <w:rsid w:val="726C5429"/>
    <w:rsid w:val="72885865"/>
    <w:rsid w:val="72DC45BF"/>
    <w:rsid w:val="72DF51B3"/>
    <w:rsid w:val="72EF3D10"/>
    <w:rsid w:val="7376359C"/>
    <w:rsid w:val="73767F7C"/>
    <w:rsid w:val="73AAFBB6"/>
    <w:rsid w:val="73AB7A96"/>
    <w:rsid w:val="73B2754F"/>
    <w:rsid w:val="73C1222C"/>
    <w:rsid w:val="73CF67B0"/>
    <w:rsid w:val="73DF7719"/>
    <w:rsid w:val="7400051E"/>
    <w:rsid w:val="740751F2"/>
    <w:rsid w:val="744C6B36"/>
    <w:rsid w:val="745D56C9"/>
    <w:rsid w:val="74677303"/>
    <w:rsid w:val="74745815"/>
    <w:rsid w:val="749E63BE"/>
    <w:rsid w:val="74AB50CA"/>
    <w:rsid w:val="74AF784E"/>
    <w:rsid w:val="74D22538"/>
    <w:rsid w:val="7510515E"/>
    <w:rsid w:val="752C5EAE"/>
    <w:rsid w:val="7540695E"/>
    <w:rsid w:val="754825D6"/>
    <w:rsid w:val="755F1275"/>
    <w:rsid w:val="756D7476"/>
    <w:rsid w:val="75B134C4"/>
    <w:rsid w:val="75BA6DA5"/>
    <w:rsid w:val="75DF6DB0"/>
    <w:rsid w:val="75FD4DF0"/>
    <w:rsid w:val="76392871"/>
    <w:rsid w:val="76683644"/>
    <w:rsid w:val="766A6E7D"/>
    <w:rsid w:val="76724FD8"/>
    <w:rsid w:val="76CC46E8"/>
    <w:rsid w:val="76DA2F0F"/>
    <w:rsid w:val="76FD6B13"/>
    <w:rsid w:val="770B77C3"/>
    <w:rsid w:val="776C20CB"/>
    <w:rsid w:val="776F3C14"/>
    <w:rsid w:val="778B4EB4"/>
    <w:rsid w:val="77B773B0"/>
    <w:rsid w:val="77F112AB"/>
    <w:rsid w:val="780127E8"/>
    <w:rsid w:val="780162ED"/>
    <w:rsid w:val="78120E26"/>
    <w:rsid w:val="782B31D4"/>
    <w:rsid w:val="783551AC"/>
    <w:rsid w:val="7847671C"/>
    <w:rsid w:val="78511DEA"/>
    <w:rsid w:val="788845E1"/>
    <w:rsid w:val="788D1579"/>
    <w:rsid w:val="792C22A5"/>
    <w:rsid w:val="7965335C"/>
    <w:rsid w:val="797A5297"/>
    <w:rsid w:val="797D3B19"/>
    <w:rsid w:val="7993773F"/>
    <w:rsid w:val="79AF1E6E"/>
    <w:rsid w:val="79E75662"/>
    <w:rsid w:val="7A08012D"/>
    <w:rsid w:val="7A2B2D92"/>
    <w:rsid w:val="7A347257"/>
    <w:rsid w:val="7A7E3ADA"/>
    <w:rsid w:val="7AA3EF66"/>
    <w:rsid w:val="7AC72102"/>
    <w:rsid w:val="7AC8166A"/>
    <w:rsid w:val="7ACC2326"/>
    <w:rsid w:val="7B033CD1"/>
    <w:rsid w:val="7B28642E"/>
    <w:rsid w:val="7B580D9A"/>
    <w:rsid w:val="7B6A09C0"/>
    <w:rsid w:val="7B933826"/>
    <w:rsid w:val="7BA2410F"/>
    <w:rsid w:val="7BAB036E"/>
    <w:rsid w:val="7BD7AA7D"/>
    <w:rsid w:val="7BF3045C"/>
    <w:rsid w:val="7C066397"/>
    <w:rsid w:val="7C10151B"/>
    <w:rsid w:val="7C2B64FA"/>
    <w:rsid w:val="7C442E8A"/>
    <w:rsid w:val="7DA07919"/>
    <w:rsid w:val="7DC013D7"/>
    <w:rsid w:val="7DCB5C21"/>
    <w:rsid w:val="7DEA643C"/>
    <w:rsid w:val="7DFC7F76"/>
    <w:rsid w:val="7E0E1A8A"/>
    <w:rsid w:val="7E47281F"/>
    <w:rsid w:val="7ED9146A"/>
    <w:rsid w:val="7F095A48"/>
    <w:rsid w:val="7F144E7E"/>
    <w:rsid w:val="7F286B7B"/>
    <w:rsid w:val="7F33381C"/>
    <w:rsid w:val="7F7A3BF4"/>
    <w:rsid w:val="7F7C0A32"/>
    <w:rsid w:val="7FA75CF2"/>
    <w:rsid w:val="7FB06387"/>
    <w:rsid w:val="7FC55D23"/>
    <w:rsid w:val="7FCB4352"/>
    <w:rsid w:val="7FEA1922"/>
    <w:rsid w:val="7FFFE58F"/>
    <w:rsid w:val="A17F880F"/>
    <w:rsid w:val="CB1F79AB"/>
    <w:rsid w:val="DAFFEC96"/>
    <w:rsid w:val="DFBB7A7C"/>
    <w:rsid w:val="DFF7F99C"/>
    <w:rsid w:val="EDFC010C"/>
    <w:rsid w:val="F0FF958F"/>
    <w:rsid w:val="F67FAB10"/>
    <w:rsid w:val="FB5F8A2C"/>
    <w:rsid w:val="FBFF1DC6"/>
    <w:rsid w:val="FDDDA1F9"/>
    <w:rsid w:val="FF5A007E"/>
    <w:rsid w:val="FFFAC612"/>
    <w:rsid w:val="FFFEF5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next w:val="1"/>
    <w:link w:val="76"/>
    <w:qFormat/>
    <w:uiPriority w:val="0"/>
    <w:pPr>
      <w:keepNext/>
      <w:keepLines/>
      <w:pageBreakBefore/>
      <w:numPr>
        <w:ilvl w:val="0"/>
        <w:numId w:val="1"/>
      </w:numPr>
      <w:pBdr>
        <w:bottom w:val="single" w:color="FFCC00" w:sz="6" w:space="1"/>
      </w:pBdr>
      <w:shd w:val="clear" w:color="auto" w:fill="333399"/>
      <w:spacing w:line="288" w:lineRule="auto"/>
      <w:outlineLvl w:val="0"/>
    </w:pPr>
    <w:rPr>
      <w:rFonts w:ascii="华文细黑" w:hAnsi="Verdana" w:eastAsia="华文细黑" w:cs="Times New Roman"/>
      <w:b/>
      <w:color w:val="FFFFFF"/>
      <w:kern w:val="32"/>
      <w:sz w:val="24"/>
      <w:szCs w:val="21"/>
      <w:lang w:val="en-US" w:eastAsia="zh-CN" w:bidi="ar-SA"/>
    </w:rPr>
  </w:style>
  <w:style w:type="paragraph" w:styleId="3">
    <w:name w:val="heading 2"/>
    <w:next w:val="1"/>
    <w:link w:val="77"/>
    <w:qFormat/>
    <w:uiPriority w:val="0"/>
    <w:pPr>
      <w:keepNext/>
      <w:keepLines/>
      <w:numPr>
        <w:ilvl w:val="1"/>
        <w:numId w:val="1"/>
      </w:numPr>
      <w:shd w:val="clear" w:color="auto" w:fill="CCCCCC"/>
      <w:spacing w:line="360" w:lineRule="auto"/>
      <w:outlineLvl w:val="1"/>
    </w:pPr>
    <w:rPr>
      <w:rFonts w:ascii="微软雅黑" w:hAnsi="微软雅黑" w:eastAsia="微软雅黑" w:cs="Times New Roman"/>
      <w:b/>
      <w:sz w:val="24"/>
      <w:szCs w:val="21"/>
      <w:lang w:val="zh-CN" w:eastAsia="zh-CN" w:bidi="ar-SA"/>
    </w:rPr>
  </w:style>
  <w:style w:type="paragraph" w:styleId="4">
    <w:name w:val="heading 3"/>
    <w:next w:val="1"/>
    <w:link w:val="72"/>
    <w:qFormat/>
    <w:uiPriority w:val="0"/>
    <w:pPr>
      <w:keepNext/>
      <w:keepLines/>
      <w:widowControl w:val="0"/>
      <w:numPr>
        <w:ilvl w:val="2"/>
        <w:numId w:val="1"/>
      </w:numPr>
      <w:spacing w:line="360" w:lineRule="auto"/>
      <w:outlineLvl w:val="2"/>
    </w:pPr>
    <w:rPr>
      <w:rFonts w:ascii="微软雅黑" w:hAnsi="微软雅黑" w:eastAsia="微软雅黑" w:cs="Times New Roman"/>
      <w:b/>
      <w:bCs/>
      <w:color w:val="0000FF"/>
      <w:kern w:val="32"/>
      <w:sz w:val="24"/>
      <w:szCs w:val="21"/>
      <w:lang w:val="en-US" w:eastAsia="zh-CN" w:bidi="ar-SA"/>
    </w:rPr>
  </w:style>
  <w:style w:type="paragraph" w:styleId="5">
    <w:name w:val="heading 4"/>
    <w:next w:val="1"/>
    <w:link w:val="69"/>
    <w:qFormat/>
    <w:uiPriority w:val="0"/>
    <w:pPr>
      <w:keepNext/>
      <w:keepLines/>
      <w:numPr>
        <w:ilvl w:val="3"/>
        <w:numId w:val="1"/>
      </w:numPr>
      <w:tabs>
        <w:tab w:val="left" w:pos="0"/>
      </w:tabs>
      <w:spacing w:before="120" w:after="60" w:line="288" w:lineRule="auto"/>
      <w:jc w:val="both"/>
      <w:outlineLvl w:val="3"/>
    </w:pPr>
    <w:rPr>
      <w:rFonts w:ascii="Verdana" w:hAnsi="Verdana" w:eastAsia="黑体" w:cs="Times New Roman"/>
      <w:bCs/>
      <w:color w:val="000080"/>
      <w:spacing w:val="-10"/>
      <w:kern w:val="44"/>
      <w:sz w:val="24"/>
      <w:szCs w:val="21"/>
      <w:lang w:val="en-US" w:eastAsia="zh-CN" w:bidi="ar-SA"/>
    </w:rPr>
  </w:style>
  <w:style w:type="paragraph" w:styleId="6">
    <w:name w:val="heading 5"/>
    <w:next w:val="1"/>
    <w:link w:val="68"/>
    <w:qFormat/>
    <w:uiPriority w:val="0"/>
    <w:pPr>
      <w:keepNext/>
      <w:keepLines/>
      <w:numPr>
        <w:ilvl w:val="4"/>
        <w:numId w:val="1"/>
      </w:numPr>
      <w:spacing w:before="120" w:after="60" w:line="288" w:lineRule="auto"/>
      <w:outlineLvl w:val="4"/>
    </w:pPr>
    <w:rPr>
      <w:rFonts w:ascii="Verdana" w:hAnsi="Verdana" w:eastAsia="黑体" w:cs="Times New Roman"/>
      <w:color w:val="000080"/>
      <w:kern w:val="18"/>
      <w:sz w:val="24"/>
      <w:szCs w:val="21"/>
      <w:lang w:val="en-US" w:eastAsia="en-US" w:bidi="ar-SA"/>
    </w:rPr>
  </w:style>
  <w:style w:type="paragraph" w:styleId="7">
    <w:name w:val="heading 6"/>
    <w:next w:val="1"/>
    <w:link w:val="67"/>
    <w:qFormat/>
    <w:uiPriority w:val="0"/>
    <w:pPr>
      <w:keepLines/>
      <w:numPr>
        <w:ilvl w:val="5"/>
        <w:numId w:val="1"/>
      </w:numPr>
      <w:spacing w:before="60" w:after="120" w:line="288" w:lineRule="auto"/>
      <w:outlineLvl w:val="5"/>
    </w:pPr>
    <w:rPr>
      <w:rFonts w:ascii="Verdana" w:hAnsi="Verdana" w:eastAsia="黑体" w:cs="Times New Roman"/>
      <w:color w:val="000080"/>
      <w:kern w:val="18"/>
      <w:sz w:val="24"/>
      <w:szCs w:val="21"/>
      <w:lang w:val="en-US" w:eastAsia="en-US" w:bidi="ar-SA"/>
    </w:rPr>
  </w:style>
  <w:style w:type="paragraph" w:styleId="8">
    <w:name w:val="heading 7"/>
    <w:next w:val="1"/>
    <w:link w:val="75"/>
    <w:qFormat/>
    <w:uiPriority w:val="0"/>
    <w:pPr>
      <w:keepNext/>
      <w:keepLines/>
      <w:numPr>
        <w:ilvl w:val="6"/>
        <w:numId w:val="1"/>
      </w:numPr>
      <w:spacing w:before="60" w:after="120" w:line="288" w:lineRule="auto"/>
      <w:outlineLvl w:val="6"/>
    </w:pPr>
    <w:rPr>
      <w:rFonts w:ascii="Verdana" w:hAnsi="Verdana" w:eastAsia="黑体" w:cs="Times New Roman"/>
      <w:color w:val="000000"/>
      <w:kern w:val="18"/>
      <w:sz w:val="21"/>
      <w:szCs w:val="21"/>
      <w:u w:val="single"/>
      <w:lang w:val="en-US" w:eastAsia="en-US" w:bidi="ar-SA"/>
    </w:rPr>
  </w:style>
  <w:style w:type="paragraph" w:styleId="9">
    <w:name w:val="heading 8"/>
    <w:next w:val="1"/>
    <w:link w:val="66"/>
    <w:qFormat/>
    <w:uiPriority w:val="0"/>
    <w:pPr>
      <w:keepNext/>
      <w:keepLines/>
      <w:numPr>
        <w:ilvl w:val="7"/>
        <w:numId w:val="1"/>
      </w:numPr>
      <w:spacing w:before="60" w:after="120" w:line="288" w:lineRule="auto"/>
      <w:outlineLvl w:val="7"/>
    </w:pPr>
    <w:rPr>
      <w:rFonts w:ascii="Verdana" w:hAnsi="Verdana" w:eastAsia="黑体" w:cs="Times New Roman"/>
      <w:color w:val="000000"/>
      <w:kern w:val="18"/>
      <w:sz w:val="21"/>
      <w:szCs w:val="21"/>
      <w:lang w:val="en-US" w:eastAsia="en-US" w:bidi="ar-SA"/>
    </w:rPr>
  </w:style>
  <w:style w:type="paragraph" w:styleId="10">
    <w:name w:val="heading 9"/>
    <w:next w:val="1"/>
    <w:link w:val="70"/>
    <w:qFormat/>
    <w:uiPriority w:val="0"/>
    <w:pPr>
      <w:keepNext/>
      <w:keepLines/>
      <w:numPr>
        <w:ilvl w:val="8"/>
        <w:numId w:val="1"/>
      </w:numPr>
      <w:tabs>
        <w:tab w:val="left" w:pos="2880"/>
      </w:tabs>
      <w:spacing w:line="288" w:lineRule="auto"/>
      <w:outlineLvl w:val="8"/>
    </w:pPr>
    <w:rPr>
      <w:rFonts w:ascii="Verdana" w:hAnsi="Verdana" w:eastAsia="黑体" w:cs="Times New Roman"/>
      <w:color w:val="000000"/>
      <w:sz w:val="21"/>
      <w:szCs w:val="21"/>
      <w:lang w:val="en-US" w:eastAsia="en-US" w:bidi="ar-SA"/>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2520" w:leftChars="1200"/>
    </w:pPr>
  </w:style>
  <w:style w:type="paragraph" w:styleId="12">
    <w:name w:val="List Bullet"/>
    <w:basedOn w:val="1"/>
    <w:qFormat/>
    <w:uiPriority w:val="0"/>
    <w:pPr>
      <w:widowControl/>
      <w:numPr>
        <w:ilvl w:val="0"/>
        <w:numId w:val="2"/>
      </w:numPr>
      <w:spacing w:after="240"/>
      <w:ind w:firstLine="0"/>
      <w:jc w:val="left"/>
    </w:pPr>
    <w:rPr>
      <w:rFonts w:ascii="Arial" w:hAnsi="Arial" w:eastAsia="宋体" w:cs="Times New Roman"/>
      <w:kern w:val="0"/>
      <w:sz w:val="20"/>
      <w:szCs w:val="20"/>
      <w:lang w:eastAsia="en-US"/>
    </w:rPr>
  </w:style>
  <w:style w:type="paragraph" w:styleId="13">
    <w:name w:val="annotation text"/>
    <w:basedOn w:val="1"/>
    <w:link w:val="65"/>
    <w:unhideWhenUsed/>
    <w:qFormat/>
    <w:uiPriority w:val="99"/>
    <w:pPr>
      <w:jc w:val="left"/>
    </w:pPr>
  </w:style>
  <w:style w:type="paragraph" w:styleId="14">
    <w:name w:val="Body Text 3"/>
    <w:basedOn w:val="1"/>
    <w:link w:val="62"/>
    <w:qFormat/>
    <w:uiPriority w:val="0"/>
    <w:pPr>
      <w:widowControl/>
      <w:numPr>
        <w:ilvl w:val="0"/>
        <w:numId w:val="3"/>
      </w:numPr>
      <w:spacing w:after="120" w:line="300" w:lineRule="auto"/>
      <w:ind w:firstLine="0"/>
    </w:pPr>
    <w:rPr>
      <w:rFonts w:ascii="TKTypeRegular" w:hAnsi="TKTypeRegular" w:eastAsia="华文细黑" w:cs="Times New Roman"/>
      <w:kern w:val="0"/>
      <w:sz w:val="24"/>
      <w:szCs w:val="24"/>
      <w:lang w:val="en-GB" w:eastAsia="en-US"/>
    </w:rPr>
  </w:style>
  <w:style w:type="paragraph" w:styleId="15">
    <w:name w:val="Body Text"/>
    <w:basedOn w:val="1"/>
    <w:link w:val="58"/>
    <w:unhideWhenUsed/>
    <w:qFormat/>
    <w:uiPriority w:val="99"/>
    <w:pPr>
      <w:spacing w:after="120"/>
    </w:pPr>
  </w:style>
  <w:style w:type="paragraph" w:styleId="16">
    <w:name w:val="toc 5"/>
    <w:basedOn w:val="1"/>
    <w:next w:val="1"/>
    <w:unhideWhenUsed/>
    <w:qFormat/>
    <w:uiPriority w:val="39"/>
    <w:pPr>
      <w:ind w:left="1680" w:leftChars="800"/>
    </w:pPr>
  </w:style>
  <w:style w:type="paragraph" w:styleId="17">
    <w:name w:val="toc 3"/>
    <w:basedOn w:val="1"/>
    <w:next w:val="1"/>
    <w:unhideWhenUsed/>
    <w:qFormat/>
    <w:uiPriority w:val="39"/>
    <w:pPr>
      <w:ind w:left="840" w:leftChars="400"/>
    </w:pPr>
  </w:style>
  <w:style w:type="paragraph" w:styleId="18">
    <w:name w:val="toc 8"/>
    <w:basedOn w:val="1"/>
    <w:next w:val="1"/>
    <w:unhideWhenUsed/>
    <w:qFormat/>
    <w:uiPriority w:val="39"/>
    <w:pPr>
      <w:ind w:left="2940" w:leftChars="1400"/>
    </w:pPr>
  </w:style>
  <w:style w:type="paragraph" w:styleId="19">
    <w:name w:val="Balloon Text"/>
    <w:basedOn w:val="1"/>
    <w:link w:val="61"/>
    <w:unhideWhenUsed/>
    <w:qFormat/>
    <w:uiPriority w:val="99"/>
    <w:pPr>
      <w:jc w:val="left"/>
    </w:pPr>
    <w:rPr>
      <w:rFonts w:ascii="Cambria" w:hAnsi="Cambria" w:eastAsia="微软雅黑" w:cs="Times New Roman"/>
      <w:sz w:val="18"/>
      <w:szCs w:val="18"/>
      <w:lang w:eastAsia="zh-TW"/>
    </w:rPr>
  </w:style>
  <w:style w:type="paragraph" w:styleId="20">
    <w:name w:val="footer"/>
    <w:basedOn w:val="1"/>
    <w:link w:val="73"/>
    <w:unhideWhenUsed/>
    <w:qFormat/>
    <w:uiPriority w:val="0"/>
    <w:pPr>
      <w:tabs>
        <w:tab w:val="center" w:pos="4153"/>
        <w:tab w:val="right" w:pos="8306"/>
      </w:tabs>
      <w:snapToGrid w:val="0"/>
      <w:jc w:val="left"/>
    </w:pPr>
    <w:rPr>
      <w:sz w:val="18"/>
      <w:szCs w:val="18"/>
    </w:rPr>
  </w:style>
  <w:style w:type="paragraph" w:styleId="21">
    <w:name w:val="header"/>
    <w:basedOn w:val="1"/>
    <w:link w:val="71"/>
    <w:unhideWhenUsed/>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unhideWhenUsed/>
    <w:qFormat/>
    <w:uiPriority w:val="39"/>
  </w:style>
  <w:style w:type="paragraph" w:styleId="23">
    <w:name w:val="toc 4"/>
    <w:basedOn w:val="1"/>
    <w:next w:val="1"/>
    <w:unhideWhenUsed/>
    <w:qFormat/>
    <w:uiPriority w:val="39"/>
    <w:pPr>
      <w:ind w:left="1260" w:leftChars="600"/>
    </w:pPr>
  </w:style>
  <w:style w:type="paragraph" w:styleId="24">
    <w:name w:val="toc 6"/>
    <w:basedOn w:val="1"/>
    <w:next w:val="1"/>
    <w:unhideWhenUsed/>
    <w:qFormat/>
    <w:uiPriority w:val="39"/>
    <w:pPr>
      <w:ind w:left="2100" w:leftChars="1000"/>
    </w:pPr>
  </w:style>
  <w:style w:type="paragraph" w:styleId="25">
    <w:name w:val="toc 2"/>
    <w:basedOn w:val="1"/>
    <w:next w:val="1"/>
    <w:unhideWhenUsed/>
    <w:qFormat/>
    <w:uiPriority w:val="39"/>
    <w:pPr>
      <w:ind w:left="420" w:leftChars="200"/>
    </w:pPr>
  </w:style>
  <w:style w:type="paragraph" w:styleId="26">
    <w:name w:val="toc 9"/>
    <w:basedOn w:val="1"/>
    <w:next w:val="1"/>
    <w:unhideWhenUsed/>
    <w:qFormat/>
    <w:uiPriority w:val="39"/>
    <w:pPr>
      <w:ind w:left="3360" w:leftChars="1600"/>
    </w:pPr>
  </w:style>
  <w:style w:type="paragraph" w:styleId="2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8">
    <w:name w:val="Title"/>
    <w:basedOn w:val="1"/>
    <w:link w:val="57"/>
    <w:qFormat/>
    <w:uiPriority w:val="0"/>
    <w:pPr>
      <w:keepLines/>
      <w:widowControl/>
      <w:overflowPunct w:val="0"/>
      <w:autoSpaceDE w:val="0"/>
      <w:autoSpaceDN w:val="0"/>
      <w:adjustRightInd w:val="0"/>
      <w:spacing w:after="120"/>
      <w:ind w:left="3320" w:leftChars="100" w:right="720" w:rightChars="100"/>
      <w:jc w:val="left"/>
      <w:textAlignment w:val="baseline"/>
    </w:pPr>
    <w:rPr>
      <w:rFonts w:ascii="Book Antiqua" w:hAnsi="Book Antiqua" w:eastAsia="微软雅黑" w:cs="Times New Roman"/>
      <w:kern w:val="0"/>
      <w:sz w:val="48"/>
      <w:szCs w:val="20"/>
    </w:rPr>
  </w:style>
  <w:style w:type="paragraph" w:styleId="29">
    <w:name w:val="annotation subject"/>
    <w:basedOn w:val="13"/>
    <w:next w:val="13"/>
    <w:link w:val="64"/>
    <w:unhideWhenUsed/>
    <w:qFormat/>
    <w:uiPriority w:val="99"/>
    <w:rPr>
      <w:b/>
      <w:bCs/>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Hyperlink"/>
    <w:basedOn w:val="32"/>
    <w:unhideWhenUsed/>
    <w:qFormat/>
    <w:uiPriority w:val="99"/>
    <w:rPr>
      <w:color w:val="0563C1"/>
      <w:u w:val="single"/>
    </w:rPr>
  </w:style>
  <w:style w:type="character" w:styleId="35">
    <w:name w:val="annotation reference"/>
    <w:basedOn w:val="32"/>
    <w:unhideWhenUsed/>
    <w:qFormat/>
    <w:uiPriority w:val="99"/>
    <w:rPr>
      <w:sz w:val="21"/>
      <w:szCs w:val="21"/>
    </w:rPr>
  </w:style>
  <w:style w:type="paragraph" w:customStyle="1" w:styleId="36">
    <w:name w:val="列表段落2"/>
    <w:basedOn w:val="1"/>
    <w:qFormat/>
    <w:uiPriority w:val="99"/>
    <w:pPr>
      <w:ind w:firstLine="420" w:firstLineChars="200"/>
    </w:pPr>
  </w:style>
  <w:style w:type="paragraph" w:customStyle="1" w:styleId="37">
    <w:name w:val="Table Heading"/>
    <w:basedOn w:val="38"/>
    <w:qFormat/>
    <w:uiPriority w:val="0"/>
    <w:pPr>
      <w:spacing w:before="120" w:after="120"/>
    </w:pPr>
    <w:rPr>
      <w:b/>
    </w:rPr>
  </w:style>
  <w:style w:type="paragraph" w:customStyle="1" w:styleId="38">
    <w:name w:val="Table Text"/>
    <w:basedOn w:val="1"/>
    <w:qFormat/>
    <w:uiPriority w:val="0"/>
    <w:pPr>
      <w:keepLines/>
      <w:widowControl/>
      <w:overflowPunct w:val="0"/>
      <w:autoSpaceDE w:val="0"/>
      <w:autoSpaceDN w:val="0"/>
      <w:adjustRightInd w:val="0"/>
      <w:jc w:val="left"/>
      <w:textAlignment w:val="baseline"/>
    </w:pPr>
    <w:rPr>
      <w:rFonts w:ascii="Book Antiqua" w:hAnsi="Book Antiqua" w:eastAsia="宋体" w:cs="Times New Roman"/>
      <w:kern w:val="0"/>
      <w:sz w:val="16"/>
      <w:szCs w:val="20"/>
    </w:rPr>
  </w:style>
  <w:style w:type="paragraph" w:customStyle="1" w:styleId="39">
    <w:name w:val="Title Bar"/>
    <w:basedOn w:val="1"/>
    <w:qFormat/>
    <w:uiPriority w:val="0"/>
    <w:pPr>
      <w:keepNext/>
      <w:pageBreakBefore/>
      <w:widowControl/>
      <w:shd w:val="solid" w:color="auto" w:fill="auto"/>
      <w:overflowPunct w:val="0"/>
      <w:autoSpaceDE w:val="0"/>
      <w:autoSpaceDN w:val="0"/>
      <w:adjustRightInd w:val="0"/>
      <w:spacing w:before="1680"/>
      <w:ind w:left="2520" w:right="720"/>
      <w:jc w:val="left"/>
      <w:textAlignment w:val="baseline"/>
    </w:pPr>
    <w:rPr>
      <w:rFonts w:ascii="Book Antiqua" w:hAnsi="Book Antiqua" w:eastAsia="宋体" w:cs="Times New Roman"/>
      <w:kern w:val="0"/>
      <w:sz w:val="36"/>
      <w:szCs w:val="20"/>
    </w:rPr>
  </w:style>
  <w:style w:type="paragraph" w:customStyle="1" w:styleId="40">
    <w:name w:val="列表段落3"/>
    <w:basedOn w:val="1"/>
    <w:qFormat/>
    <w:uiPriority w:val="99"/>
    <w:pPr>
      <w:ind w:firstLine="420" w:firstLineChars="200"/>
    </w:pPr>
  </w:style>
  <w:style w:type="paragraph" w:customStyle="1" w:styleId="41">
    <w:name w:val="四级条标题"/>
    <w:basedOn w:val="42"/>
    <w:next w:val="1"/>
    <w:qFormat/>
    <w:uiPriority w:val="0"/>
    <w:pPr>
      <w:numPr>
        <w:ilvl w:val="4"/>
      </w:numPr>
      <w:outlineLvl w:val="5"/>
    </w:pPr>
  </w:style>
  <w:style w:type="paragraph" w:customStyle="1" w:styleId="42">
    <w:name w:val="三级条标题"/>
    <w:basedOn w:val="43"/>
    <w:next w:val="1"/>
    <w:qFormat/>
    <w:uiPriority w:val="0"/>
    <w:pPr>
      <w:numPr>
        <w:ilvl w:val="3"/>
      </w:numPr>
      <w:outlineLvl w:val="4"/>
    </w:pPr>
  </w:style>
  <w:style w:type="paragraph" w:customStyle="1" w:styleId="43">
    <w:name w:val="二级条标题"/>
    <w:basedOn w:val="44"/>
    <w:next w:val="1"/>
    <w:qFormat/>
    <w:uiPriority w:val="0"/>
    <w:pPr>
      <w:numPr>
        <w:ilvl w:val="2"/>
      </w:numPr>
      <w:spacing w:before="50" w:after="50"/>
      <w:outlineLvl w:val="3"/>
    </w:pPr>
  </w:style>
  <w:style w:type="paragraph" w:customStyle="1" w:styleId="44">
    <w:name w:val="一级条标题"/>
    <w:next w:val="1"/>
    <w:qFormat/>
    <w:uiPriority w:val="0"/>
    <w:pPr>
      <w:numPr>
        <w:ilvl w:val="1"/>
        <w:numId w:val="4"/>
      </w:numPr>
      <w:spacing w:beforeLines="50" w:afterLines="50"/>
      <w:outlineLvl w:val="2"/>
    </w:pPr>
    <w:rPr>
      <w:rFonts w:ascii="黑体" w:hAnsi="Times New Roman" w:eastAsia="黑体" w:cs="Times New Roman"/>
      <w:sz w:val="21"/>
      <w:szCs w:val="21"/>
      <w:lang w:val="en-US" w:eastAsia="zh-CN" w:bidi="ar-SA"/>
    </w:rPr>
  </w:style>
  <w:style w:type="paragraph" w:customStyle="1" w:styleId="45">
    <w:name w:val="章标题"/>
    <w:next w:val="1"/>
    <w:qFormat/>
    <w:uiPriority w:val="0"/>
    <w:pPr>
      <w:numPr>
        <w:ilvl w:val="0"/>
        <w:numId w:val="4"/>
      </w:numPr>
      <w:spacing w:beforeLines="100" w:afterLines="100"/>
      <w:jc w:val="both"/>
      <w:outlineLvl w:val="1"/>
    </w:pPr>
    <w:rPr>
      <w:rFonts w:ascii="黑体" w:hAnsi="Times New Roman" w:eastAsia="黑体" w:cs="Times New Roman"/>
      <w:sz w:val="21"/>
      <w:lang w:val="en-US" w:eastAsia="zh-CN" w:bidi="ar-SA"/>
    </w:rPr>
  </w:style>
  <w:style w:type="paragraph" w:customStyle="1" w:styleId="46">
    <w:name w:val="修订2"/>
    <w:semiHidden/>
    <w:qFormat/>
    <w:uiPriority w:val="99"/>
    <w:rPr>
      <w:rFonts w:ascii="等线" w:hAnsi="等线" w:eastAsia="等线" w:cs="Times New Roman"/>
      <w:kern w:val="2"/>
      <w:sz w:val="21"/>
      <w:szCs w:val="22"/>
      <w:lang w:val="en-US" w:eastAsia="zh-CN" w:bidi="ar-SA"/>
    </w:rPr>
  </w:style>
  <w:style w:type="paragraph" w:customStyle="1" w:styleId="47">
    <w:name w:val="五级条标题"/>
    <w:basedOn w:val="41"/>
    <w:next w:val="1"/>
    <w:qFormat/>
    <w:uiPriority w:val="0"/>
    <w:pPr>
      <w:numPr>
        <w:ilvl w:val="5"/>
      </w:numPr>
      <w:outlineLvl w:val="6"/>
    </w:pPr>
  </w:style>
  <w:style w:type="paragraph" w:customStyle="1" w:styleId="48">
    <w:name w:val="样式1"/>
    <w:basedOn w:val="1"/>
    <w:link w:val="63"/>
    <w:qFormat/>
    <w:uiPriority w:val="0"/>
    <w:pPr>
      <w:widowControl/>
      <w:spacing w:line="288" w:lineRule="auto"/>
      <w:ind w:firstLine="420" w:firstLineChars="200"/>
      <w:jc w:val="left"/>
    </w:pPr>
    <w:rPr>
      <w:rFonts w:ascii="华文细黑" w:hAnsi="华文细黑" w:eastAsia="华文细黑" w:cs="Times New Roman"/>
      <w:kern w:val="0"/>
      <w:szCs w:val="21"/>
      <w:lang w:val="en-AU" w:eastAsia="en-US"/>
    </w:rPr>
  </w:style>
  <w:style w:type="paragraph" w:customStyle="1" w:styleId="49">
    <w:name w:val="列表段落1"/>
    <w:basedOn w:val="1"/>
    <w:link w:val="59"/>
    <w:qFormat/>
    <w:uiPriority w:val="34"/>
    <w:pPr>
      <w:widowControl/>
      <w:spacing w:beforeLines="50" w:line="360" w:lineRule="auto"/>
      <w:ind w:firstLine="420" w:firstLineChars="200"/>
      <w:jc w:val="left"/>
    </w:pPr>
    <w:rPr>
      <w:rFonts w:ascii="华文细黑" w:hAnsi="Times New Roman" w:eastAsia="华文细黑" w:cs="Times New Roman"/>
      <w:kern w:val="0"/>
      <w:szCs w:val="24"/>
      <w:lang w:val="en-AU" w:eastAsia="en-US"/>
    </w:rPr>
  </w:style>
  <w:style w:type="paragraph" w:customStyle="1" w:styleId="50">
    <w:name w:val="TOC 标题1"/>
    <w:basedOn w:val="2"/>
    <w:next w:val="1"/>
    <w:unhideWhenUsed/>
    <w:qFormat/>
    <w:uiPriority w:val="39"/>
    <w:pPr>
      <w:pageBreakBefore w:val="0"/>
      <w:numPr>
        <w:ilvl w:val="0"/>
        <w:numId w:val="0"/>
      </w:numPr>
      <w:pBdr>
        <w:bottom w:val="none" w:color="auto" w:sz="0" w:space="0"/>
      </w:pBdr>
      <w:shd w:val="clear" w:color="auto" w:fill="auto"/>
      <w:spacing w:before="240" w:line="259" w:lineRule="auto"/>
      <w:outlineLvl w:val="9"/>
    </w:pPr>
    <w:rPr>
      <w:rFonts w:ascii="等线 Light" w:hAnsi="等线 Light" w:eastAsia="等线 Light" w:cs="Times New Roman"/>
      <w:b w:val="0"/>
      <w:color w:val="2F5496"/>
      <w:kern w:val="0"/>
      <w:sz w:val="32"/>
      <w:szCs w:val="32"/>
    </w:rPr>
  </w:style>
  <w:style w:type="paragraph" w:customStyle="1" w:styleId="51">
    <w:name w:val="Heading 0"/>
    <w:next w:val="1"/>
    <w:qFormat/>
    <w:uiPriority w:val="0"/>
    <w:pPr>
      <w:keepNext/>
      <w:keepLines/>
      <w:pageBreakBefore/>
      <w:pBdr>
        <w:bottom w:val="single" w:color="FFCC00" w:sz="6" w:space="1"/>
      </w:pBdr>
      <w:spacing w:after="480" w:line="288" w:lineRule="auto"/>
      <w:ind w:left="-2268"/>
    </w:pPr>
    <w:rPr>
      <w:rFonts w:ascii="华文细黑" w:hAnsi="Times New Roman" w:eastAsia="华文细黑" w:cs="Times New Roman"/>
      <w:color w:val="000080"/>
      <w:spacing w:val="-20"/>
      <w:kern w:val="32"/>
      <w:sz w:val="48"/>
      <w:szCs w:val="21"/>
      <w:lang w:val="en-US" w:eastAsia="en-US" w:bidi="ar-SA"/>
    </w:rPr>
  </w:style>
  <w:style w:type="paragraph" w:customStyle="1" w:styleId="52">
    <w:name w:val="List Paragraph"/>
    <w:basedOn w:val="1"/>
    <w:qFormat/>
    <w:uiPriority w:val="99"/>
    <w:pPr>
      <w:ind w:firstLine="420" w:firstLineChars="200"/>
    </w:pPr>
  </w:style>
  <w:style w:type="paragraph" w:customStyle="1" w:styleId="53">
    <w:name w:val="Revision"/>
    <w:semiHidden/>
    <w:qFormat/>
    <w:uiPriority w:val="99"/>
    <w:rPr>
      <w:rFonts w:ascii="等线" w:hAnsi="等线" w:eastAsia="等线" w:cs="Times New Roman"/>
      <w:kern w:val="2"/>
      <w:sz w:val="21"/>
      <w:szCs w:val="22"/>
      <w:lang w:val="en-US" w:eastAsia="zh-CN" w:bidi="ar-SA"/>
    </w:rPr>
  </w:style>
  <w:style w:type="paragraph" w:customStyle="1" w:styleId="54">
    <w:name w:val="修订1"/>
    <w:semiHidden/>
    <w:qFormat/>
    <w:uiPriority w:val="99"/>
    <w:rPr>
      <w:rFonts w:ascii="等线" w:hAnsi="等线" w:eastAsia="等线" w:cs="Times New Roman"/>
      <w:kern w:val="2"/>
      <w:sz w:val="21"/>
      <w:szCs w:val="22"/>
      <w:lang w:val="en-US" w:eastAsia="zh-CN" w:bidi="ar-SA"/>
    </w:rPr>
  </w:style>
  <w:style w:type="character" w:customStyle="1" w:styleId="55">
    <w:name w:val="占位符文本1"/>
    <w:basedOn w:val="32"/>
    <w:semiHidden/>
    <w:qFormat/>
    <w:uiPriority w:val="99"/>
    <w:rPr>
      <w:color w:val="808080"/>
    </w:rPr>
  </w:style>
  <w:style w:type="character" w:customStyle="1" w:styleId="56">
    <w:name w:val="Highlighted Variable"/>
    <w:qFormat/>
    <w:uiPriority w:val="0"/>
    <w:rPr>
      <w:rFonts w:ascii="Book Antiqua" w:hAnsi="Book Antiqua"/>
      <w:color w:val="0000FF"/>
    </w:rPr>
  </w:style>
  <w:style w:type="character" w:customStyle="1" w:styleId="57">
    <w:name w:val="标题 字符"/>
    <w:basedOn w:val="32"/>
    <w:link w:val="28"/>
    <w:qFormat/>
    <w:uiPriority w:val="0"/>
    <w:rPr>
      <w:rFonts w:ascii="Book Antiqua" w:hAnsi="Book Antiqua" w:eastAsia="微软雅黑" w:cs="Times New Roman"/>
      <w:kern w:val="0"/>
      <w:sz w:val="48"/>
      <w:szCs w:val="20"/>
    </w:rPr>
  </w:style>
  <w:style w:type="character" w:customStyle="1" w:styleId="58">
    <w:name w:val="正文文本 字符"/>
    <w:basedOn w:val="32"/>
    <w:link w:val="15"/>
    <w:qFormat/>
    <w:uiPriority w:val="99"/>
  </w:style>
  <w:style w:type="character" w:customStyle="1" w:styleId="59">
    <w:name w:val="列表段落 字符"/>
    <w:basedOn w:val="32"/>
    <w:link w:val="49"/>
    <w:qFormat/>
    <w:uiPriority w:val="34"/>
    <w:rPr>
      <w:rFonts w:ascii="华文细黑" w:hAnsi="Times New Roman" w:eastAsia="华文细黑" w:cs="Times New Roman"/>
      <w:kern w:val="0"/>
      <w:szCs w:val="24"/>
      <w:lang w:val="en-AU" w:eastAsia="en-US"/>
    </w:rPr>
  </w:style>
  <w:style w:type="character" w:customStyle="1" w:styleId="60">
    <w:name w:val="未处理的提及2"/>
    <w:basedOn w:val="32"/>
    <w:unhideWhenUsed/>
    <w:qFormat/>
    <w:uiPriority w:val="99"/>
    <w:rPr>
      <w:color w:val="605E5C"/>
      <w:shd w:val="clear" w:color="auto" w:fill="E1DFDD"/>
    </w:rPr>
  </w:style>
  <w:style w:type="character" w:customStyle="1" w:styleId="61">
    <w:name w:val="批注框文本 字符"/>
    <w:basedOn w:val="32"/>
    <w:link w:val="19"/>
    <w:semiHidden/>
    <w:qFormat/>
    <w:uiPriority w:val="99"/>
    <w:rPr>
      <w:rFonts w:ascii="Cambria" w:hAnsi="Cambria" w:eastAsia="微软雅黑" w:cs="Times New Roman"/>
      <w:sz w:val="18"/>
      <w:szCs w:val="18"/>
      <w:lang w:eastAsia="zh-TW"/>
    </w:rPr>
  </w:style>
  <w:style w:type="character" w:customStyle="1" w:styleId="62">
    <w:name w:val="正文文本 3 字符"/>
    <w:basedOn w:val="32"/>
    <w:link w:val="14"/>
    <w:qFormat/>
    <w:uiPriority w:val="0"/>
    <w:rPr>
      <w:rFonts w:ascii="TKTypeRegular" w:hAnsi="TKTypeRegular" w:eastAsia="华文细黑" w:cs="Times New Roman"/>
      <w:kern w:val="0"/>
      <w:sz w:val="24"/>
      <w:szCs w:val="24"/>
      <w:lang w:val="en-GB" w:eastAsia="en-US"/>
    </w:rPr>
  </w:style>
  <w:style w:type="character" w:customStyle="1" w:styleId="63">
    <w:name w:val="样式1 Char"/>
    <w:link w:val="48"/>
    <w:qFormat/>
    <w:uiPriority w:val="0"/>
    <w:rPr>
      <w:rFonts w:ascii="华文细黑" w:hAnsi="华文细黑" w:eastAsia="华文细黑" w:cs="Times New Roman"/>
      <w:kern w:val="0"/>
      <w:szCs w:val="21"/>
      <w:lang w:val="en-AU" w:eastAsia="en-US"/>
    </w:rPr>
  </w:style>
  <w:style w:type="character" w:customStyle="1" w:styleId="64">
    <w:name w:val="批注主题 字符"/>
    <w:basedOn w:val="65"/>
    <w:link w:val="29"/>
    <w:semiHidden/>
    <w:qFormat/>
    <w:uiPriority w:val="99"/>
    <w:rPr>
      <w:b/>
      <w:bCs/>
      <w:kern w:val="2"/>
      <w:sz w:val="21"/>
      <w:szCs w:val="22"/>
    </w:rPr>
  </w:style>
  <w:style w:type="character" w:customStyle="1" w:styleId="65">
    <w:name w:val="批注文字 字符"/>
    <w:basedOn w:val="32"/>
    <w:link w:val="13"/>
    <w:qFormat/>
    <w:uiPriority w:val="99"/>
    <w:rPr>
      <w:kern w:val="2"/>
      <w:sz w:val="21"/>
      <w:szCs w:val="22"/>
    </w:rPr>
  </w:style>
  <w:style w:type="character" w:customStyle="1" w:styleId="66">
    <w:name w:val="标题 8 字符"/>
    <w:basedOn w:val="32"/>
    <w:link w:val="9"/>
    <w:qFormat/>
    <w:uiPriority w:val="0"/>
    <w:rPr>
      <w:rFonts w:ascii="Verdana" w:hAnsi="Verdana" w:eastAsia="黑体" w:cs="Times New Roman"/>
      <w:color w:val="000000"/>
      <w:kern w:val="18"/>
      <w:szCs w:val="21"/>
      <w:lang w:eastAsia="en-US"/>
    </w:rPr>
  </w:style>
  <w:style w:type="character" w:customStyle="1" w:styleId="67">
    <w:name w:val="标题 6 字符"/>
    <w:basedOn w:val="32"/>
    <w:link w:val="7"/>
    <w:qFormat/>
    <w:uiPriority w:val="0"/>
    <w:rPr>
      <w:rFonts w:ascii="Verdana" w:hAnsi="Verdana" w:eastAsia="黑体" w:cs="Times New Roman"/>
      <w:color w:val="000080"/>
      <w:kern w:val="18"/>
      <w:sz w:val="24"/>
      <w:szCs w:val="21"/>
      <w:lang w:eastAsia="en-US"/>
    </w:rPr>
  </w:style>
  <w:style w:type="character" w:customStyle="1" w:styleId="68">
    <w:name w:val="标题 5 字符"/>
    <w:basedOn w:val="32"/>
    <w:link w:val="6"/>
    <w:qFormat/>
    <w:uiPriority w:val="0"/>
    <w:rPr>
      <w:rFonts w:ascii="Verdana" w:hAnsi="Verdana" w:eastAsia="黑体" w:cs="Times New Roman"/>
      <w:color w:val="000080"/>
      <w:kern w:val="18"/>
      <w:sz w:val="24"/>
      <w:szCs w:val="21"/>
      <w:lang w:eastAsia="en-US"/>
    </w:rPr>
  </w:style>
  <w:style w:type="character" w:customStyle="1" w:styleId="69">
    <w:name w:val="标题 4 字符"/>
    <w:basedOn w:val="32"/>
    <w:link w:val="5"/>
    <w:qFormat/>
    <w:uiPriority w:val="0"/>
    <w:rPr>
      <w:rFonts w:ascii="Verdana" w:hAnsi="Verdana" w:eastAsia="黑体" w:cs="Times New Roman"/>
      <w:bCs/>
      <w:color w:val="000080"/>
      <w:spacing w:val="-10"/>
      <w:kern w:val="44"/>
      <w:sz w:val="24"/>
      <w:szCs w:val="21"/>
    </w:rPr>
  </w:style>
  <w:style w:type="character" w:customStyle="1" w:styleId="70">
    <w:name w:val="标题 9 字符"/>
    <w:basedOn w:val="32"/>
    <w:link w:val="10"/>
    <w:qFormat/>
    <w:uiPriority w:val="0"/>
    <w:rPr>
      <w:rFonts w:ascii="Verdana" w:hAnsi="Verdana" w:eastAsia="黑体" w:cs="Times New Roman"/>
      <w:color w:val="000000"/>
      <w:kern w:val="0"/>
      <w:szCs w:val="21"/>
      <w:lang w:eastAsia="en-US"/>
    </w:rPr>
  </w:style>
  <w:style w:type="character" w:customStyle="1" w:styleId="71">
    <w:name w:val="页眉 字符"/>
    <w:basedOn w:val="32"/>
    <w:link w:val="21"/>
    <w:qFormat/>
    <w:uiPriority w:val="0"/>
    <w:rPr>
      <w:sz w:val="18"/>
      <w:szCs w:val="18"/>
    </w:rPr>
  </w:style>
  <w:style w:type="character" w:customStyle="1" w:styleId="72">
    <w:name w:val="标题 3 字符"/>
    <w:basedOn w:val="32"/>
    <w:link w:val="4"/>
    <w:qFormat/>
    <w:uiPriority w:val="0"/>
    <w:rPr>
      <w:rFonts w:ascii="微软雅黑" w:hAnsi="微软雅黑" w:eastAsia="微软雅黑" w:cs="Times New Roman"/>
      <w:b/>
      <w:bCs/>
      <w:color w:val="0000FF"/>
      <w:kern w:val="32"/>
      <w:sz w:val="24"/>
      <w:szCs w:val="21"/>
    </w:rPr>
  </w:style>
  <w:style w:type="character" w:customStyle="1" w:styleId="73">
    <w:name w:val="页脚 字符"/>
    <w:basedOn w:val="32"/>
    <w:link w:val="20"/>
    <w:qFormat/>
    <w:uiPriority w:val="0"/>
    <w:rPr>
      <w:sz w:val="18"/>
      <w:szCs w:val="18"/>
    </w:rPr>
  </w:style>
  <w:style w:type="character" w:customStyle="1" w:styleId="74">
    <w:name w:val="未处理的提及1"/>
    <w:basedOn w:val="32"/>
    <w:unhideWhenUsed/>
    <w:qFormat/>
    <w:uiPriority w:val="99"/>
    <w:rPr>
      <w:color w:val="605E5C"/>
      <w:shd w:val="clear" w:color="auto" w:fill="E1DFDD"/>
    </w:rPr>
  </w:style>
  <w:style w:type="character" w:customStyle="1" w:styleId="75">
    <w:name w:val="标题 7 字符"/>
    <w:basedOn w:val="32"/>
    <w:link w:val="8"/>
    <w:qFormat/>
    <w:uiPriority w:val="0"/>
    <w:rPr>
      <w:rFonts w:ascii="Verdana" w:hAnsi="Verdana" w:eastAsia="黑体" w:cs="Times New Roman"/>
      <w:color w:val="000000"/>
      <w:kern w:val="18"/>
      <w:szCs w:val="21"/>
      <w:u w:val="single"/>
      <w:lang w:eastAsia="en-US"/>
    </w:rPr>
  </w:style>
  <w:style w:type="character" w:customStyle="1" w:styleId="76">
    <w:name w:val="标题 1 字符"/>
    <w:basedOn w:val="32"/>
    <w:link w:val="2"/>
    <w:qFormat/>
    <w:uiPriority w:val="0"/>
    <w:rPr>
      <w:rFonts w:ascii="华文细黑" w:hAnsi="Verdana" w:eastAsia="华文细黑" w:cs="Times New Roman"/>
      <w:b/>
      <w:color w:val="FFFFFF"/>
      <w:kern w:val="32"/>
      <w:sz w:val="24"/>
      <w:szCs w:val="21"/>
      <w:shd w:val="clear" w:color="auto" w:fill="333399"/>
    </w:rPr>
  </w:style>
  <w:style w:type="character" w:customStyle="1" w:styleId="77">
    <w:name w:val="标题 2 字符"/>
    <w:basedOn w:val="32"/>
    <w:link w:val="3"/>
    <w:qFormat/>
    <w:uiPriority w:val="0"/>
    <w:rPr>
      <w:rFonts w:ascii="微软雅黑" w:hAnsi="微软雅黑" w:eastAsia="微软雅黑" w:cs="Times New Roman"/>
      <w:b/>
      <w:kern w:val="0"/>
      <w:sz w:val="24"/>
      <w:szCs w:val="21"/>
      <w:shd w:val="clear" w:color="auto" w:fill="CCCCCC"/>
      <w:lang w:val="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emf"/><Relationship Id="rId12" Type="http://schemas.openxmlformats.org/officeDocument/2006/relationships/oleObject" Target="embeddings/oleObject1.bin"/><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7378</Words>
  <Characters>7752</Characters>
  <Lines>98</Lines>
  <Paragraphs>27</Paragraphs>
  <TotalTime>85</TotalTime>
  <ScaleCrop>false</ScaleCrop>
  <LinksUpToDate>false</LinksUpToDate>
  <CharactersWithSpaces>7804</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2022-07-15T08:26:00Z</dcterms:created>
  <dc:creator>alex</dc:creator>
  <cp:lastModifiedBy>周丹</cp:lastModifiedBy>
  <dcterms:modified xsi:type="dcterms:W3CDTF">2022-10-24T05:35:56Z</dcterms:modified>
  <cp:revision>612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eyJoZGlkIjoiMTg5MTY2ZGMwYmI3ZWQ2ODA2MDU0YTViNzNlMWRhODkifQ==</vt:lpwstr>
  </property>
  <property fmtid="{D5CDD505-2E9C-101B-9397-08002B2CF9AE}" pid="3" name="KSOProductBuildVer">
    <vt:lpwstr>2052-11.1.0.12598</vt:lpwstr>
  </property>
  <property fmtid="{D5CDD505-2E9C-101B-9397-08002B2CF9AE}" pid="4" name="ICV">
    <vt:lpwstr>6B1C3B4D80C4451E81D37AEE59C28108</vt:lpwstr>
  </property>
</Properties>
</file>