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  <w:jc w:val="center"/>
      </w:pPr>
      <w:r>
        <w:rPr>
          <w:rFonts w:ascii="Georgia" w:cs="Georgia" w:eastAsia="Georgia" w:hAnsi="Georgia"/>
          <w:b/>
          <w:bCs/>
          <w:color w:val="2D241F"/>
          <w:sz w:val="30"/>
          <w:szCs w:val="30"/>
        </w:rPr>
        <w:t xml:space="preserve">Expectations of Your Full-Arch Fixed Prosthesis</w:t>
      </w:r>
    </w:p>
    <w:p>
      <w:pPr>
        <w:tabs>
          <w:tab w:val="right" w:pos="9026"/>
        </w:tabs>
        <w:spacing w:before="340"/>
      </w:pPr>
      <w:r>
        <w:rPr>
          <w:b/>
          <w:bCs/>
          <w:sz w:val="20"/>
          <w:szCs w:val="20"/>
        </w:rPr>
        <w:t xml:space="preserve">Patient Name: </w:t>
      </w:r>
      <w:r>
        <w:rPr>
          <w:sz w:val="20"/>
          <w:szCs w:val="20"/>
        </w:rPr>
        <w:t xml:space="preserve">___________________________</w:t>
      </w:r>
      <w:r>
        <w:rPr>
          <w:b/>
          <w:bCs/>
          <w:sz w:val="20"/>
          <w:szCs w:val="20"/>
        </w:rPr>
        <w:t xml:space="preserve">	DOB: </w:t>
      </w:r>
      <w:r>
        <w:rPr>
          <w:sz w:val="20"/>
          <w:szCs w:val="20"/>
        </w:rPr>
        <w:t xml:space="preserve">____________________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Not all patients are candidates for implants. Bone volume, density, health history, and medications will all be factors in determining your treatment plan.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The objective of a full-arch fixed prosthesis is to improve chewing ability, esthetics, speech, and quality of life compared to traditional dentures.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Because the prosthesis is thicker than natural teeth, some speech patterns may need time and practice to adjust.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Your reasons for seeking dental implants and a fixed prosthesis should be realistic and guided by functional outcomes and anatomical limitations.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Healing time is required for implants to be successful. Treatment timelines vary and may take up to 12–24 months depending on healing and phased treatment.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During healing you may receive up to two prosthetic sets (healing and final). Additional prosthetics requested due to damage or cosmetic changes may incur additional fees ($250–$450).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Implants have an approximate 94–96% success rate. Risks include infection, failure to integrate, smoking-related complications, or the need for additional surgery.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Smoking, vaping, and nicotine use significantly increase implant failure risk. Stopping nicotine use at least two weeks prior to surgery and the week following is strongly recommended.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Your final prosthesis typically includes 10–12 teeth per arch depending on anatomy and bone structure.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If implants cannot be immediately loaded you may wear a traditional denture during the healing phase.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Implants require lifelong maintenance and professional cleaning approximately every six months.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Warranty coverage is contingent on compliance with home care instructions and maintenance visits.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Final prosthetic failure will result in a warranty replacement.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Should the temporary prosthesis fracture, you must notify the office and share a photo immediately.</w:t>
      </w:r>
    </w:p>
    <w:p>
      <w:pPr>
        <w:tabs>
          <w:tab w:val="right" w:pos="9026"/>
        </w:tabs>
        <w:spacing w:before="340"/>
      </w:pPr>
      <w:r>
        <w:rPr>
          <w:b/>
          <w:bCs/>
          <w:sz w:val="20"/>
          <w:szCs w:val="20"/>
        </w:rPr>
        <w:t xml:space="preserve">Patient Signature: </w:t>
      </w:r>
      <w:r>
        <w:rPr>
          <w:sz w:val="20"/>
          <w:szCs w:val="20"/>
        </w:rPr>
        <w:t xml:space="preserve">___________________________</w:t>
      </w:r>
      <w:r>
        <w:rPr>
          <w:b/>
          <w:bCs/>
          <w:sz w:val="20"/>
          <w:szCs w:val="20"/>
        </w:rPr>
        <w:t xml:space="preserve">	Date: </w:t>
      </w:r>
      <w:r>
        <w:rPr>
          <w:sz w:val="20"/>
          <w:szCs w:val="20"/>
        </w:rPr>
        <w:t xml:space="preserve">____________________</w:t>
      </w:r>
    </w:p>
    <w:sectPr>
      <w:headerReference w:type="default" r:id="rId7"/>
      <w:footerReference w:type="default" r:id="rId8"/>
      <w:pgSz w:w="12240" w:h="15840" w:orient="portrait"/>
      <w:pgMar w:top="72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E" w:sz="4" w:space="4"/>
      </w:pBdr>
      <w:jc w:val="center"/>
    </w:pPr>
    <w:r>
      <w:rPr>
        <w:color w:val="6B5D52"/>
        <w:sz w:val="13"/>
        <w:szCs w:val="13"/>
      </w:rPr>
      <w:t xml:space="preserve">Implanted Wisdom  •  Pulver Oral Surgery  •  2629 45th St, Highland, IN 46322  •  219-934-0404  •  866-IMPLANT  •  implantedwisdom.com  • 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533400" cy="666750"/>
          <wp:effectExtent t="0" r="0" b="0" l="0"/>
          <wp:docPr id="1" name="iw-logo" descr="Implanted Wisdom logo" title="Implanted Wisd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0"/>
      <w:jc w:val="center"/>
    </w:pPr>
    <w:r>
      <w:rPr>
        <w:rFonts w:ascii="Georgia" w:cs="Georgia" w:eastAsia="Georgia" w:hAnsi="Georgia"/>
        <w:caps/>
        <w:color w:val="C9A96E"/>
        <w:spacing w:val="60"/>
        <w:sz w:val="19"/>
        <w:szCs w:val="19"/>
      </w:rPr>
      <w:t xml:space="preserve">IMPLANTED WISDOM</w:t>
    </w:r>
  </w:p>
  <w:p>
    <w:pPr>
      <w:pBdr>
        <w:bottom w:val="single" w:color="C9A96E" w:sz="6" w:space="4"/>
      </w:pBdr>
      <w:spacing w:after="40"/>
      <w:jc w:val="center"/>
    </w:pPr>
    <w:r>
      <w:rPr>
        <w:rFonts w:ascii="Arial" w:cs="Arial" w:eastAsia="Arial" w:hAnsi="Arial"/>
        <w:color w:val="6B5D52"/>
        <w:sz w:val="15"/>
        <w:szCs w:val="15"/>
      </w:rPr>
      <w:t xml:space="preserve">866-IMPLANT   •   implantedwisdom.com   •   Highland, 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1A1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d55024b27d4d5978ab625a24be7b721cf605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2026-07-07T15:18:48.266Z</dcterms:created>
  <dcterms:modified xsi:type="dcterms:W3CDTF">2026-07-07T15:18:48.267Z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