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Georgia" w:cs="Georgia" w:eastAsia="Georgia" w:hAnsi="Georgia"/>
          <w:b/>
          <w:bCs/>
          <w:color w:val="2D241F"/>
          <w:sz w:val="30"/>
          <w:szCs w:val="30"/>
        </w:rPr>
        <w:t xml:space="preserve">Full-Arch Implant Patient Education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color w:val="6B5D52"/>
          <w:sz w:val="20"/>
          <w:szCs w:val="20"/>
        </w:rPr>
        <w:t xml:space="preserve">Patient Education &amp; Acknowledgment Form</w:t>
      </w:r>
    </w:p>
    <w:p>
      <w:pPr>
        <w:pBdr>
          <w:top w:val="single" w:color="C9A96E" w:sz="2" w:space="2"/>
          <w:bottom w:val="single" w:color="C9A96E" w:sz="2" w:space="2"/>
          <w:left w:val="single" w:color="C9A96E" w:sz="18" w:space="4"/>
          <w:right w:val="single" w:color="C9A96E" w:sz="2" w:space="2"/>
        </w:pBdr>
        <w:shd w:fill="F7F2EC" w:val="clear"/>
        <w:spacing w:after="160" w:before="120"/>
      </w:pPr>
      <w:r>
        <w:rPr>
          <w:sz w:val="19"/>
          <w:szCs w:val="19"/>
        </w:rPr>
        <w:t xml:space="preserve">This document has been reviewed with you by your Pulver Oral Surgery care team. It covers important information about your upcoming surgery, post-operative diet, your temporary bridge, options for your final bridge, and follow-up protocol. Please read each section carefully and ask any questions before signing.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1 — Surgical Considerations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Your surgeon will explain all aspects of your procedure in advance. Key points to be aware of: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Bone removal may be necessary to achieve proper implant dimensions and optimal aesthetics.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If bone quality is insufficient to secure implants at adequate force, a removable denture will be required during the healing period (typically 4–6 months).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While implant integration is highly successful, outcomes cannot be guaranteed in every case. Just as natural teeth can fail, dental implants carry a risk of a less-than-ideal result. Every effort will be made to achieve an excellent outcome, and your Pulver Oral Surgery team will support you at every step.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2 — Your Temporary Bridge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The temporary bridge will not extend as far back as your final bridge.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It is not reinforced with titanium metal and is susceptible to fracturing under excessive force.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A strict soft-food diet is essential for the first 4–6 months. Failure to follow this diet could result in bridge fracture or total implant failure.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surgeon must clear you before returning to a normal diet.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3 — Aesthetics &amp; Speech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The bridge may extend slightly toward the palate or reduce tongue space. This is typically improved with the final prosthesis.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In some cases, this anatomical change may initially affect speech. Most patients adapt over time. Permanent changes are rare but possible.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A facial shelf may be present in your final restoration that will require cleaning. All efforts will be made to reduce it in mock-up planning.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4 — Appointment Expectations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surgical appointment may take most of the day. Please plan accordingly.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transportation provider should leave a contact number and return near case completion. Contact information must be on file before you leave.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Multiple post-operative visits with both the surgical and restorative team are required over the first 6 months.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5 — Recovery &amp; Long-Term Hygiene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Post-operative hygiene appointments begin 3 months after delivery of your final prosthesis. At this visit, the prosthesis will be removed, tissue evaluated, and a long-term care protocol established.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Ongoing hygiene visits will include prosthesis removal, tissue evaluation, and radiographs.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Lifelong oral hygiene maintenance is essential — just as natural teeth require routine dental care.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6 — Your Final Prosthesis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The final prosthesis will be fabricated after the 2–6 month healing period and typically takes 1–3 months to complete.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In some cases, the final prosthesis can take up to — or more than — 12 months.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A custom night guard will be provided with your final prosthesis and must be worn nightly unless otherwise directed.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Over time, wear from grinding or natural use will require prosthesis re-engineering. On average, this occurs every 7–12 years, though individual timelines vary. There will be an additional cost for this service.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When re-engineering is needed, your transitional prosthesis will be used temporarily. You are responsible for safeguarding this prosthesis.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Section 7 — Prosthesis Material Options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Acrylic-metallic hybrid prostheses are the standard option and provide excellent functional results.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Full metal-ceramic restorations may result in fewer fractures and less wear than acrylic-hybrid solutions. This option is available at additional cost.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Note: ceramic restorations may cause accelerated wear on opposing natural teeth.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0"/>
          <w:szCs w:val="20"/>
        </w:rPr>
        <w:t xml:space="preserve">Your care team will review all options with you to help you make an informed decision.</w:t>
      </w:r>
    </w:p>
    <w:p>
      <w:pPr>
        <w:pBdr>
          <w:top w:val="single" w:color="C9A96E" w:sz="2" w:space="2"/>
          <w:bottom w:val="single" w:color="C9A96E" w:sz="2" w:space="2"/>
          <w:left w:val="single" w:color="C9A96E" w:sz="18" w:space="4"/>
          <w:right w:val="single" w:color="C9A96E" w:sz="2" w:space="2"/>
        </w:pBdr>
        <w:shd w:fill="F7F2EC" w:val="clear"/>
        <w:spacing w:after="160" w:before="120"/>
      </w:pPr>
      <w:r>
        <w:rPr>
          <w:b/>
          <w:bCs/>
          <w:sz w:val="19"/>
          <w:szCs w:val="19"/>
        </w:rPr>
        <w:t xml:space="preserve">Important: </w:t>
      </w:r>
      <w:r>
        <w:rPr>
          <w:sz w:val="19"/>
          <w:szCs w:val="19"/>
        </w:rPr>
        <w:t xml:space="preserve">Failure to adhere to your surgeon’s post-operative instructions — including the soft-food diet, night guard use, and hygiene appointments — may result in implant or prosthesis failure. Additional costs will apply for repairs or replacement caused by non-compliance.</w:t>
      </w:r>
    </w:p>
    <w:p>
      <w:pPr>
        <w:pBdr>
          <w:bottom w:val="single" w:color="C9A96E" w:sz="4" w:space="2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2D241F"/>
          <w:sz w:val="21"/>
          <w:szCs w:val="21"/>
        </w:rPr>
        <w:t xml:space="preserve">Patient Acknowledgment &amp; Consent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By signing below, I confirm I have read, understood, and agree to all sections of this form. I have had the opportunity to have all my questions answered by my Pulver Oral Surgery care team. I understand my alternative options, the associated risks, and potential outcomes of this procedure, and I wish to proceed.</w:t>
      </w:r>
    </w:p>
    <w:p>
      <w:pPr>
        <w:tabs>
          <w:tab w:val="right" w:pos="9026"/>
        </w:tabs>
        <w:spacing w:before="340"/>
      </w:pPr>
      <w:r>
        <w:rPr>
          <w:b/>
          <w:bCs/>
          <w:sz w:val="20"/>
          <w:szCs w:val="20"/>
        </w:rPr>
        <w:t xml:space="preserve">Patient Name (Print): </w:t>
      </w:r>
      <w:r>
        <w:rPr>
          <w:sz w:val="20"/>
          <w:szCs w:val="20"/>
        </w:rPr>
        <w:t xml:space="preserve">___________________________</w:t>
      </w:r>
      <w:r>
        <w:rPr>
          <w:b/>
          <w:bCs/>
          <w:sz w:val="20"/>
          <w:szCs w:val="20"/>
        </w:rPr>
        <w:t xml:space="preserve">	Patient Signature &amp; Date: </w:t>
      </w:r>
      <w:r>
        <w:rPr>
          <w:sz w:val="20"/>
          <w:szCs w:val="20"/>
        </w:rPr>
        <w:t xml:space="preserve">____________________</w:t>
      </w:r>
    </w:p>
    <w:p>
      <w:pPr>
        <w:tabs>
          <w:tab w:val="right" w:pos="9026"/>
        </w:tabs>
        <w:spacing w:before="340"/>
      </w:pPr>
      <w:r>
        <w:rPr>
          <w:b/>
          <w:bCs/>
          <w:sz w:val="20"/>
          <w:szCs w:val="20"/>
        </w:rPr>
        <w:t xml:space="preserve">Witness Name (Print): </w:t>
      </w:r>
      <w:r>
        <w:rPr>
          <w:sz w:val="20"/>
          <w:szCs w:val="20"/>
        </w:rPr>
        <w:t xml:space="preserve">___________________________</w:t>
      </w:r>
      <w:r>
        <w:rPr>
          <w:b/>
          <w:bCs/>
          <w:sz w:val="20"/>
          <w:szCs w:val="20"/>
        </w:rPr>
        <w:t xml:space="preserve">	Witness Signature &amp; Date: </w:t>
      </w:r>
      <w:r>
        <w:rPr>
          <w:sz w:val="20"/>
          <w:szCs w:val="20"/>
        </w:rPr>
        <w:t xml:space="preserve">____________________</w:t>
      </w:r>
    </w:p>
    <w:p>
      <w:pPr>
        <w:tabs>
          <w:tab w:val="right" w:pos="9026"/>
        </w:tabs>
        <w:spacing w:before="340"/>
      </w:pPr>
      <w:r>
        <w:rPr>
          <w:b/>
          <w:bCs/>
          <w:sz w:val="20"/>
          <w:szCs w:val="20"/>
        </w:rPr>
        <w:t xml:space="preserve">Surgeon Name (Print): </w:t>
      </w:r>
      <w:r>
        <w:rPr>
          <w:sz w:val="20"/>
          <w:szCs w:val="20"/>
        </w:rPr>
        <w:t xml:space="preserve">___________________________</w:t>
      </w:r>
      <w:r>
        <w:rPr>
          <w:b/>
          <w:bCs/>
          <w:sz w:val="20"/>
          <w:szCs w:val="20"/>
        </w:rPr>
        <w:t xml:space="preserve">	Surgeon Signature &amp; Date: </w:t>
      </w:r>
      <w:r>
        <w:rPr>
          <w:sz w:val="20"/>
          <w:szCs w:val="20"/>
        </w:rPr>
        <w:t xml:space="preserve">____________________</w:t>
      </w:r>
    </w:p>
    <w:sectPr>
      <w:headerReference w:type="default" r:id="rId7"/>
      <w:footerReference w:type="default" r:id="rId8"/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 w:space="4"/>
      </w:pBdr>
      <w:jc w:val="center"/>
    </w:pPr>
    <w:r>
      <w:rPr>
        <w:color w:val="6B5D52"/>
        <w:sz w:val="13"/>
        <w:szCs w:val="13"/>
      </w:rPr>
      <w:t xml:space="preserve">Implanted Wisdom  •  Pulver Oral Surgery  •  2629 45th St, Highland, IN 46322  •  219-934-0404  •  866-IMPLANT  •  implantedwisdom.com  •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33400" cy="666750"/>
          <wp:effectExtent t="0" r="0" b="0" l="0"/>
          <wp:docPr id="1" name="iw-logo" descr="Implanted Wisdom logo" title="Implanted Wisd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/>
      <w:jc w:val="center"/>
    </w:pPr>
    <w:r>
      <w:rPr>
        <w:rFonts w:ascii="Georgia" w:cs="Georgia" w:eastAsia="Georgia" w:hAnsi="Georgia"/>
        <w:caps/>
        <w:color w:val="C9A96E"/>
        <w:spacing w:val="60"/>
        <w:sz w:val="19"/>
        <w:szCs w:val="19"/>
      </w:rPr>
      <w:t xml:space="preserve">IMPLANTED WISDOM</w:t>
    </w:r>
  </w:p>
  <w:p>
    <w:pPr>
      <w:pBdr>
        <w:bottom w:val="single" w:color="C9A96E" w:sz="6" w:space="4"/>
      </w:pBdr>
      <w:spacing w:after="40"/>
      <w:jc w:val="center"/>
    </w:pPr>
    <w:r>
      <w:rPr>
        <w:rFonts w:ascii="Arial" w:cs="Arial" w:eastAsia="Arial" w:hAnsi="Arial"/>
        <w:color w:val="6B5D52"/>
        <w:sz w:val="15"/>
        <w:szCs w:val="15"/>
      </w:rPr>
      <w:t xml:space="preserve">866-IMPLANT   •   implantedwisdom.com   •   Highland, 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1A1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d55024b27d4d5978ab625a24be7b721cf605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2026-07-07T15:18:48.408Z</dcterms:created>
  <dcterms:modified xsi:type="dcterms:W3CDTF">2026-07-07T15:18:48.408Z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