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Georgia" w:cs="Georgia" w:eastAsia="Georgia" w:hAnsi="Georgia"/>
          <w:b/>
          <w:bCs/>
          <w:color w:val="2D241F"/>
          <w:sz w:val="30"/>
          <w:szCs w:val="30"/>
        </w:rPr>
        <w:t xml:space="preserve">Process to Zirconia Prosthesis</w:t>
      </w:r>
    </w:p>
    <w:p>
      <w:pPr>
        <w:spacing w:after="160"/>
        <w:jc w:val="center"/>
      </w:pPr>
      <w:r>
        <w:rPr>
          <w:rFonts w:ascii="Georgia" w:cs="Georgia" w:eastAsia="Georgia" w:hAnsi="Georgia"/>
          <w:i/>
          <w:iCs/>
          <w:color w:val="6B5D52"/>
          <w:sz w:val="20"/>
          <w:szCs w:val="20"/>
        </w:rPr>
        <w:t xml:space="preserve">Warranty, Maintenance &amp; Consent Form</w:t>
      </w:r>
    </w:p>
    <w:p>
      <w:pPr>
        <w:pBdr>
          <w:bottom w:val="single" w:color="C9A96E" w:sz="4" w:space="2"/>
        </w:pBdr>
        <w:spacing w:after="100" w:before="200"/>
      </w:pPr>
      <w:r>
        <w:rPr>
          <w:rFonts w:ascii="Arial" w:cs="Arial" w:eastAsia="Arial" w:hAnsi="Arial"/>
          <w:b/>
          <w:bCs/>
          <w:caps/>
          <w:color w:val="2D241F"/>
          <w:sz w:val="21"/>
          <w:szCs w:val="21"/>
        </w:rPr>
        <w:t xml:space="preserve">Section 1 — Transitioning to Your Zirconia Prosthesis</w:t>
      </w:r>
    </w:p>
    <w:p>
      <w:pPr>
        <w:spacing w:after="120"/>
      </w:pPr>
      <w:r>
        <w:rPr>
          <w:b w:val="false"/>
          <w:bCs w:val="false"/>
          <w:i w:val="false"/>
          <w:iCs w:val="false"/>
          <w:sz w:val="20"/>
          <w:szCs w:val="20"/>
        </w:rPr>
        <w:t xml:space="preserve">Dr. Pulver has determined you are clinically ready for your permanent Zirconia prosthesis. Both your temporary and Zirconia prostheses are dental prostheses — not natural teeth. You may notice differences in speech, bite sound, size, shade, or feel during your adaptation period.</w:t>
      </w:r>
    </w:p>
    <w:p>
      <w:pPr>
        <w:spacing w:after="120"/>
      </w:pPr>
      <w:r>
        <w:rPr>
          <w:b/>
          <w:bCs/>
          <w:i w:val="false"/>
          <w:iCs w:val="false"/>
          <w:sz w:val="20"/>
          <w:szCs w:val="20"/>
        </w:rPr>
        <w:t xml:space="preserve">I confirm that I:</w:t>
      </w:r>
    </w:p>
    <w:p>
      <w:pPr>
        <w:pStyle w:val="ListParagraph"/>
        <w:numPr>
          <w:ilvl w:val="0"/>
          <w:numId w:val="2"/>
        </w:numPr>
      </w:pPr>
      <w:r>
        <w:rPr>
          <w:b w:val="false"/>
          <w:bCs w:val="false"/>
          <w:sz w:val="20"/>
          <w:szCs w:val="20"/>
        </w:rPr>
        <w:t xml:space="preserve">Have been informed I am clinically ready and approved the shade, shape, and size of my Zirconia prosthesis.</w:t>
      </w:r>
    </w:p>
    <w:p>
      <w:pPr>
        <w:pStyle w:val="ListParagraph"/>
        <w:numPr>
          <w:ilvl w:val="0"/>
          <w:numId w:val="2"/>
        </w:numPr>
      </w:pPr>
      <w:r>
        <w:rPr>
          <w:b w:val="false"/>
          <w:bCs w:val="false"/>
          <w:sz w:val="20"/>
          <w:szCs w:val="20"/>
        </w:rPr>
        <w:t xml:space="preserve">Understand that cosmetic changes after fabrication will incur additional fees.</w:t>
      </w:r>
    </w:p>
    <w:p>
      <w:pPr>
        <w:pStyle w:val="ListParagraph"/>
        <w:numPr>
          <w:ilvl w:val="0"/>
          <w:numId w:val="2"/>
        </w:numPr>
      </w:pPr>
      <w:r>
        <w:rPr>
          <w:b w:val="false"/>
          <w:bCs w:val="false"/>
          <w:sz w:val="20"/>
          <w:szCs w:val="20"/>
        </w:rPr>
        <w:t xml:space="preserve">Accept no prosthetic can perfectly replicate natural teeth and have realistic expectations.</w:t>
      </w:r>
    </w:p>
    <w:p>
      <w:pPr>
        <w:pBdr>
          <w:bottom w:val="single" w:color="C9A96E" w:sz="4" w:space="2"/>
        </w:pBdr>
        <w:spacing w:after="100" w:before="200"/>
      </w:pPr>
      <w:r>
        <w:rPr>
          <w:rFonts w:ascii="Arial" w:cs="Arial" w:eastAsia="Arial" w:hAnsi="Arial"/>
          <w:b/>
          <w:bCs/>
          <w:caps/>
          <w:color w:val="2D241F"/>
          <w:sz w:val="21"/>
          <w:szCs w:val="21"/>
        </w:rPr>
        <w:t xml:space="preserve">Section 2 — Maintenance Requirements</w:t>
      </w:r>
    </w:p>
    <w:p>
      <w:pPr>
        <w:spacing w:after="120"/>
      </w:pPr>
      <w:r>
        <w:rPr>
          <w:b w:val="false"/>
          <w:bCs w:val="false"/>
          <w:i w:val="false"/>
          <w:iCs w:val="false"/>
          <w:sz w:val="20"/>
          <w:szCs w:val="20"/>
        </w:rPr>
        <w:t xml:space="preserve">Maintenance is required to keep your warranty valid. Annual appointments are mandatory, or more frequently per Dr. Pulver’s recommendation. Maintenance must be completed at our office or records submitted from an outside provider.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c>
          <w:tcPr>
            <w:tcW w:type="dxa" w:w="2600"/>
            <w:tcBorders>
              <w:top w:val="single" w:color="C9A96E" w:sz="2"/>
              <w:left w:val="single" w:color="C9A96E" w:sz="2"/>
              <w:bottom w:val="single" w:color="C9A96E" w:sz="2"/>
              <w:right w:val="single" w:color="C9A96E" w:sz="2"/>
            </w:tcBorders>
            <w:shd w:fill="2D241F" w:val="clear"/>
            <w:tcMar>
              <w:top w:type="dxa" w:w="80"/>
              <w:left w:type="dxa" w:w="120"/>
              <w:bottom w:type="dxa" w:w="80"/>
              <w:right w:type="dxa" w:w="120"/>
            </w:tcMar>
          </w:tcPr>
          <w:p>
            <w:r>
              <w:rPr>
                <w:b/>
                <w:bCs/>
                <w:color w:val="FFFFFF"/>
                <w:sz w:val="19"/>
                <w:szCs w:val="19"/>
              </w:rPr>
              <w:t xml:space="preserve">Appointment</w:t>
            </w:r>
          </w:p>
        </w:tc>
        <w:tc>
          <w:tcPr>
            <w:tcW w:type="dxa" w:w="1800"/>
            <w:tcBorders>
              <w:top w:val="single" w:color="C9A96E" w:sz="2"/>
              <w:left w:val="single" w:color="C9A96E" w:sz="2"/>
              <w:bottom w:val="single" w:color="C9A96E" w:sz="2"/>
              <w:right w:val="single" w:color="C9A96E" w:sz="2"/>
            </w:tcBorders>
            <w:shd w:fill="2D241F" w:val="clear"/>
            <w:tcMar>
              <w:top w:type="dxa" w:w="80"/>
              <w:left w:type="dxa" w:w="120"/>
              <w:bottom w:type="dxa" w:w="80"/>
              <w:right w:type="dxa" w:w="120"/>
            </w:tcMar>
          </w:tcPr>
          <w:p>
            <w:r>
              <w:rPr>
                <w:b/>
                <w:bCs/>
                <w:color w:val="FFFFFF"/>
                <w:sz w:val="19"/>
                <w:szCs w:val="19"/>
              </w:rPr>
              <w:t xml:space="preserve">Fee</w:t>
            </w:r>
          </w:p>
        </w:tc>
        <w:tc>
          <w:tcPr>
            <w:tcW w:type="dxa" w:w="5680"/>
            <w:tcBorders>
              <w:top w:val="single" w:color="C9A96E" w:sz="2"/>
              <w:left w:val="single" w:color="C9A96E" w:sz="2"/>
              <w:bottom w:val="single" w:color="C9A96E" w:sz="2"/>
              <w:right w:val="single" w:color="C9A96E" w:sz="2"/>
            </w:tcBorders>
            <w:shd w:fill="2D241F" w:val="clear"/>
            <w:tcMar>
              <w:top w:type="dxa" w:w="80"/>
              <w:left w:type="dxa" w:w="120"/>
              <w:bottom w:type="dxa" w:w="80"/>
              <w:right w:type="dxa" w:w="120"/>
            </w:tcMar>
          </w:tcPr>
          <w:p>
            <w:r>
              <w:rPr>
                <w:b/>
                <w:bCs/>
                <w:color w:val="FFFFFF"/>
                <w:sz w:val="19"/>
                <w:szCs w:val="19"/>
              </w:rPr>
              <w:t xml:space="preserve">Includes</w:t>
            </w:r>
          </w:p>
        </w:tc>
      </w:tr>
      <w:tr>
        <w:tc>
          <w:tcPr>
            <w:tcW w:type="dxa" w:w="2600"/>
            <w:tcBorders>
              <w:top w:val="single" w:color="C9A96E" w:sz="2"/>
              <w:left w:val="single" w:color="C9A96E" w:sz="2"/>
              <w:bottom w:val="single" w:color="C9A96E" w:sz="2"/>
              <w:right w:val="single" w:color="C9A96E" w:sz="2"/>
            </w:tcBorders>
            <w:shd w:fill="FFFFFF" w:val="clear"/>
            <w:tcMar>
              <w:top w:type="dxa" w:w="80"/>
              <w:left w:type="dxa" w:w="120"/>
              <w:bottom w:type="dxa" w:w="80"/>
              <w:right w:type="dxa" w:w="120"/>
            </w:tcMar>
          </w:tcPr>
          <w:p>
            <w:r>
              <w:rPr>
                <w:b w:val="false"/>
                <w:bCs w:val="false"/>
                <w:color w:val="231A15"/>
                <w:sz w:val="19"/>
                <w:szCs w:val="19"/>
              </w:rPr>
              <w:t xml:space="preserve">Single Arch</w:t>
            </w:r>
          </w:p>
        </w:tc>
        <w:tc>
          <w:tcPr>
            <w:tcW w:type="dxa" w:w="1800"/>
            <w:tcBorders>
              <w:top w:val="single" w:color="C9A96E" w:sz="2"/>
              <w:left w:val="single" w:color="C9A96E" w:sz="2"/>
              <w:bottom w:val="single" w:color="C9A96E" w:sz="2"/>
              <w:right w:val="single" w:color="C9A96E" w:sz="2"/>
            </w:tcBorders>
            <w:shd w:fill="FFFFFF" w:val="clear"/>
            <w:tcMar>
              <w:top w:type="dxa" w:w="80"/>
              <w:left w:type="dxa" w:w="120"/>
              <w:bottom w:type="dxa" w:w="80"/>
              <w:right w:type="dxa" w:w="120"/>
            </w:tcMar>
          </w:tcPr>
          <w:p>
            <w:r>
              <w:rPr>
                <w:b w:val="false"/>
                <w:bCs w:val="false"/>
                <w:color w:val="231A15"/>
                <w:sz w:val="19"/>
                <w:szCs w:val="19"/>
              </w:rPr>
              <w:t xml:space="preserve">$550.00</w:t>
            </w:r>
          </w:p>
        </w:tc>
        <w:tc>
          <w:tcPr>
            <w:tcW w:type="dxa" w:w="5680"/>
            <w:tcBorders>
              <w:top w:val="single" w:color="C9A96E" w:sz="2"/>
              <w:left w:val="single" w:color="C9A96E" w:sz="2"/>
              <w:bottom w:val="single" w:color="C9A96E" w:sz="2"/>
              <w:right w:val="single" w:color="C9A96E" w:sz="2"/>
            </w:tcBorders>
            <w:shd w:fill="FFFFFF" w:val="clear"/>
            <w:tcMar>
              <w:top w:type="dxa" w:w="80"/>
              <w:left w:type="dxa" w:w="120"/>
              <w:bottom w:type="dxa" w:w="80"/>
              <w:right w:type="dxa" w:w="120"/>
            </w:tcMar>
          </w:tcPr>
          <w:p>
            <w:r>
              <w:rPr>
                <w:b w:val="false"/>
                <w:bCs w:val="false"/>
                <w:color w:val="231A15"/>
                <w:sz w:val="19"/>
                <w:szCs w:val="19"/>
              </w:rPr>
              <w:t xml:space="preserve">Exam, X-rays, removal &amp; cleaning (~90 min)</w:t>
            </w:r>
          </w:p>
        </w:tc>
      </w:tr>
      <w:tr>
        <w:tc>
          <w:tcPr>
            <w:tcW w:type="dxa" w:w="2600"/>
            <w:tcBorders>
              <w:top w:val="single" w:color="C9A96E" w:sz="2"/>
              <w:left w:val="single" w:color="C9A96E" w:sz="2"/>
              <w:bottom w:val="single" w:color="C9A96E" w:sz="2"/>
              <w:right w:val="single" w:color="C9A96E" w:sz="2"/>
            </w:tcBorders>
            <w:shd w:fill="FFFFFF" w:val="clear"/>
            <w:tcMar>
              <w:top w:type="dxa" w:w="80"/>
              <w:left w:type="dxa" w:w="120"/>
              <w:bottom w:type="dxa" w:w="80"/>
              <w:right w:type="dxa" w:w="120"/>
            </w:tcMar>
          </w:tcPr>
          <w:p>
            <w:r>
              <w:rPr>
                <w:b w:val="false"/>
                <w:bCs w:val="false"/>
                <w:color w:val="231A15"/>
                <w:sz w:val="19"/>
                <w:szCs w:val="19"/>
              </w:rPr>
              <w:t xml:space="preserve">Dual Arch</w:t>
            </w:r>
          </w:p>
        </w:tc>
        <w:tc>
          <w:tcPr>
            <w:tcW w:type="dxa" w:w="1800"/>
            <w:tcBorders>
              <w:top w:val="single" w:color="C9A96E" w:sz="2"/>
              <w:left w:val="single" w:color="C9A96E" w:sz="2"/>
              <w:bottom w:val="single" w:color="C9A96E" w:sz="2"/>
              <w:right w:val="single" w:color="C9A96E" w:sz="2"/>
            </w:tcBorders>
            <w:shd w:fill="FFFFFF" w:val="clear"/>
            <w:tcMar>
              <w:top w:type="dxa" w:w="80"/>
              <w:left w:type="dxa" w:w="120"/>
              <w:bottom w:type="dxa" w:w="80"/>
              <w:right w:type="dxa" w:w="120"/>
            </w:tcMar>
          </w:tcPr>
          <w:p>
            <w:r>
              <w:rPr>
                <w:b w:val="false"/>
                <w:bCs w:val="false"/>
                <w:color w:val="231A15"/>
                <w:sz w:val="19"/>
                <w:szCs w:val="19"/>
              </w:rPr>
              <w:t xml:space="preserve">$1,000.00</w:t>
            </w:r>
          </w:p>
        </w:tc>
        <w:tc>
          <w:tcPr>
            <w:tcW w:type="dxa" w:w="5680"/>
            <w:tcBorders>
              <w:top w:val="single" w:color="C9A96E" w:sz="2"/>
              <w:left w:val="single" w:color="C9A96E" w:sz="2"/>
              <w:bottom w:val="single" w:color="C9A96E" w:sz="2"/>
              <w:right w:val="single" w:color="C9A96E" w:sz="2"/>
            </w:tcBorders>
            <w:shd w:fill="FFFFFF" w:val="clear"/>
            <w:tcMar>
              <w:top w:type="dxa" w:w="80"/>
              <w:left w:type="dxa" w:w="120"/>
              <w:bottom w:type="dxa" w:w="80"/>
              <w:right w:type="dxa" w:w="120"/>
            </w:tcMar>
          </w:tcPr>
          <w:p>
            <w:r>
              <w:rPr>
                <w:b w:val="false"/>
                <w:bCs w:val="false"/>
                <w:color w:val="231A15"/>
                <w:sz w:val="19"/>
                <w:szCs w:val="19"/>
              </w:rPr>
              <w:t xml:space="preserve">Exam, X-rays, removal &amp; cleaning (~2 hrs)</w:t>
            </w:r>
          </w:p>
        </w:tc>
      </w:tr>
    </w:tbl>
    <w:p>
      <w:pPr>
        <w:spacing w:after="120" w:before="100"/>
      </w:pPr>
      <w:r>
        <w:rPr>
          <w:b/>
          <w:bCs/>
          <w:sz w:val="19"/>
          <w:szCs w:val="19"/>
        </w:rPr>
        <w:t xml:space="preserve">Cancellation: </w:t>
      </w:r>
      <w:r>
        <w:rPr>
          <w:sz w:val="19"/>
          <w:szCs w:val="19"/>
        </w:rPr>
        <w:t xml:space="preserve">48 hours’ notice required. Late cancellations incur a $150.00 fee.</w:t>
      </w:r>
    </w:p>
    <w:p>
      <w:pPr>
        <w:pBdr>
          <w:bottom w:val="single" w:color="C9A96E" w:sz="4" w:space="2"/>
        </w:pBdr>
        <w:spacing w:after="100" w:before="200"/>
      </w:pPr>
      <w:r>
        <w:rPr>
          <w:rFonts w:ascii="Arial" w:cs="Arial" w:eastAsia="Arial" w:hAnsi="Arial"/>
          <w:b/>
          <w:bCs/>
          <w:caps/>
          <w:color w:val="2D241F"/>
          <w:sz w:val="21"/>
          <w:szCs w:val="21"/>
        </w:rPr>
        <w:t xml:space="preserve">Section 3 — Warranty</w:t>
      </w:r>
    </w:p>
    <w:p>
      <w:pPr>
        <w:spacing w:after="120"/>
      </w:pPr>
      <w:r>
        <w:rPr>
          <w:b w:val="false"/>
          <w:bCs w:val="false"/>
          <w:i w:val="false"/>
          <w:iCs w:val="false"/>
          <w:sz w:val="20"/>
          <w:szCs w:val="20"/>
        </w:rPr>
        <w:t xml:space="preserve">Warranty begins at Zirconia delivery and remains valid only when all requirements below are met. Duration is stated in your signed treatment plan.</w:t>
      </w:r>
    </w:p>
    <w:p>
      <w:pPr>
        <w:pStyle w:val="ListParagraph"/>
        <w:numPr>
          <w:ilvl w:val="0"/>
          <w:numId w:val="2"/>
        </w:numPr>
      </w:pPr>
      <w:r>
        <w:rPr>
          <w:b w:val="false"/>
          <w:bCs w:val="false"/>
          <w:sz w:val="20"/>
          <w:szCs w:val="20"/>
        </w:rPr>
        <w:t xml:space="preserve">Follow all at-home hygiene instructions (daily Waterpik use, bridge flossers).</w:t>
      </w:r>
    </w:p>
    <w:p>
      <w:pPr>
        <w:pStyle w:val="ListParagraph"/>
        <w:numPr>
          <w:ilvl w:val="0"/>
          <w:numId w:val="2"/>
        </w:numPr>
      </w:pPr>
      <w:r>
        <w:rPr>
          <w:b w:val="false"/>
          <w:bCs w:val="false"/>
          <w:sz w:val="20"/>
          <w:szCs w:val="20"/>
        </w:rPr>
        <w:t xml:space="preserve">Follow all diet instructions (avoid ice, popcorn kernels, hard/crunchy foods).</w:t>
      </w:r>
    </w:p>
    <w:p>
      <w:pPr>
        <w:pStyle w:val="ListParagraph"/>
        <w:numPr>
          <w:ilvl w:val="0"/>
          <w:numId w:val="2"/>
        </w:numPr>
      </w:pPr>
      <w:r>
        <w:rPr>
          <w:b w:val="false"/>
          <w:bCs w:val="false"/>
          <w:sz w:val="20"/>
          <w:szCs w:val="20"/>
        </w:rPr>
        <w:t xml:space="preserve">Wear your nightguard every night as directed.</w:t>
      </w:r>
    </w:p>
    <w:p>
      <w:pPr>
        <w:pStyle w:val="ListParagraph"/>
        <w:numPr>
          <w:ilvl w:val="0"/>
          <w:numId w:val="2"/>
        </w:numPr>
      </w:pPr>
      <w:r>
        <w:rPr>
          <w:b w:val="false"/>
          <w:bCs w:val="false"/>
          <w:sz w:val="20"/>
          <w:szCs w:val="20"/>
        </w:rPr>
        <w:t xml:space="preserve">Complete all required annual maintenance appointments, or the warranty is void.</w:t>
      </w:r>
    </w:p>
    <w:p>
      <w:pPr>
        <w:pBdr>
          <w:bottom w:val="single" w:color="C9A96E" w:sz="4" w:space="2"/>
        </w:pBdr>
        <w:spacing w:after="100" w:before="200"/>
      </w:pPr>
      <w:r>
        <w:rPr>
          <w:rFonts w:ascii="Arial" w:cs="Arial" w:eastAsia="Arial" w:hAnsi="Arial"/>
          <w:b/>
          <w:bCs/>
          <w:caps/>
          <w:color w:val="2D241F"/>
          <w:sz w:val="21"/>
          <w:szCs w:val="21"/>
        </w:rPr>
        <w:t xml:space="preserve">Section 4 — Warranty Exclusions</w:t>
      </w:r>
    </w:p>
    <w:p>
      <w:pPr>
        <w:spacing w:after="120"/>
      </w:pPr>
      <w:r>
        <w:rPr>
          <w:b w:val="false"/>
          <w:bCs w:val="false"/>
          <w:i w:val="false"/>
          <w:iCs w:val="false"/>
          <w:sz w:val="20"/>
          <w:szCs w:val="20"/>
        </w:rPr>
        <w:t xml:space="preserve">The warranty does not cover: cosmetic changes, arch matching after additional work, missed maintenance, accidental damage, or lost nightguard.</w:t>
      </w:r>
    </w:p>
    <w:p>
      <w:pPr>
        <w:pBdr>
          <w:top w:val="single" w:color="C9A96E" w:sz="2" w:space="2"/>
          <w:bottom w:val="single" w:color="C9A96E" w:sz="2" w:space="2"/>
          <w:left w:val="single" w:color="C9A96E" w:sz="18" w:space="4"/>
          <w:right w:val="single" w:color="C9A96E" w:sz="2" w:space="2"/>
        </w:pBdr>
        <w:shd w:fill="F7F2EC" w:val="clear"/>
        <w:spacing w:after="160" w:before="120"/>
      </w:pPr>
      <w:r>
        <w:rPr>
          <w:b/>
          <w:bCs/>
          <w:sz w:val="19"/>
          <w:szCs w:val="19"/>
        </w:rPr>
        <w:t xml:space="preserve">Current replacement fee: $3,500.00 per arch. </w:t>
      </w:r>
      <w:r>
        <w:rPr>
          <w:sz w:val="19"/>
          <w:szCs w:val="19"/>
        </w:rPr>
        <w:t xml:space="preserve">Additional fees may apply for exams, X-rays, and parts outside scheduled maintenance.</w:t>
      </w:r>
    </w:p>
    <w:p>
      <w:pPr>
        <w:pBdr>
          <w:bottom w:val="single" w:color="C9A96E" w:sz="4" w:space="2"/>
        </w:pBdr>
        <w:spacing w:after="100" w:before="200"/>
      </w:pPr>
      <w:r>
        <w:rPr>
          <w:rFonts w:ascii="Arial" w:cs="Arial" w:eastAsia="Arial" w:hAnsi="Arial"/>
          <w:b/>
          <w:bCs/>
          <w:caps/>
          <w:color w:val="2D241F"/>
          <w:sz w:val="21"/>
          <w:szCs w:val="21"/>
        </w:rPr>
        <w:t xml:space="preserve">Patient Acknowledgment &amp; Consent</w:t>
      </w:r>
    </w:p>
    <w:p>
      <w:pPr>
        <w:spacing w:after="120"/>
      </w:pPr>
      <w:r>
        <w:rPr>
          <w:b w:val="false"/>
          <w:bCs w:val="false"/>
          <w:i w:val="false"/>
          <w:iCs w:val="false"/>
          <w:sz w:val="20"/>
          <w:szCs w:val="20"/>
        </w:rPr>
        <w:t xml:space="preserve">By signing below, I confirm I have read, understood, and agree to all sections of this form. I consent to proceed with my definitive prosthesis and will comply with all maintenance and warranty obligations. I have received my temporary prosthetic with all screws.</w:t>
      </w:r>
    </w:p>
    <w:p>
      <w:pPr>
        <w:tabs>
          <w:tab w:val="right" w:pos="9026"/>
        </w:tabs>
        <w:spacing w:before="340"/>
      </w:pPr>
      <w:r>
        <w:rPr>
          <w:b/>
          <w:bCs/>
          <w:sz w:val="20"/>
          <w:szCs w:val="20"/>
        </w:rPr>
        <w:t xml:space="preserve">Patient Name (Print): </w:t>
      </w:r>
      <w:r>
        <w:rPr>
          <w:sz w:val="20"/>
          <w:szCs w:val="20"/>
        </w:rPr>
        <w:t xml:space="preserve">___________________________</w:t>
      </w:r>
      <w:r>
        <w:rPr>
          <w:b/>
          <w:bCs/>
          <w:sz w:val="20"/>
          <w:szCs w:val="20"/>
        </w:rPr>
        <w:t xml:space="preserve">	Patient Signature &amp; Date: </w:t>
      </w:r>
      <w:r>
        <w:rPr>
          <w:sz w:val="20"/>
          <w:szCs w:val="20"/>
        </w:rPr>
        <w:t xml:space="preserve">____________________</w:t>
      </w:r>
    </w:p>
    <w:p>
      <w:pPr>
        <w:tabs>
          <w:tab w:val="right" w:pos="9026"/>
        </w:tabs>
        <w:spacing w:before="340"/>
      </w:pPr>
      <w:r>
        <w:rPr>
          <w:b/>
          <w:bCs/>
          <w:sz w:val="20"/>
          <w:szCs w:val="20"/>
        </w:rPr>
        <w:t xml:space="preserve">Clinician Name (Print): </w:t>
      </w:r>
      <w:r>
        <w:rPr>
          <w:sz w:val="20"/>
          <w:szCs w:val="20"/>
        </w:rPr>
        <w:t xml:space="preserve">___________________________</w:t>
      </w:r>
      <w:r>
        <w:rPr>
          <w:b/>
          <w:bCs/>
          <w:sz w:val="20"/>
          <w:szCs w:val="20"/>
        </w:rPr>
        <w:t xml:space="preserve">	Clinician Signature &amp; Date: </w:t>
      </w:r>
      <w:r>
        <w:rPr>
          <w:sz w:val="20"/>
          <w:szCs w:val="20"/>
        </w:rPr>
        <w:t xml:space="preserve">____________________</w:t>
      </w:r>
    </w:p>
    <w:sectPr>
      <w:headerReference w:type="default" r:id="rId7"/>
      <w:footerReference w:type="default" r:id="rId8"/>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4" w:space="4"/>
      </w:pBdr>
      <w:jc w:val="center"/>
    </w:pPr>
    <w:r>
      <w:rPr>
        <w:color w:val="6B5D52"/>
        <w:sz w:val="13"/>
        <w:szCs w:val="13"/>
      </w:rPr>
      <w:t xml:space="preserve">Implanted Wisdom  •  Pulver Oral Surgery  •  2629 45th St, Highland, IN 46322  •  219-934-0404  •  866-IMPLANT  •  implantedwisdom.com  •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533400" cy="666750"/>
          <wp:effectExtent t="0" r="0" b="0" l="0"/>
          <wp:docPr id="1" name="iw-logo" descr="Implanted Wisdom logo" title="Implanted Wis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666750"/>
                  </a:xfrm>
                  <a:prstGeom prst="rect">
                    <a:avLst/>
                  </a:prstGeom>
                </pic:spPr>
              </pic:pic>
            </a:graphicData>
          </a:graphic>
        </wp:inline>
      </w:drawing>
    </w:r>
  </w:p>
  <w:p>
    <w:pPr>
      <w:spacing w:after="50"/>
      <w:jc w:val="center"/>
    </w:pPr>
    <w:r>
      <w:rPr>
        <w:rFonts w:ascii="Georgia" w:cs="Georgia" w:eastAsia="Georgia" w:hAnsi="Georgia"/>
        <w:caps/>
        <w:color w:val="C9A96E"/>
        <w:spacing w:val="60"/>
        <w:sz w:val="19"/>
        <w:szCs w:val="19"/>
      </w:rPr>
      <w:t xml:space="preserve">IMPLANTED WISDOM</w:t>
    </w:r>
  </w:p>
  <w:p>
    <w:pPr>
      <w:pBdr>
        <w:bottom w:val="single" w:color="C9A96E" w:sz="6" w:space="4"/>
      </w:pBdr>
      <w:spacing w:after="40"/>
      <w:jc w:val="center"/>
    </w:pPr>
    <w:r>
      <w:rPr>
        <w:rFonts w:ascii="Arial" w:cs="Arial" w:eastAsia="Arial" w:hAnsi="Arial"/>
        <w:color w:val="6B5D52"/>
        <w:sz w:val="15"/>
        <w:szCs w:val="15"/>
      </w:rPr>
      <w:t xml:space="preserve">866-IMPLANT   •   implantedwisdom.com   •   Highland, 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A1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d55024b27d4d5978ab625a24be7b721cf6057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2026-07-07T15:18:48.516Z</dcterms:created>
  <dcterms:modified xsi:type="dcterms:W3CDTF">2026-07-07T15:18:48.516Z</dcterms:modified>
</cp:coreProperties>
</file>

<file path=docProps/custom.xml><?xml version="1.0" encoding="utf-8"?>
<Properties xmlns="http://schemas.openxmlformats.org/officeDocument/2006/custom-properties" xmlns:vt="http://schemas.openxmlformats.org/officeDocument/2006/docPropsVTypes"/>
</file>