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7CA30" w14:textId="0956E04D" w:rsidR="000B3B81" w:rsidRDefault="000B3B81" w:rsidP="000B3B8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MRSA Surveillance Analysis Overview</w:t>
      </w:r>
    </w:p>
    <w:p w14:paraId="70716D3D" w14:textId="035A9B1A" w:rsidR="00666D33" w:rsidRDefault="000B3B81" w:rsidP="000B3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Methicillin-resistant staphylococcus aureus</w:t>
      </w:r>
      <w:r w:rsidR="00101973">
        <w:rPr>
          <w:rFonts w:ascii="Times New Roman" w:hAnsi="Times New Roman" w:cs="Times New Roman"/>
        </w:rPr>
        <w:t xml:space="preserve"> (MRSA)</w:t>
      </w:r>
      <w:r>
        <w:rPr>
          <w:rFonts w:ascii="Times New Roman" w:hAnsi="Times New Roman" w:cs="Times New Roman"/>
        </w:rPr>
        <w:t xml:space="preserve"> is one of the leading hospital-acquired infections while progressively becoming more resistant to first-line antibiotics. </w:t>
      </w:r>
      <w:r w:rsidR="00101973">
        <w:rPr>
          <w:rFonts w:ascii="Times New Roman" w:hAnsi="Times New Roman" w:cs="Times New Roman"/>
        </w:rPr>
        <w:t>With MRSA becoming a threat to public health, tracking and surveillance is</w:t>
      </w:r>
      <w:r w:rsidR="00252398">
        <w:rPr>
          <w:rFonts w:ascii="Times New Roman" w:hAnsi="Times New Roman" w:cs="Times New Roman"/>
        </w:rPr>
        <w:t xml:space="preserve"> a</w:t>
      </w:r>
      <w:r w:rsidR="00101973">
        <w:rPr>
          <w:rFonts w:ascii="Times New Roman" w:hAnsi="Times New Roman" w:cs="Times New Roman"/>
        </w:rPr>
        <w:t xml:space="preserve"> crucial</w:t>
      </w:r>
      <w:r w:rsidR="00252398">
        <w:rPr>
          <w:rFonts w:ascii="Times New Roman" w:hAnsi="Times New Roman" w:cs="Times New Roman"/>
        </w:rPr>
        <w:t xml:space="preserve"> procedure in preventing an outbreak</w:t>
      </w:r>
      <w:r w:rsidR="00101973">
        <w:rPr>
          <w:rFonts w:ascii="Times New Roman" w:hAnsi="Times New Roman" w:cs="Times New Roman"/>
        </w:rPr>
        <w:t>. The</w:t>
      </w:r>
      <w:r w:rsidR="00E071DA">
        <w:rPr>
          <w:rFonts w:ascii="Times New Roman" w:hAnsi="Times New Roman" w:cs="Times New Roman"/>
        </w:rPr>
        <w:t xml:space="preserve"> U.S Center for Disease Control and Prevention</w:t>
      </w:r>
      <w:r w:rsidR="00101973">
        <w:rPr>
          <w:rFonts w:ascii="Times New Roman" w:hAnsi="Times New Roman" w:cs="Times New Roman"/>
        </w:rPr>
        <w:t xml:space="preserve"> </w:t>
      </w:r>
      <w:r w:rsidR="00E071DA">
        <w:rPr>
          <w:rFonts w:ascii="Times New Roman" w:hAnsi="Times New Roman" w:cs="Times New Roman"/>
        </w:rPr>
        <w:t>(</w:t>
      </w:r>
      <w:r w:rsidR="00101973">
        <w:rPr>
          <w:rFonts w:ascii="Times New Roman" w:hAnsi="Times New Roman" w:cs="Times New Roman"/>
        </w:rPr>
        <w:t>CDC</w:t>
      </w:r>
      <w:r w:rsidR="00E071DA">
        <w:rPr>
          <w:rFonts w:ascii="Times New Roman" w:hAnsi="Times New Roman" w:cs="Times New Roman"/>
        </w:rPr>
        <w:t>)</w:t>
      </w:r>
      <w:r w:rsidR="00101973">
        <w:rPr>
          <w:rFonts w:ascii="Times New Roman" w:hAnsi="Times New Roman" w:cs="Times New Roman"/>
        </w:rPr>
        <w:t xml:space="preserve"> has implemented a tool that allows users to </w:t>
      </w:r>
      <w:r w:rsidR="00101973" w:rsidRPr="00101973">
        <w:rPr>
          <w:rFonts w:ascii="Times New Roman" w:hAnsi="Times New Roman" w:cs="Times New Roman"/>
        </w:rPr>
        <w:t xml:space="preserve">analyze and visualize data for Healthcare-Associated Infections (HAIs), including Candida bloodstream infections, </w:t>
      </w:r>
      <w:proofErr w:type="spellStart"/>
      <w:r w:rsidR="00101973" w:rsidRPr="00101973">
        <w:rPr>
          <w:rFonts w:ascii="Times New Roman" w:hAnsi="Times New Roman" w:cs="Times New Roman"/>
        </w:rPr>
        <w:t>Clostridioides</w:t>
      </w:r>
      <w:proofErr w:type="spellEnd"/>
      <w:r w:rsidR="00101973" w:rsidRPr="00101973">
        <w:rPr>
          <w:rFonts w:ascii="Times New Roman" w:hAnsi="Times New Roman" w:cs="Times New Roman"/>
        </w:rPr>
        <w:t xml:space="preserve"> difficile infections, </w:t>
      </w:r>
      <w:r w:rsidR="00101973">
        <w:rPr>
          <w:rFonts w:ascii="Times New Roman" w:hAnsi="Times New Roman" w:cs="Times New Roman"/>
        </w:rPr>
        <w:t xml:space="preserve">and </w:t>
      </w:r>
      <w:r w:rsidR="00101973" w:rsidRPr="00101973">
        <w:rPr>
          <w:rFonts w:ascii="Times New Roman" w:hAnsi="Times New Roman" w:cs="Times New Roman"/>
        </w:rPr>
        <w:t>Staphylococcus aureus infections.</w:t>
      </w:r>
      <w:r w:rsidR="00D91C98">
        <w:rPr>
          <w:rFonts w:ascii="Times New Roman" w:hAnsi="Times New Roman" w:cs="Times New Roman"/>
        </w:rPr>
        <w:t xml:space="preserve"> However, while the dataset provided is extensive, the visual platform that allows users</w:t>
      </w:r>
      <w:r w:rsidR="002445F0">
        <w:rPr>
          <w:rFonts w:ascii="Times New Roman" w:hAnsi="Times New Roman" w:cs="Times New Roman"/>
        </w:rPr>
        <w:t xml:space="preserve"> to</w:t>
      </w:r>
      <w:r w:rsidR="00D91C98">
        <w:rPr>
          <w:rFonts w:ascii="Times New Roman" w:hAnsi="Times New Roman" w:cs="Times New Roman"/>
        </w:rPr>
        <w:t xml:space="preserve"> </w:t>
      </w:r>
      <w:r w:rsidR="002445F0">
        <w:rPr>
          <w:rFonts w:ascii="Times New Roman" w:hAnsi="Times New Roman" w:cs="Times New Roman"/>
        </w:rPr>
        <w:t>perform analysis</w:t>
      </w:r>
      <w:r w:rsidR="00D91C98">
        <w:rPr>
          <w:rFonts w:ascii="Times New Roman" w:hAnsi="Times New Roman" w:cs="Times New Roman"/>
        </w:rPr>
        <w:t xml:space="preserve"> is lacking in accessibility</w:t>
      </w:r>
      <w:r w:rsidR="002445F0">
        <w:rPr>
          <w:rFonts w:ascii="Times New Roman" w:hAnsi="Times New Roman" w:cs="Times New Roman"/>
        </w:rPr>
        <w:t xml:space="preserve"> to the available data.</w:t>
      </w:r>
      <w:r w:rsidR="002854B0" w:rsidRPr="002854B0">
        <w:rPr>
          <w:rFonts w:ascii="Times New Roman" w:hAnsi="Times New Roman" w:cs="Times New Roman"/>
        </w:rPr>
        <w:t xml:space="preserve"> </w:t>
      </w:r>
      <w:r w:rsidR="002854B0">
        <w:rPr>
          <w:rFonts w:ascii="Times New Roman" w:hAnsi="Times New Roman" w:cs="Times New Roman"/>
        </w:rPr>
        <w:t>This tutorial will provide an overview of the resigned visual platform that allows users more access to the available data and an improved understanding in MRSA surveillance.</w:t>
      </w:r>
    </w:p>
    <w:p w14:paraId="119C062E" w14:textId="5148FA93" w:rsidR="002854B0" w:rsidRDefault="002854B0" w:rsidP="000B3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11244">
        <w:rPr>
          <w:rFonts w:ascii="Times New Roman" w:hAnsi="Times New Roman" w:cs="Times New Roman"/>
        </w:rPr>
        <w:t xml:space="preserve">With the visual and analytical platform, we hope to </w:t>
      </w:r>
      <w:r w:rsidR="00A56CFB">
        <w:rPr>
          <w:rFonts w:ascii="Times New Roman" w:hAnsi="Times New Roman" w:cs="Times New Roman"/>
        </w:rPr>
        <w:t>provide insight into</w:t>
      </w:r>
      <w:r w:rsidR="00111244">
        <w:rPr>
          <w:rFonts w:ascii="Times New Roman" w:hAnsi="Times New Roman" w:cs="Times New Roman"/>
        </w:rPr>
        <w:t xml:space="preserve"> two research questions: 1). </w:t>
      </w:r>
      <w:r w:rsidR="00111244" w:rsidRPr="00111244">
        <w:rPr>
          <w:rFonts w:ascii="Times New Roman" w:hAnsi="Times New Roman" w:cs="Times New Roman"/>
        </w:rPr>
        <w:t xml:space="preserve">How has the rate of methicillin resistance Staphylococcus </w:t>
      </w:r>
      <w:r w:rsidR="00C5509C" w:rsidRPr="00111244">
        <w:rPr>
          <w:rFonts w:ascii="Times New Roman" w:hAnsi="Times New Roman" w:cs="Times New Roman"/>
        </w:rPr>
        <w:t>aureus</w:t>
      </w:r>
      <w:r w:rsidR="00C5509C">
        <w:rPr>
          <w:rFonts w:ascii="Times New Roman" w:hAnsi="Times New Roman" w:cs="Times New Roman"/>
        </w:rPr>
        <w:t xml:space="preserve"> infections</w:t>
      </w:r>
      <w:r w:rsidR="00111244" w:rsidRPr="00111244">
        <w:rPr>
          <w:rFonts w:ascii="Times New Roman" w:hAnsi="Times New Roman" w:cs="Times New Roman"/>
        </w:rPr>
        <w:t xml:space="preserve"> evolved over the past decade? </w:t>
      </w:r>
      <w:r w:rsidR="00111244">
        <w:rPr>
          <w:rFonts w:ascii="Times New Roman" w:hAnsi="Times New Roman" w:cs="Times New Roman"/>
        </w:rPr>
        <w:t xml:space="preserve">2). </w:t>
      </w:r>
      <w:r w:rsidR="00111244" w:rsidRPr="00111244">
        <w:rPr>
          <w:rFonts w:ascii="Times New Roman" w:hAnsi="Times New Roman" w:cs="Times New Roman"/>
        </w:rPr>
        <w:t xml:space="preserve">Are there demographic or geographic factors influencing the </w:t>
      </w:r>
      <w:r w:rsidR="00111244">
        <w:rPr>
          <w:rFonts w:ascii="Times New Roman" w:hAnsi="Times New Roman" w:cs="Times New Roman"/>
        </w:rPr>
        <w:t>rate</w:t>
      </w:r>
      <w:r w:rsidR="00111244" w:rsidRPr="00111244">
        <w:rPr>
          <w:rFonts w:ascii="Times New Roman" w:hAnsi="Times New Roman" w:cs="Times New Roman"/>
        </w:rPr>
        <w:t xml:space="preserve"> in Staphylococcus aureus</w:t>
      </w:r>
      <w:r w:rsidR="00111244">
        <w:rPr>
          <w:rFonts w:ascii="Times New Roman" w:hAnsi="Times New Roman" w:cs="Times New Roman"/>
        </w:rPr>
        <w:t xml:space="preserve"> infections</w:t>
      </w:r>
      <w:r w:rsidR="00111244" w:rsidRPr="00111244">
        <w:rPr>
          <w:rFonts w:ascii="Times New Roman" w:hAnsi="Times New Roman" w:cs="Times New Roman"/>
        </w:rPr>
        <w:t>?</w:t>
      </w:r>
      <w:r w:rsidR="00A56CFB">
        <w:rPr>
          <w:rFonts w:ascii="Times New Roman" w:hAnsi="Times New Roman" w:cs="Times New Roman"/>
        </w:rPr>
        <w:t xml:space="preserve"> </w:t>
      </w:r>
      <w:r w:rsidR="00BA0688">
        <w:rPr>
          <w:rFonts w:ascii="Times New Roman" w:hAnsi="Times New Roman" w:cs="Times New Roman"/>
        </w:rPr>
        <w:t>To accomplish these aims, we utilized the data set provided by the CDC that tracks MRSA cases and their metadata from 2005 to 2020</w:t>
      </w:r>
      <w:r w:rsidR="00D841A4">
        <w:rPr>
          <w:rFonts w:ascii="Times New Roman" w:hAnsi="Times New Roman" w:cs="Times New Roman"/>
        </w:rPr>
        <w:t xml:space="preserve">. The data will be transformed and visualized in a stream-line process using R. Ultimately, a developed </w:t>
      </w:r>
      <w:proofErr w:type="spellStart"/>
      <w:r w:rsidR="00D841A4">
        <w:rPr>
          <w:rFonts w:ascii="Times New Roman" w:hAnsi="Times New Roman" w:cs="Times New Roman"/>
        </w:rPr>
        <w:t>ShinyApp</w:t>
      </w:r>
      <w:proofErr w:type="spellEnd"/>
      <w:r w:rsidR="00D841A4">
        <w:rPr>
          <w:rFonts w:ascii="Times New Roman" w:hAnsi="Times New Roman" w:cs="Times New Roman"/>
        </w:rPr>
        <w:t xml:space="preserve"> application will allow users to easily select and visualize the variable of interest</w:t>
      </w:r>
      <w:r w:rsidR="009957E5">
        <w:rPr>
          <w:rFonts w:ascii="Times New Roman" w:hAnsi="Times New Roman" w:cs="Times New Roman"/>
        </w:rPr>
        <w:t xml:space="preserve"> without having to perform any coding themselves. </w:t>
      </w:r>
      <w:r w:rsidR="002D2B1D">
        <w:rPr>
          <w:rFonts w:ascii="Times New Roman" w:hAnsi="Times New Roman" w:cs="Times New Roman"/>
        </w:rPr>
        <w:t xml:space="preserve">This product </w:t>
      </w:r>
      <w:r w:rsidR="001354AC">
        <w:rPr>
          <w:rFonts w:ascii="Times New Roman" w:hAnsi="Times New Roman" w:cs="Times New Roman"/>
        </w:rPr>
        <w:t>hopes</w:t>
      </w:r>
      <w:r w:rsidR="002D2B1D">
        <w:rPr>
          <w:rFonts w:ascii="Times New Roman" w:hAnsi="Times New Roman" w:cs="Times New Roman"/>
        </w:rPr>
        <w:t xml:space="preserve"> to provide an </w:t>
      </w:r>
      <w:r w:rsidR="001354AC">
        <w:rPr>
          <w:rFonts w:ascii="Times New Roman" w:hAnsi="Times New Roman" w:cs="Times New Roman"/>
        </w:rPr>
        <w:t>insight to</w:t>
      </w:r>
      <w:r w:rsidR="002D2B1D">
        <w:rPr>
          <w:rFonts w:ascii="Times New Roman" w:hAnsi="Times New Roman" w:cs="Times New Roman"/>
        </w:rPr>
        <w:t xml:space="preserve"> understanding </w:t>
      </w:r>
      <w:r w:rsidR="00D841A4">
        <w:rPr>
          <w:rFonts w:ascii="Times New Roman" w:hAnsi="Times New Roman" w:cs="Times New Roman"/>
        </w:rPr>
        <w:t>the trends</w:t>
      </w:r>
      <w:r w:rsidR="002D2B1D">
        <w:rPr>
          <w:rFonts w:ascii="Times New Roman" w:hAnsi="Times New Roman" w:cs="Times New Roman"/>
        </w:rPr>
        <w:t xml:space="preserve"> and influencing factors</w:t>
      </w:r>
      <w:r w:rsidR="00D841A4">
        <w:rPr>
          <w:rFonts w:ascii="Times New Roman" w:hAnsi="Times New Roman" w:cs="Times New Roman"/>
        </w:rPr>
        <w:t xml:space="preserve"> in MRSA infections. </w:t>
      </w:r>
    </w:p>
    <w:p w14:paraId="74AF1ECD" w14:textId="0E4EA136" w:rsidR="001354AC" w:rsidRDefault="001354AC" w:rsidP="000B3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R code utilized common R packages such as </w:t>
      </w:r>
      <w:proofErr w:type="spellStart"/>
      <w:r>
        <w:rPr>
          <w:rFonts w:ascii="Times New Roman" w:hAnsi="Times New Roman" w:cs="Times New Roman"/>
        </w:rPr>
        <w:t>ggplot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dplyr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tidyverse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… to transform and visualize the provided dataset. </w:t>
      </w:r>
      <w:r w:rsidR="00735B4C">
        <w:rPr>
          <w:rFonts w:ascii="Times New Roman" w:hAnsi="Times New Roman" w:cs="Times New Roman"/>
        </w:rPr>
        <w:t>The dataset is further transformed to retain important variables that can be visualized</w:t>
      </w:r>
      <w:r w:rsidR="00926846">
        <w:rPr>
          <w:rFonts w:ascii="Times New Roman" w:hAnsi="Times New Roman" w:cs="Times New Roman"/>
        </w:rPr>
        <w:t xml:space="preserve"> while empty rows are omitted. Crucially, </w:t>
      </w:r>
      <w:proofErr w:type="spellStart"/>
      <w:r w:rsidR="00926846">
        <w:rPr>
          <w:rFonts w:ascii="Times New Roman" w:hAnsi="Times New Roman" w:cs="Times New Roman"/>
        </w:rPr>
        <w:t>ShinyApp</w:t>
      </w:r>
      <w:proofErr w:type="spellEnd"/>
      <w:r w:rsidR="00926846">
        <w:rPr>
          <w:rFonts w:ascii="Times New Roman" w:hAnsi="Times New Roman" w:cs="Times New Roman"/>
        </w:rPr>
        <w:t xml:space="preserve"> is included in the code to create a visualization platform</w:t>
      </w:r>
      <w:r w:rsidR="002249A1">
        <w:rPr>
          <w:rFonts w:ascii="Times New Roman" w:hAnsi="Times New Roman" w:cs="Times New Roman"/>
        </w:rPr>
        <w:t>/user interface</w:t>
      </w:r>
      <w:r w:rsidR="00926846">
        <w:rPr>
          <w:rFonts w:ascii="Times New Roman" w:hAnsi="Times New Roman" w:cs="Times New Roman"/>
        </w:rPr>
        <w:t xml:space="preserve"> that allows users to select the year of all recorded MRSA cases from an input </w:t>
      </w:r>
      <w:r w:rsidR="002249A1">
        <w:rPr>
          <w:rFonts w:ascii="Times New Roman" w:hAnsi="Times New Roman" w:cs="Times New Roman"/>
        </w:rPr>
        <w:t>slider</w:t>
      </w:r>
      <w:r w:rsidR="00926846">
        <w:rPr>
          <w:rFonts w:ascii="Times New Roman" w:hAnsi="Times New Roman" w:cs="Times New Roman"/>
        </w:rPr>
        <w:t>. Additionally, a drop-down menu is implemented to for users to select the variable they want to visualize such as the age of the patients, epidemic classification of MRSA, and patients’ syndromes.</w:t>
      </w:r>
      <w:r w:rsidR="002249A1">
        <w:rPr>
          <w:rFonts w:ascii="Times New Roman" w:hAnsi="Times New Roman" w:cs="Times New Roman"/>
        </w:rPr>
        <w:t xml:space="preserve"> The server end of the </w:t>
      </w:r>
      <w:proofErr w:type="spellStart"/>
      <w:r w:rsidR="002249A1">
        <w:rPr>
          <w:rFonts w:ascii="Times New Roman" w:hAnsi="Times New Roman" w:cs="Times New Roman"/>
        </w:rPr>
        <w:t>ShinyApp</w:t>
      </w:r>
      <w:proofErr w:type="spellEnd"/>
      <w:r w:rsidR="002249A1">
        <w:rPr>
          <w:rFonts w:ascii="Times New Roman" w:hAnsi="Times New Roman" w:cs="Times New Roman"/>
        </w:rPr>
        <w:t xml:space="preserve"> was designed specifically to remain functional even if the dataset is changed in the future</w:t>
      </w:r>
      <w:r w:rsidR="00314F82">
        <w:rPr>
          <w:rFonts w:ascii="Times New Roman" w:hAnsi="Times New Roman" w:cs="Times New Roman"/>
        </w:rPr>
        <w:t xml:space="preserve">. </w:t>
      </w:r>
      <w:r w:rsidR="0053469F">
        <w:rPr>
          <w:rFonts w:ascii="Times New Roman" w:hAnsi="Times New Roman" w:cs="Times New Roman"/>
        </w:rPr>
        <w:t xml:space="preserve">This way, </w:t>
      </w:r>
      <w:r w:rsidR="00BF7B20">
        <w:rPr>
          <w:rFonts w:ascii="Times New Roman" w:hAnsi="Times New Roman" w:cs="Times New Roman"/>
        </w:rPr>
        <w:t>when new data are entered, as surveillance data will be, the application will still be functional and sustainable for future use.</w:t>
      </w:r>
    </w:p>
    <w:p w14:paraId="364364F6" w14:textId="1610948B" w:rsidR="00B9398A" w:rsidRDefault="005B0AA1" w:rsidP="000B3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the analysis, there is a correlation between the age group and the risk associated with MRSA infections. This can be attributed to many factors including the compromised immune system within older age groups</w:t>
      </w:r>
      <w:r w:rsidR="00047681">
        <w:rPr>
          <w:rFonts w:ascii="Times New Roman" w:hAnsi="Times New Roman" w:cs="Times New Roman"/>
        </w:rPr>
        <w:t xml:space="preserve">. Additionally, older age groups are more likely to visit </w:t>
      </w:r>
      <w:r w:rsidR="000971FB">
        <w:rPr>
          <w:rFonts w:ascii="Times New Roman" w:hAnsi="Times New Roman" w:cs="Times New Roman"/>
        </w:rPr>
        <w:t>hospitals,</w:t>
      </w:r>
      <w:r w:rsidR="00047681">
        <w:rPr>
          <w:rFonts w:ascii="Times New Roman" w:hAnsi="Times New Roman" w:cs="Times New Roman"/>
        </w:rPr>
        <w:t xml:space="preserve"> which is the most common setting in MRSA infections. We also identified a </w:t>
      </w:r>
      <w:r w:rsidR="00421CCA">
        <w:rPr>
          <w:rFonts w:ascii="Times New Roman" w:hAnsi="Times New Roman" w:cs="Times New Roman"/>
        </w:rPr>
        <w:t>decline</w:t>
      </w:r>
      <w:r w:rsidR="00047681">
        <w:rPr>
          <w:rFonts w:ascii="Times New Roman" w:hAnsi="Times New Roman" w:cs="Times New Roman"/>
        </w:rPr>
        <w:t xml:space="preserve"> in US 100 and US 300 epidemic class of MRSA while other strains are becoming more </w:t>
      </w:r>
      <w:r w:rsidR="00314F82">
        <w:rPr>
          <w:rFonts w:ascii="Times New Roman" w:hAnsi="Times New Roman" w:cs="Times New Roman"/>
        </w:rPr>
        <w:t>prevalent</w:t>
      </w:r>
      <w:r w:rsidR="00047681">
        <w:rPr>
          <w:rFonts w:ascii="Times New Roman" w:hAnsi="Times New Roman" w:cs="Times New Roman"/>
        </w:rPr>
        <w:t xml:space="preserve">. This trend indicates an evolutionary progression of MRSA, with mutation that might </w:t>
      </w:r>
      <w:r w:rsidR="00421CCA">
        <w:rPr>
          <w:rFonts w:ascii="Times New Roman" w:hAnsi="Times New Roman" w:cs="Times New Roman"/>
        </w:rPr>
        <w:t>result</w:t>
      </w:r>
      <w:r w:rsidR="00047681">
        <w:rPr>
          <w:rFonts w:ascii="Times New Roman" w:hAnsi="Times New Roman" w:cs="Times New Roman"/>
        </w:rPr>
        <w:t xml:space="preserve"> in resistance against antibiotics. Effectively, this finding highlights the need for new intervention against the increasingly </w:t>
      </w:r>
      <w:r w:rsidR="00421CCA">
        <w:rPr>
          <w:rFonts w:ascii="Times New Roman" w:hAnsi="Times New Roman" w:cs="Times New Roman"/>
        </w:rPr>
        <w:t>persistent</w:t>
      </w:r>
      <w:r w:rsidR="00047681">
        <w:rPr>
          <w:rFonts w:ascii="Times New Roman" w:hAnsi="Times New Roman" w:cs="Times New Roman"/>
        </w:rPr>
        <w:t xml:space="preserve"> MRSA infections.</w:t>
      </w:r>
    </w:p>
    <w:p w14:paraId="5324FDCA" w14:textId="56338D10" w:rsidR="00926846" w:rsidRDefault="00B9398A" w:rsidP="000B3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>References:</w:t>
      </w:r>
    </w:p>
    <w:p w14:paraId="25AFE38F" w14:textId="77777777" w:rsidR="00B9398A" w:rsidRPr="00B9398A" w:rsidRDefault="00B9398A" w:rsidP="00B93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398A">
        <w:rPr>
          <w:rFonts w:ascii="Times New Roman" w:hAnsi="Times New Roman" w:cs="Times New Roman"/>
        </w:rPr>
        <w:t xml:space="preserve">Liu, C., &amp; Chambers, H. F. (2003). Methicillin-resistant Staphylococcus aureus: An overview of clinical features and management strategies. Clinical Infectious Diseases, 36(6), 199-206. https://doi.org/10.1086/368712 </w:t>
      </w:r>
    </w:p>
    <w:p w14:paraId="67B998A6" w14:textId="77777777" w:rsidR="00B9398A" w:rsidRPr="00B9398A" w:rsidRDefault="00B9398A" w:rsidP="00B93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398A">
        <w:rPr>
          <w:rFonts w:ascii="Times New Roman" w:hAnsi="Times New Roman" w:cs="Times New Roman"/>
          <w:lang w:val="fr-FR"/>
        </w:rPr>
        <w:t xml:space="preserve">Boucher, H. W., &amp; Corey, G. R. (2008). </w:t>
      </w:r>
      <w:r w:rsidRPr="00B9398A">
        <w:rPr>
          <w:rFonts w:ascii="Times New Roman" w:hAnsi="Times New Roman" w:cs="Times New Roman"/>
        </w:rPr>
        <w:t xml:space="preserve">Epidemiology of Methicillin-Resistant Staphylococcus aureus and its Impact on Clinical Outcomes. Clinical Infectious Diseases, 46(5), 1-19. https://doi.org/10.1086/523340 </w:t>
      </w:r>
    </w:p>
    <w:p w14:paraId="5621FEE1" w14:textId="77777777" w:rsidR="00B9398A" w:rsidRPr="00B9398A" w:rsidRDefault="00B9398A" w:rsidP="00B93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9398A">
        <w:rPr>
          <w:rFonts w:ascii="Times New Roman" w:hAnsi="Times New Roman" w:cs="Times New Roman"/>
        </w:rPr>
        <w:t>Hidron</w:t>
      </w:r>
      <w:proofErr w:type="spellEnd"/>
      <w:r w:rsidRPr="00B9398A">
        <w:rPr>
          <w:rFonts w:ascii="Times New Roman" w:hAnsi="Times New Roman" w:cs="Times New Roman"/>
        </w:rPr>
        <w:t xml:space="preserve">, A. I., &amp; Patel, J. B. (2011). Antimicrobial-resistant pathogens associated with healthcare-associated infections: A review of the literature. American Journal of Infection Control, 39(3), 152-160. https://doi.org/10.1016/j.ajic.2010.04.011 </w:t>
      </w:r>
    </w:p>
    <w:p w14:paraId="713BF120" w14:textId="77777777" w:rsidR="00B9398A" w:rsidRPr="00B9398A" w:rsidRDefault="00B9398A" w:rsidP="00B93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398A">
        <w:rPr>
          <w:rFonts w:ascii="Times New Roman" w:hAnsi="Times New Roman" w:cs="Times New Roman"/>
        </w:rPr>
        <w:t xml:space="preserve">Enright, M. C., Day, N. P., Davies, C. E., Peacock, S. J., &amp; Spratt, B. G. (2000). </w:t>
      </w:r>
      <w:proofErr w:type="spellStart"/>
      <w:r w:rsidRPr="00B9398A">
        <w:rPr>
          <w:rFonts w:ascii="Times New Roman" w:hAnsi="Times New Roman" w:cs="Times New Roman"/>
        </w:rPr>
        <w:t>Multilocus</w:t>
      </w:r>
      <w:proofErr w:type="spellEnd"/>
      <w:r w:rsidRPr="00B9398A">
        <w:rPr>
          <w:rFonts w:ascii="Times New Roman" w:hAnsi="Times New Roman" w:cs="Times New Roman"/>
        </w:rPr>
        <w:t xml:space="preserve"> sequence typing for characterization of methicillin-resistant and methicillin-susceptible clones of Staphylococcus aureus. Journal of clinical microbiology, 38(3), 1008–1015. https://doi.org/10.1128/JCM.38.3.1008-1015.2000 </w:t>
      </w:r>
    </w:p>
    <w:p w14:paraId="239E4E57" w14:textId="77777777" w:rsidR="00B9398A" w:rsidRPr="00B9398A" w:rsidRDefault="00B9398A" w:rsidP="00B93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398A">
        <w:rPr>
          <w:rFonts w:ascii="Times New Roman" w:hAnsi="Times New Roman" w:cs="Times New Roman"/>
        </w:rPr>
        <w:t xml:space="preserve">Jolley, K. A., Bray, J. E., &amp; Maiden, M. C. J. (2018). Open-access bacterial population genomics: </w:t>
      </w:r>
      <w:proofErr w:type="spellStart"/>
      <w:r w:rsidRPr="00B9398A">
        <w:rPr>
          <w:rFonts w:ascii="Times New Roman" w:hAnsi="Times New Roman" w:cs="Times New Roman"/>
        </w:rPr>
        <w:t>BIGSdb</w:t>
      </w:r>
      <w:proofErr w:type="spellEnd"/>
      <w:r w:rsidRPr="00B9398A">
        <w:rPr>
          <w:rFonts w:ascii="Times New Roman" w:hAnsi="Times New Roman" w:cs="Times New Roman"/>
        </w:rPr>
        <w:t xml:space="preserve"> software, the PubMLST.org website and their applications. </w:t>
      </w:r>
      <w:proofErr w:type="spellStart"/>
      <w:r w:rsidRPr="00B9398A">
        <w:rPr>
          <w:rFonts w:ascii="Times New Roman" w:hAnsi="Times New Roman" w:cs="Times New Roman"/>
        </w:rPr>
        <w:t>Wellcome</w:t>
      </w:r>
      <w:proofErr w:type="spellEnd"/>
      <w:r w:rsidRPr="00B9398A">
        <w:rPr>
          <w:rFonts w:ascii="Times New Roman" w:hAnsi="Times New Roman" w:cs="Times New Roman"/>
        </w:rPr>
        <w:t xml:space="preserve"> open research, 3, 124. https://doi.org/10.12688/wellcomeopenres.14826.1 </w:t>
      </w:r>
    </w:p>
    <w:p w14:paraId="0B3020DF" w14:textId="77777777" w:rsidR="00B9398A" w:rsidRPr="00B9398A" w:rsidRDefault="00B9398A" w:rsidP="00B93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398A">
        <w:rPr>
          <w:rFonts w:ascii="Times New Roman" w:hAnsi="Times New Roman" w:cs="Times New Roman"/>
        </w:rPr>
        <w:t xml:space="preserve">Kourtis AP, Hatfield K, Baggs J, et al. Vital Signs: Epidemiology and Recent Trends in Methicillin-Resistant and in Methicillin-Susceptible Staphylococcus aureus Bloodstream Infections — United States. MMWR </w:t>
      </w:r>
      <w:proofErr w:type="spellStart"/>
      <w:r w:rsidRPr="00B9398A">
        <w:rPr>
          <w:rFonts w:ascii="Times New Roman" w:hAnsi="Times New Roman" w:cs="Times New Roman"/>
        </w:rPr>
        <w:t>Morb</w:t>
      </w:r>
      <w:proofErr w:type="spellEnd"/>
      <w:r w:rsidRPr="00B9398A">
        <w:rPr>
          <w:rFonts w:ascii="Times New Roman" w:hAnsi="Times New Roman" w:cs="Times New Roman"/>
        </w:rPr>
        <w:t xml:space="preserve"> Mortal </w:t>
      </w:r>
      <w:proofErr w:type="spellStart"/>
      <w:r w:rsidRPr="00B9398A">
        <w:rPr>
          <w:rFonts w:ascii="Times New Roman" w:hAnsi="Times New Roman" w:cs="Times New Roman"/>
        </w:rPr>
        <w:t>Wkly</w:t>
      </w:r>
      <w:proofErr w:type="spellEnd"/>
      <w:r w:rsidRPr="00B9398A">
        <w:rPr>
          <w:rFonts w:ascii="Times New Roman" w:hAnsi="Times New Roman" w:cs="Times New Roman"/>
        </w:rPr>
        <w:t xml:space="preserve"> Rep 2019;68:214–219. DOI: http://dx.doi.org/10.15585/mmwr.mm6809e1</w:t>
      </w:r>
    </w:p>
    <w:p w14:paraId="278D62F3" w14:textId="1AEA01DF" w:rsidR="00B9398A" w:rsidRPr="00B9398A" w:rsidRDefault="00B9398A" w:rsidP="00B93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398A">
        <w:rPr>
          <w:rFonts w:ascii="Times New Roman" w:hAnsi="Times New Roman" w:cs="Times New Roman"/>
        </w:rPr>
        <w:t xml:space="preserve">Dai, Y., Liu, J., Guo, W., Meng, H., Huang, Q., He, L., Gao, Q., </w:t>
      </w:r>
      <w:proofErr w:type="spellStart"/>
      <w:r w:rsidRPr="00B9398A">
        <w:rPr>
          <w:rFonts w:ascii="Times New Roman" w:hAnsi="Times New Roman" w:cs="Times New Roman"/>
        </w:rPr>
        <w:t>Lv</w:t>
      </w:r>
      <w:proofErr w:type="spellEnd"/>
      <w:r w:rsidRPr="00B9398A">
        <w:rPr>
          <w:rFonts w:ascii="Times New Roman" w:hAnsi="Times New Roman" w:cs="Times New Roman"/>
        </w:rPr>
        <w:t>, H., Liu, Y., Wang, Y., Wang, H., Liu, Q., &amp; Li, M. (2019). Decreasing methicillin-resistant Staphylococcus aureus (MRSA) infections is attributable to the disappearance of predominant MRSA ST239 clones, Shanghai, 2008-2017. Emerging microbes &amp; infections, 8(1), 471–478. https://doi.org/10.1080/22221751.2019.1595161</w:t>
      </w:r>
    </w:p>
    <w:sectPr w:rsidR="00B9398A" w:rsidRPr="00B9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826D6"/>
    <w:multiLevelType w:val="hybridMultilevel"/>
    <w:tmpl w:val="43EC26F8"/>
    <w:lvl w:ilvl="0" w:tplc="6DE0829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58CC8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9A934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BAEB6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E2A85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70B63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F4C04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FA3F7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E47BA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A935C65"/>
    <w:multiLevelType w:val="hybridMultilevel"/>
    <w:tmpl w:val="D08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29183">
    <w:abstractNumId w:val="0"/>
  </w:num>
  <w:num w:numId="2" w16cid:durableId="1459646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EE"/>
    <w:rsid w:val="00047681"/>
    <w:rsid w:val="000971FB"/>
    <w:rsid w:val="000B3B81"/>
    <w:rsid w:val="00101973"/>
    <w:rsid w:val="00111244"/>
    <w:rsid w:val="001354AC"/>
    <w:rsid w:val="001F3D02"/>
    <w:rsid w:val="002249A1"/>
    <w:rsid w:val="002445F0"/>
    <w:rsid w:val="00252398"/>
    <w:rsid w:val="002854B0"/>
    <w:rsid w:val="002D2B1D"/>
    <w:rsid w:val="00314F82"/>
    <w:rsid w:val="003231D6"/>
    <w:rsid w:val="00421CCA"/>
    <w:rsid w:val="0053469F"/>
    <w:rsid w:val="005B0AA1"/>
    <w:rsid w:val="005E6E95"/>
    <w:rsid w:val="00666D33"/>
    <w:rsid w:val="00735B4C"/>
    <w:rsid w:val="00926846"/>
    <w:rsid w:val="009957E5"/>
    <w:rsid w:val="00A56CFB"/>
    <w:rsid w:val="00B17245"/>
    <w:rsid w:val="00B9398A"/>
    <w:rsid w:val="00BA0688"/>
    <w:rsid w:val="00BF7B20"/>
    <w:rsid w:val="00C5509C"/>
    <w:rsid w:val="00CA58B6"/>
    <w:rsid w:val="00D03CEE"/>
    <w:rsid w:val="00D36F05"/>
    <w:rsid w:val="00D841A4"/>
    <w:rsid w:val="00D91C98"/>
    <w:rsid w:val="00E0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0259"/>
  <w15:chartTrackingRefBased/>
  <w15:docId w15:val="{A7A03DFF-2C5B-415A-BD0C-4F992477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39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40">
          <w:marLeft w:val="547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501">
          <w:marLeft w:val="547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544">
          <w:marLeft w:val="547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340">
          <w:marLeft w:val="547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0428">
          <w:marLeft w:val="547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446">
          <w:marLeft w:val="547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409">
          <w:marLeft w:val="547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Skylar</dc:creator>
  <cp:keywords/>
  <dc:description/>
  <cp:lastModifiedBy>Skylar Nguyen</cp:lastModifiedBy>
  <cp:revision>31</cp:revision>
  <dcterms:created xsi:type="dcterms:W3CDTF">2025-04-28T15:31:00Z</dcterms:created>
  <dcterms:modified xsi:type="dcterms:W3CDTF">2025-05-08T21:59:00Z</dcterms:modified>
</cp:coreProperties>
</file>