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4"/>
        </w:rPr>
        <w:t xml:space="preserve">AAID — Differentiation &amp; Code-Reduction (spec support + new claims 142–146)</w:t>
      </w:r>
    </w:p>
    <w:p>
      <w:pPr>
        <w:spacing w:before="120" w:after="60"/>
        <w:ind w:left="360"/>
      </w:pPr>
      <w:r>
        <w:t xml:space="preserve">Draft support text for the patent spec (</w:t>
      </w:r>
      <w:r>
        <w:rPr>
          <w:rFonts w:ascii="Consolas" w:hAnsi="Consolas"/>
          <w:sz w:val="19"/>
          <w:shd w:val="clear" w:fill="F2F2F2"/>
        </w:rPr>
        <w:t xml:space="preserve">Draft Spec(151962011.1).docx</w:t>
      </w:r>
      <w:r>
        <w:t xml:space="preserve">) and refined claims.</w:t>
      </w:r>
    </w:p>
    <w:p>
      <w:pPr>
        <w:spacing w:before="120" w:after="60"/>
        <w:ind w:left="360"/>
      </w:pPr>
      <w:r>
        <w:t xml:space="preserve">Extends the AAID block (claims 62–72), the conversion block (95–97), and the</w:t>
      </w:r>
    </w:p>
    <w:p>
      <w:pPr>
        <w:spacing w:before="120" w:after="60"/>
        <w:ind w:left="360"/>
      </w:pPr>
      <w:r>
        <w:t xml:space="preserve">partial-adoption block (98–100). </w:t>
      </w:r>
      <w:r>
        <w:rPr>
          <w:b/>
        </w:rPr>
        <w:t xml:space="preserve">Not legal advice — for patent counsel review.</w:t>
      </w:r>
    </w:p>
    <w:p>
      <w:pPr>
        <w:spacing w:before="120" w:after="60"/>
        <w:ind w:left="360"/>
      </w:pPr>
      <w:r>
        <w:rPr>
          <w:b/>
        </w:rPr>
        <w:t xml:space="preserve">Correction (status).</w:t>
      </w:r>
      <w:r>
        <w:t xml:space="preserve"> An earlier assessment — made before the</w:t>
      </w:r>
    </w:p>
    <w:p>
      <w:pPr>
        <w:spacing w:before="120" w:after="60"/>
        <w:ind w:left="360"/>
      </w:pPr>
      <w:r>
        <w:rPr>
          <w:rFonts w:ascii="Consolas" w:hAnsi="Consolas"/>
          <w:sz w:val="19"/>
          <w:shd w:val="clear" w:fill="F2F2F2"/>
        </w:rPr>
        <w:t xml:space="preserve">Draft Spec(151962011.1).docx</w:t>
      </w:r>
      <w:r>
        <w:t xml:space="preserve"> was available — stated that the AAID /</w:t>
      </w:r>
    </w:p>
    <w:p>
      <w:pPr>
        <w:spacing w:before="120" w:after="60"/>
        <w:ind w:left="360"/>
      </w:pPr>
      <w:r>
        <w:t xml:space="preserve">mode-to-code mapping was *not* claimed and was an "unprotected gap," and that</w:t>
      </w:r>
    </w:p>
    <w:p>
      <w:pPr>
        <w:spacing w:before="120" w:after="60"/>
        <w:ind w:left="360"/>
      </w:pPr>
      <w:r>
        <w:t xml:space="preserve">the </w:t>
      </w:r>
      <w:r>
        <w:rPr>
          <w:rFonts w:ascii="Consolas" w:hAnsi="Consolas"/>
          <w:sz w:val="19"/>
          <w:shd w:val="clear" w:fill="F2F2F2"/>
        </w:rPr>
        <w:t xml:space="preserve">figmaToCode.ts</w:t>
      </w:r>
      <w:r>
        <w:t xml:space="preserve"> reference to "claims 62–72" was unbacked. **That was</w:t>
      </w:r>
    </w:p>
    <w:p>
      <w:pPr>
        <w:spacing w:before="120" w:after="60"/>
        <w:ind w:left="360"/>
      </w:pPr>
      <w:r>
        <w:t xml:space="preserve">incorrect.</w:t>
      </w:r>
      <w:r>
        <w:rPr>
          <w:b/>
        </w:rPr>
        <w:t xml:space="preserve"> Claims </w:t>
      </w:r>
      <w:r>
        <w:t xml:space="preserve">62–72</w:t>
      </w:r>
      <w:r>
        <w:rPr>
          <w:b/>
        </w:rPr>
        <w:t xml:space="preserve"> (the AAID block) and </w:t>
      </w:r>
      <w:r>
        <w:t xml:space="preserve">95–100** (conversion +</w:t>
      </w:r>
    </w:p>
    <w:p>
      <w:pPr>
        <w:spacing w:before="120" w:after="60"/>
        <w:ind w:left="360"/>
      </w:pPr>
      <w:r>
        <w:t xml:space="preserve">partial adoption) already claim the core mechanism: an AI agent generating</w:t>
      </w:r>
    </w:p>
    <w:p>
      <w:pPr>
        <w:spacing w:before="120" w:after="60"/>
        <w:ind w:left="360"/>
      </w:pPr>
      <w:r>
        <w:t xml:space="preserve">design-system code from named components, tokens, and surface context with no</w:t>
      </w:r>
    </w:p>
    <w:p>
      <w:pPr>
        <w:spacing w:before="120" w:after="60"/>
        <w:ind w:left="360"/>
      </w:pPr>
      <w:r>
        <w:t xml:space="preserve">hardcoded visual values, in both directions, without a live server. The</w:t>
      </w:r>
    </w:p>
    <w:p>
      <w:pPr>
        <w:spacing w:before="120" w:after="60"/>
        <w:ind w:left="360"/>
      </w:pPr>
      <w:r>
        <w:rPr>
          <w:rFonts w:ascii="Consolas" w:hAnsi="Consolas"/>
          <w:sz w:val="19"/>
          <w:shd w:val="clear" w:fill="F2F2F2"/>
        </w:rPr>
        <w:t xml:space="preserve">figmaToCode.ts</w:t>
      </w:r>
      <w:r>
        <w:t xml:space="preserve"> reference is accurate. The claims below (142–149) **refine</w:t>
      </w:r>
    </w:p>
    <w:p>
      <w:pPr>
        <w:spacing w:before="120" w:after="60"/>
        <w:ind w:left="360"/>
      </w:pPr>
      <w:r>
        <w:t xml:space="preserve">and extend** that existing, already-claimed mechanism — they do not fill a</w:t>
      </w:r>
    </w:p>
    <w:p>
      <w:pPr>
        <w:spacing w:before="120" w:after="60"/>
        <w:ind w:left="360"/>
      </w:pPr>
      <w:r>
        <w:t xml:space="preserve">void. The novel *additions* here are the single-attribute-pair token bundle</w:t>
      </w:r>
    </w:p>
    <w:p>
      <w:pPr>
        <w:spacing w:before="120" w:after="60"/>
        <w:ind w:left="360"/>
      </w:pPr>
      <w:r>
        <w:t xml:space="preserve">(142), the no-mapping-layer Mode↔data-attribute identity (143), the</w:t>
      </w:r>
    </w:p>
    <w:p>
      <w:pPr>
        <w:spacing w:before="120" w:after="60"/>
        <w:ind w:left="360"/>
      </w:pPr>
      <w:r>
        <w:t xml:space="preserve">enumerated inline-emission prohibitions (144), the quantified code-reduction</w:t>
      </w:r>
    </w:p>
    <w:p>
      <w:pPr>
        <w:spacing w:before="120" w:after="60"/>
        <w:ind w:left="360"/>
      </w:pPr>
      <w:r>
        <w:t xml:space="preserve">factor (145), inline-to-attribute-pair collapse during adoption (146), and the</w:t>
      </w:r>
    </w:p>
    <w:p>
      <w:pPr>
        <w:spacing w:before="120" w:after="60"/>
        <w:ind w:left="360"/>
      </w:pPr>
      <w:r>
        <w:t xml:space="preserve">Auto/explicit suppression + round-trip (148).</w:t>
      </w:r>
    </w:p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sz w:val="28"/>
        </w:rPr>
        <w:t xml:space="preserve">1. How this differs from existing design↔code tools</w:t>
      </w:r>
    </w:p>
    <w:p>
      <w:pPr>
        <w:spacing w:before="120" w:after="60"/>
      </w:pPr>
      <w:r>
        <w:t xml:space="preserve">Existing design-to-code and code-to-design tools for vector design platforms (e.g. design-tool "dev mode" inspectors, and third-party generators) operate by </w:t>
      </w:r>
      <w:r>
        <w:rPr>
          <w:b/>
        </w:rPr>
        <w:t xml:space="preserve">extracting resolved visual values</w:t>
      </w:r>
      <w:r>
        <w:t xml:space="preserve"> from a design — hex/RGB colors, pixel dimensions, per-corner radii, per-layer shadow offsets — and </w:t>
      </w:r>
      <w:r>
        <w:rPr>
          <w:b/>
        </w:rPr>
        <w:t xml:space="preserve">emitting those literal values back out</w:t>
      </w:r>
      <w:r>
        <w:t xml:space="preserve">, either as inline style declarations on each element or as one-off generated class names whose rule bodies contain the literals. The direction of travel does not change the unit of output: in both directions the artifact is </w:t>
      </w:r>
      <w:r>
        <w:rPr>
          <w:b/>
        </w:rPr>
        <w:t xml:space="preserve">a per-property enumeration of resolved values bound to a specific element</w:t>
      </w:r>
      <w:r>
        <w:t xml:space="preserve">.</w:t>
      </w:r>
    </w:p>
    <w:p>
      <w:pPr>
        <w:spacing w:before="120" w:after="60"/>
      </w:pPr>
      <w:r>
        <w:t xml:space="preserve">This produces three structural consequences:</w:t>
      </w:r>
    </w:p>
    <w:p>
      <w:pPr>
        <w:spacing w:before="120" w:after="60"/>
      </w:pPr>
      <w:r>
        <w:t xml:space="preserve">1. </w:t>
      </w:r>
      <w:r>
        <w:rPr>
          <w:b/>
        </w:rPr>
        <w:t xml:space="preserve">Output volume scales with property count × element count.</w:t>
      </w:r>
      <w:r>
        <w:t xml:space="preserve"> Every element    re-states every visual property it uses. 2. </w:t>
      </w:r>
      <w:r>
        <w:rPr>
          <w:b/>
        </w:rPr>
        <w:t xml:space="preserve">The output is brand-frozen.</w:t>
      </w:r>
      <w:r>
        <w:t xml:space="preserve"> Because the values are literals, a later    brand/theme/mode change does not propagate; the generated code must be    re-generated or hand-edited. 3. </w:t>
      </w:r>
      <w:r>
        <w:rPr>
          <w:b/>
        </w:rPr>
        <w:t xml:space="preserve">Accessibility is not guaranteed.</w:t>
      </w:r>
      <w:r>
        <w:t xml:space="preserve"> Literal values carry no contrast or    target-size guarantee; correctness must be re-checked downstream.</w:t>
      </w:r>
    </w:p>
    <w:p>
      <w:pPr>
        <w:spacing w:before="120" w:after="60"/>
      </w:pPr>
      <w:r>
        <w:t xml:space="preserve">The present disclosure differs in the </w:t>
      </w:r>
      <w:r>
        <w:rPr>
          <w:b/>
        </w:rPr>
        <w:t xml:space="preserve">unit of output</w:t>
      </w:r>
      <w:r>
        <w:t xml:space="preserve">. Instead of emitting resolved values, the AI agent (per the AAID, claims 62–72) emits </w:t>
      </w:r>
      <w:r>
        <w:rPr>
          <w:b/>
        </w:rPr>
        <w:t xml:space="preserve">semantic component references plus a small set of named scoping attributes</w:t>
      </w:r>
      <w:r>
        <w:t xml:space="preserve"> — most importantly a </w:t>
      </w:r>
      <w:r>
        <w:rPr>
          <w:b/>
        </w:rPr>
        <w:t xml:space="preserve">(theme, surface) attribute-pair</w:t>
      </w:r>
      <w:r>
        <w:t xml:space="preserve"> — and emits </w:t>
      </w:r>
      <w:r>
        <w:rPr>
          <w:b/>
        </w:rPr>
        <w:t xml:space="preserve">no resolved visual values at all</w:t>
      </w:r>
      <w:r>
        <w:t xml:space="preserve">. The values are supplied later, at render time, by the design system's token cascade.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  <w:shd w:val="clear" w:fill="EEEEEE"/>
          </w:tcPr>
          <w:p>
            <w:pPr>
              <w:spacing w:before="20" w:after="20"/>
            </w:pPr>
            <w:r>
              <w:rPr>
                <w:b/>
              </w:rPr>
              <w:t xml:space="preserve"/>
            </w:r>
          </w:p>
        </w:tc>
        <w:tc>
          <w:tcPr>
            <w:tcW w:w="0" w:type="auto"/>
            <w:shd w:val="clear" w:fill="EEEEEE"/>
          </w:tcPr>
          <w:p>
            <w:pPr>
              <w:spacing w:before="20" w:after="20"/>
            </w:pPr>
            <w:r>
              <w:rPr>
                <w:b/>
              </w:rPr>
              <w:t xml:space="preserve">Prior-art design↔code</w:t>
            </w:r>
          </w:p>
        </w:tc>
        <w:tc>
          <w:tcPr>
            <w:tcW w:w="0" w:type="auto"/>
            <w:shd w:val="clear" w:fill="EEEEEE"/>
          </w:tcPr>
          <w:p>
            <w:pPr>
              <w:spacing w:before="20" w:after="20"/>
            </w:pPr>
            <w:r>
              <w:rPr>
                <w:b/>
              </w:rPr>
              <w:t xml:space="preserve">Present disclosure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Unit of output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per-property literal per element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semantic component + scoping attributes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Color / radius / shadow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inline literals or generated classes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never emitted; resolved by cascade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Output volume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property-count × element-count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~constant per region (one attribute-pair)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Brand/mode change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does not propagate (re-generate)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propagates automatically (token resolves at runtime)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Accessibility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re-check downstream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guaranteed by construction (token architecture)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t xml:space="preserve">Direction symmetry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t xml:space="preserve">needs an ID-mapping layer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</w:rPr>
              <w:t xml:space="preserve">same attribute vocabulary both directions — no mapping layer</w:t>
            </w:r>
          </w:p>
        </w:tc>
      </w:tr>
    </w:tbl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sz w:val="28"/>
        </w:rPr>
        <w:t xml:space="preserve">2. The mechanism that reduces code: one attribute-pair resolves a token bundle</w:t>
      </w:r>
    </w:p>
    <w:p>
      <w:pPr>
        <w:spacing w:before="120" w:after="60"/>
      </w:pPr>
      <w:r>
        <w:t xml:space="preserve">In the design system, a </w:t>
      </w:r>
      <w:r>
        <w:rPr>
          <w:b/>
        </w:rPr>
        <w:t xml:space="preserve">(theme, surface) attribute-pair</w:t>
      </w:r>
      <w:r>
        <w:t xml:space="preserve"> declared on a containing element exposes, through the CSS cascade, a complete, mutually consistent </w:t>
      </w:r>
      <w:r>
        <w:rPr>
          <w:b/>
        </w:rPr>
        <w:t xml:space="preserve">bundle of correlated tokens</w:t>
      </w:r>
      <w:r>
        <w:t xml:space="preserve"> to that element and all of its descendants — without any of those tokens being written by the agent. The bundle includes, for that theme + surface:</w:t>
      </w:r>
    </w:p>
    <w:p>
      <w:pPr>
        <w:spacing w:before="20" w:after="20"/>
        <w:ind w:left="360"/>
      </w:pPr>
      <w:r>
        <w:t xml:space="preserve">•  background (</w:t>
      </w:r>
      <w:r>
        <w:rPr>
          <w:rFonts w:ascii="Consolas" w:hAnsi="Consolas"/>
          <w:sz w:val="19"/>
          <w:shd w:val="clear" w:fill="F2F2F2"/>
        </w:rPr>
        <w:t xml:space="preserve">--Background</w:t>
      </w:r>
      <w:r>
        <w:t xml:space="preserve">)</w:t>
      </w:r>
    </w:p>
    <w:p>
      <w:pPr>
        <w:spacing w:before="20" w:after="20"/>
        <w:ind w:left="360"/>
      </w:pPr>
      <w:r>
        <w:t xml:space="preserve">•  foreground content tokens (</w:t>
      </w:r>
      <w:r>
        <w:rPr>
          <w:rFonts w:ascii="Consolas" w:hAnsi="Consolas"/>
          <w:sz w:val="19"/>
          <w:shd w:val="clear" w:fill="F2F2F2"/>
        </w:rPr>
        <w:t xml:space="preserve">--Text</w:t>
      </w:r>
      <w:r>
        <w:t xml:space="preserve">, </w:t>
      </w:r>
      <w:r>
        <w:rPr>
          <w:rFonts w:ascii="Consolas" w:hAnsi="Consolas"/>
          <w:sz w:val="19"/>
          <w:shd w:val="clear" w:fill="F2F2F2"/>
        </w:rPr>
        <w:t xml:space="preserve">--Quiet</w:t>
      </w:r>
      <w:r>
        <w:t xml:space="preserve">, </w:t>
      </w:r>
      <w:r>
        <w:rPr>
          <w:rFonts w:ascii="Consolas" w:hAnsi="Consolas"/>
          <w:sz w:val="19"/>
          <w:shd w:val="clear" w:fill="F2F2F2"/>
        </w:rPr>
        <w:t xml:space="preserve">--Header</w:t>
      </w:r>
      <w:r>
        <w:t xml:space="preserve">)</w:t>
      </w:r>
    </w:p>
    <w:p>
      <w:pPr>
        <w:spacing w:before="20" w:after="20"/>
        <w:ind w:left="360"/>
      </w:pPr>
      <w:r>
        <w:t xml:space="preserve">•  border tokens (</w:t>
      </w:r>
      <w:r>
        <w:rPr>
          <w:rFonts w:ascii="Consolas" w:hAnsi="Consolas"/>
          <w:sz w:val="19"/>
          <w:shd w:val="clear" w:fill="F2F2F2"/>
        </w:rPr>
        <w:t xml:space="preserve">--Border</w:t>
      </w:r>
      <w:r>
        <w:t xml:space="preserve">, </w:t>
      </w:r>
      <w:r>
        <w:rPr>
          <w:rFonts w:ascii="Consolas" w:hAnsi="Consolas"/>
          <w:sz w:val="19"/>
          <w:shd w:val="clear" w:fill="F2F2F2"/>
        </w:rPr>
        <w:t xml:space="preserve">--Border-Variant</w:t>
      </w:r>
      <w:r>
        <w:t xml:space="preserve">)</w:t>
      </w:r>
    </w:p>
    <w:p>
      <w:pPr>
        <w:spacing w:before="20" w:after="20"/>
        <w:ind w:left="360"/>
      </w:pPr>
      <w:r>
        <w:t xml:space="preserve">•  interaction-state tokens (</w:t>
      </w:r>
      <w:r>
        <w:rPr>
          <w:rFonts w:ascii="Consolas" w:hAnsi="Consolas"/>
          <w:sz w:val="19"/>
          <w:shd w:val="clear" w:fill="F2F2F2"/>
        </w:rPr>
        <w:t xml:space="preserve">--Hover</w:t>
      </w:r>
      <w:r>
        <w:t xml:space="preserve">, </w:t>
      </w:r>
      <w:r>
        <w:rPr>
          <w:rFonts w:ascii="Consolas" w:hAnsi="Consolas"/>
          <w:sz w:val="19"/>
          <w:shd w:val="clear" w:fill="F2F2F2"/>
        </w:rPr>
        <w:t xml:space="preserve">--Active</w:t>
      </w:r>
      <w:r>
        <w:t xml:space="preserve">, </w:t>
      </w:r>
      <w:r>
        <w:rPr>
          <w:rFonts w:ascii="Consolas" w:hAnsi="Consolas"/>
          <w:sz w:val="19"/>
          <w:shd w:val="clear" w:fill="F2F2F2"/>
        </w:rPr>
        <w:t xml:space="preserve">--Focus-Visible</w:t>
      </w:r>
      <w:r>
        <w:t xml:space="preserve">)</w:t>
      </w:r>
    </w:p>
    <w:p>
      <w:pPr>
        <w:spacing w:before="20" w:after="20"/>
        <w:ind w:left="360"/>
      </w:pPr>
      <w:r>
        <w:t xml:space="preserve">•  link tokens (</w:t>
      </w:r>
      <w:r>
        <w:rPr>
          <w:rFonts w:ascii="Consolas" w:hAnsi="Consolas"/>
          <w:sz w:val="19"/>
          <w:shd w:val="clear" w:fill="F2F2F2"/>
        </w:rPr>
        <w:t xml:space="preserve">--Hotlink</w:t>
      </w:r>
      <w:r>
        <w:t xml:space="preserve"> / link, link-hover, link-visited)</w:t>
      </w:r>
    </w:p>
    <w:p>
      <w:pPr>
        <w:spacing w:before="20" w:after="20"/>
        <w:ind w:left="360"/>
      </w:pPr>
      <w:r>
        <w:t xml:space="preserve">•  per-palette button tokens (</w:t>
      </w:r>
      <w:r>
        <w:rPr>
          <w:rFonts w:ascii="Consolas" w:hAnsi="Consolas"/>
          <w:sz w:val="19"/>
          <w:shd w:val="clear" w:fill="F2F2F2"/>
        </w:rPr>
        <w:t xml:space="preserve">--Buttons-&lt;Palette&gt;-Border/Highlight/Lowlight</w:t>
      </w:r>
      <w:r>
        <w:t xml:space="preserve">, etc.)</w:t>
      </w:r>
    </w:p>
    <w:p>
      <w:pPr>
        <w:spacing w:before="20" w:after="20"/>
        <w:ind w:left="360"/>
      </w:pPr>
      <w:r>
        <w:t xml:space="preserve">•  icon and tag tokens</w:t>
      </w:r>
    </w:p>
    <w:p>
      <w:pPr>
        <w:spacing w:before="20" w:after="20"/>
        <w:ind w:left="360"/>
      </w:pPr>
      <w:r>
        <w:t xml:space="preserve">•  the surface-appropriate dropshadow color tokens (</w:t>
      </w:r>
      <w:r>
        <w:rPr>
          <w:rFonts w:ascii="Consolas" w:hAnsi="Consolas"/>
          <w:sz w:val="19"/>
          <w:shd w:val="clear" w:fill="F2F2F2"/>
        </w:rPr>
        <w:t xml:space="preserve">--Dropshadow-Color-1..N</w:t>
      </w:r>
      <w:r>
        <w:t xml:space="preserve">)</w:t>
      </w:r>
    </w:p>
    <w:p>
      <w:pPr>
        <w:spacing w:before="120" w:after="60"/>
      </w:pPr>
      <w:r>
        <w:t xml:space="preserve">A single declaration such as:</w:t>
      </w:r>
    </w:p>
    <w:p>
      <w:pPr>
        <w:spacing w:before="60" w:after="60"/>
        <w:shd w:val="clear" w:fill="F4F4F4"/>
        <w:pBdr>
          <w:top w:val="single" w:sz="4" w:color="DDDDDD"/>
          <w:bottom w:val="single" w:sz="4" w:color="DDDDDD"/>
          <w:left w:val="single" w:sz="4" w:color="DDDDDD"/>
          <w:right w:val="single" w:sz="4" w:color="DDDDDD"/>
        </w:pBdr>
      </w:pPr>
      <w:r>
        <w:rPr>
          <w:rFonts w:ascii="Consolas" w:hAnsi="Consolas"/>
          <w:sz w:val="18"/>
        </w:rPr>
        <w:t xml:space="preserve">&lt;section data-theme="Primary" data-surface="Surface"&gt; … &lt;/section&gt;</w:t>
      </w:r>
    </w:p>
    <w:p>
      <w:pPr>
        <w:spacing w:before="120" w:after="60"/>
      </w:pPr>
      <w:r>
        <w:t xml:space="preserve">therefore </w:t>
      </w:r>
      <w:r>
        <w:rPr>
          <w:b/>
        </w:rPr>
        <w:t xml:space="preserve">selects on the order of fifteen-to-thirty correlated, individually accessibility-verified token values at once</w:t>
      </w:r>
      <w:r>
        <w:t xml:space="preserve">. The per-property-inlined alternative would require the agent to emit each of those values explicitly on each element that consumes it.</w:t>
      </w:r>
    </w:p>
    <w:p>
      <w:pPr>
        <w:spacing w:before="240" w:after="80"/>
      </w:pPr>
      <w:r>
        <w:rPr>
          <w:b/>
          <w:sz w:val="24"/>
        </w:rPr>
        <w:t xml:space="preserve">Worked example (measured against an actual region)</w:t>
      </w:r>
    </w:p>
    <w:p>
      <w:pPr>
        <w:spacing w:before="120" w:after="60"/>
      </w:pPr>
      <w:r>
        <w:t xml:space="preserve">Region: a vertical stack of six elevated tiles (the "Frame 57" elevation demo).</w:t>
      </w:r>
    </w:p>
    <w:p>
      <w:pPr>
        <w:spacing w:before="120" w:after="60"/>
      </w:pPr>
      <w:r>
        <w:rPr>
          <w:b/>
        </w:rPr>
        <w:t xml:space="preserve">Prior-art-style output</w:t>
      </w:r>
      <w:r>
        <w:t xml:space="preserve"> (illustrative), per tile, enumerates: </w:t>
      </w:r>
      <w:r>
        <w:rPr>
          <w:rFonts w:ascii="Consolas" w:hAnsi="Consolas"/>
          <w:sz w:val="19"/>
          <w:shd w:val="clear" w:fill="F2F2F2"/>
        </w:rPr>
        <w:t xml:space="preserve">background</w:t>
      </w:r>
      <w:r>
        <w:t xml:space="preserve">, </w:t>
      </w:r>
      <w:r>
        <w:rPr>
          <w:rFonts w:ascii="Consolas" w:hAnsi="Consolas"/>
          <w:sz w:val="19"/>
          <w:shd w:val="clear" w:fill="F2F2F2"/>
        </w:rPr>
        <w:t xml:space="preserve">color</w:t>
      </w:r>
      <w:r>
        <w:t xml:space="preserve">, </w:t>
      </w:r>
      <w:r>
        <w:rPr>
          <w:rFonts w:ascii="Consolas" w:hAnsi="Consolas"/>
          <w:sz w:val="19"/>
          <w:shd w:val="clear" w:fill="F2F2F2"/>
        </w:rPr>
        <w:t xml:space="preserve">border-color</w:t>
      </w:r>
      <w:r>
        <w:t xml:space="preserve">, and a multi-layer </w:t>
      </w:r>
      <w:r>
        <w:rPr>
          <w:rFonts w:ascii="Consolas" w:hAnsi="Consolas"/>
          <w:sz w:val="19"/>
          <w:shd w:val="clear" w:fill="F2F2F2"/>
        </w:rPr>
        <w:t xml:space="preserve">box-shadow</w:t>
      </w:r>
      <w:r>
        <w:t xml:space="preserve"> (the elevation-5 tile alone is a five-layer shadow, each layer carrying a color literal) — plus the container's own background, text, and border. Across six tiles this is on the order of </w:t>
      </w:r>
      <w:r>
        <w:rPr>
          <w:b/>
        </w:rPr>
        <w:t xml:space="preserve">40–60 literal property declarations</w:t>
      </w:r>
      <w:r>
        <w:t xml:space="preserve">, every one a brand-specific value that freezes on a brand change.</w:t>
      </w:r>
    </w:p>
    <w:p>
      <w:pPr>
        <w:spacing w:before="120" w:after="60"/>
      </w:pPr>
      <w:r>
        <w:rPr>
          <w:b/>
        </w:rPr>
        <w:t xml:space="preserve">Present-disclosure output</w:t>
      </w:r>
      <w:r>
        <w:t xml:space="preserve"> for the same region:</w:t>
      </w:r>
    </w:p>
    <w:p>
      <w:pPr>
        <w:spacing w:before="60" w:after="60"/>
        <w:shd w:val="clear" w:fill="F4F4F4"/>
        <w:pBdr>
          <w:top w:val="single" w:sz="4" w:color="DDDDDD"/>
          <w:bottom w:val="single" w:sz="4" w:color="DDDDDD"/>
          <w:left w:val="single" w:sz="4" w:color="DDDDDD"/>
          <w:right w:val="single" w:sz="4" w:color="DDDDDD"/>
        </w:pBdr>
      </w:pPr>
      <w:r>
        <w:rPr>
          <w:rFonts w:ascii="Consolas" w:hAnsi="Consolas"/>
          <w:sz w:val="18"/>
        </w:rPr>
        <w:t xml:space="preserve">&lt;VStack data-theme="Primary" gap="var(--Sizing-2)"&gt;</w:t>
        <w:br/>
        <w:t xml:space="preserve">  &lt;Box surface="Container" elevation={0}&gt;&lt;Ratio ratio="1:1" /&gt;&lt;/Box&gt;</w:t>
        <w:br/>
        <w:t xml:space="preserve">  &lt;Box surface="Container" elevation={1}&gt;&lt;Ratio ratio="1:1" /&gt;&lt;/Box&gt;</w:t>
        <w:br/>
        <w:t xml:space="preserve">  &lt;Box surface="Container" elevation={2}&gt;&lt;Ratio ratio="1:1" /&gt;&lt;/Box&gt;</w:t>
        <w:br/>
        <w:t xml:space="preserve">  &lt;Box surface="Container" elevation={3}&gt;&lt;Ratio ratio="1:1" /&gt;&lt;/Box&gt;</w:t>
        <w:br/>
        <w:t xml:space="preserve">  &lt;Box surface="Container" elevation={4}&gt;&lt;Ratio ratio="1:1" /&gt;&lt;/Box&gt;</w:t>
        <w:br/>
        <w:t xml:space="preserve">  &lt;Box surface="Container" elevation={5}&gt;&lt;Ratio ratio="1:1" /&gt;&lt;/Box&gt;</w:t>
        <w:br/>
        <w:t xml:space="preserve">&lt;/VStack&gt;</w:t>
      </w:r>
    </w:p>
    <w:p>
      <w:pPr>
        <w:spacing w:before="120" w:after="60"/>
      </w:pPr>
      <w:r>
        <w:t xml:space="preserve">The agent emits </w:t>
      </w:r>
      <w:r>
        <w:rPr>
          <w:b/>
        </w:rPr>
        <w:t xml:space="preserve">one `data-theme` pair on the parent and one `surface` attribute + one `elevation` integer per tile</w:t>
      </w:r>
      <w:r>
        <w:t xml:space="preserve"> — and </w:t>
      </w:r>
      <w:r>
        <w:rPr>
          <w:b/>
        </w:rPr>
        <w:t xml:space="preserve">zero</w:t>
      </w:r>
      <w:r>
        <w:t xml:space="preserve"> color, border, radius, or shadow literals. The five-layer elevation-5 shadow, the per-surface shadow tint, the container background, the foreground tokens — all resolve from the cascade. The output is </w:t>
      </w:r>
      <w:r>
        <w:rPr>
          <w:b/>
        </w:rPr>
        <w:t xml:space="preserve">brand-dynamic</w:t>
      </w:r>
      <w:r>
        <w:t xml:space="preserve"> (a later theme change re-colors it with no code edit) and </w:t>
      </w:r>
      <w:r>
        <w:rPr>
          <w:b/>
        </w:rPr>
        <w:t xml:space="preserve">accessible by construction</w:t>
      </w:r>
      <w:r>
        <w:t xml:space="preserve">.</w:t>
      </w:r>
    </w:p>
    <w:p>
      <w:pPr>
        <w:spacing w:before="120" w:after="60"/>
      </w:pPr>
      <w:r>
        <w:rPr>
          <w:b/>
        </w:rPr>
        <w:t xml:space="preserve">Reduction factor (claim 145).</w:t>
      </w:r>
      <w:r>
        <w:t xml:space="preserve"> Define the reduction as the ratio of *correlated token values resolved* to *scoping declarations emitted*. Here a single </w:t>
      </w:r>
      <w:r>
        <w:rPr>
          <w:rFonts w:ascii="Consolas" w:hAnsi="Consolas"/>
          <w:sz w:val="19"/>
          <w:shd w:val="clear" w:fill="F2F2F2"/>
        </w:rPr>
        <w:t xml:space="preserve">data-theme="Primary" data-surface="Surface"</w:t>
      </w:r>
      <w:r>
        <w:t xml:space="preserve"> resolves ~20 correlated tokens, and the cascade re-uses that same scope for every descendant — so a single parent attribute-pair scopes an entire subtree, and the per-element cost collapses to a single semantic attribute (</w:t>
      </w:r>
      <w:r>
        <w:rPr>
          <w:rFonts w:ascii="Consolas" w:hAnsi="Consolas"/>
          <w:sz w:val="19"/>
          <w:shd w:val="clear" w:fill="F2F2F2"/>
        </w:rPr>
        <w:t xml:space="preserve">surface</w:t>
      </w:r>
      <w:r>
        <w:t xml:space="preserve">) plus an </w:t>
      </w:r>
      <w:r>
        <w:rPr>
          <w:rFonts w:ascii="Consolas" w:hAnsi="Consolas"/>
          <w:sz w:val="19"/>
          <w:shd w:val="clear" w:fill="F2F2F2"/>
        </w:rPr>
        <w:t xml:space="preserve">elevation</w:t>
      </w:r>
      <w:r>
        <w:t xml:space="preserve"> integer. The agent emits </w:t>
      </w:r>
      <w:r>
        <w:rPr>
          <w:b/>
        </w:rPr>
        <w:t xml:space="preserve">one attribute-pair to resolve a plurality of correlated visual tokens</w:t>
      </w:r>
      <w:r>
        <w:t xml:space="preserve">, and the multiplicative saving grows with the number of descendants the scope covers.</w:t>
      </w:r>
    </w:p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sz w:val="28"/>
        </w:rPr>
        <w:t xml:space="preserve">3. Bidirectionality with no mapping layer</w:t>
      </w:r>
    </w:p>
    <w:p>
      <w:pPr>
        <w:spacing w:before="120" w:after="60"/>
      </w:pPr>
      <w:r>
        <w:t xml:space="preserve">Because the </w:t>
      </w:r>
      <w:r>
        <w:rPr>
          <w:b/>
        </w:rPr>
        <w:t xml:space="preserve">same finite attribute-pair vocabulary is used on both the design-tool Mode dimension (Theme / Surface modes) and the CSS data-attribute dimension</w:t>
      </w:r>
      <w:r>
        <w:t xml:space="preserve"> (</w:t>
      </w:r>
      <w:r>
        <w:rPr>
          <w:rFonts w:ascii="Consolas" w:hAnsi="Consolas"/>
          <w:sz w:val="19"/>
          <w:shd w:val="clear" w:fill="F2F2F2"/>
        </w:rPr>
        <w:t xml:space="preserve">data-theme</w:t>
      </w:r>
      <w:r>
        <w:t xml:space="preserve"> / </w:t>
      </w:r>
      <w:r>
        <w:rPr>
          <w:rFonts w:ascii="Consolas" w:hAnsi="Consolas"/>
          <w:sz w:val="19"/>
          <w:shd w:val="clear" w:fill="F2F2F2"/>
        </w:rPr>
        <w:t xml:space="preserve">data-surface</w:t>
      </w:r>
      <w:r>
        <w:t xml:space="preserve">), an agent translating a design-tool layer to a code element — or a code element back to a design-tool layer — does </w:t>
      </w:r>
      <w:r>
        <w:rPr>
          <w:b/>
        </w:rPr>
        <w:t xml:space="preserve">not</w:t>
      </w:r>
      <w:r>
        <w:t xml:space="preserve"> require an intermediate table mapping design-tool Mode identifiers to CSS scoping identifiers. The identifier *is* the same token in both representations. A node whose Theme mode is </w:t>
      </w:r>
      <w:r>
        <w:rPr>
          <w:rFonts w:ascii="Consolas" w:hAnsi="Consolas"/>
          <w:sz w:val="19"/>
          <w:shd w:val="clear" w:fill="F2F2F2"/>
        </w:rPr>
        <w:t xml:space="preserve">Primary</w:t>
      </w:r>
      <w:r>
        <w:t xml:space="preserve"> and whose Surface mode is </w:t>
      </w:r>
      <w:r>
        <w:rPr>
          <w:rFonts w:ascii="Consolas" w:hAnsi="Consolas"/>
          <w:sz w:val="19"/>
          <w:shd w:val="clear" w:fill="F2F2F2"/>
        </w:rPr>
        <w:t xml:space="preserve">Auto</w:t>
      </w:r>
      <w:r>
        <w:t xml:space="preserve"> (inherited) translates directly to </w:t>
      </w:r>
      <w:r>
        <w:rPr>
          <w:rFonts w:ascii="Consolas" w:hAnsi="Consolas"/>
          <w:sz w:val="19"/>
          <w:shd w:val="clear" w:fill="F2F2F2"/>
        </w:rPr>
        <w:t xml:space="preserve">data-theme="Primary"</w:t>
      </w:r>
      <w:r>
        <w:t xml:space="preserve"> with </w:t>
      </w:r>
      <w:r>
        <w:rPr>
          <w:b/>
        </w:rPr>
        <w:t xml:space="preserve">no</w:t>
      </w:r>
      <w:r>
        <w:t xml:space="preserve"> </w:t>
      </w:r>
      <w:r>
        <w:rPr>
          <w:rFonts w:ascii="Consolas" w:hAnsi="Consolas"/>
          <w:sz w:val="19"/>
          <w:shd w:val="clear" w:fill="F2F2F2"/>
        </w:rPr>
        <w:t xml:space="preserve">data-surface</w:t>
      </w:r>
      <w:r>
        <w:t xml:space="preserve"> (because </w:t>
      </w:r>
      <w:r>
        <w:rPr>
          <w:rFonts w:ascii="Consolas" w:hAnsi="Consolas"/>
          <w:sz w:val="19"/>
          <w:shd w:val="clear" w:fill="F2F2F2"/>
        </w:rPr>
        <w:t xml:space="preserve">Auto</w:t>
      </w:r>
      <w:r>
        <w:t xml:space="preserve"> denotes inheritance, the agent suppresses it). This identity is what makes the translation lossless and round-trippable, and is the practical basis for emitting only </w:t>
      </w:r>
      <w:r>
        <w:rPr>
          <w:b/>
        </w:rPr>
        <w:t xml:space="preserve">explicitly-set, non-inherited</w:t>
      </w:r>
      <w:r>
        <w:t xml:space="preserve"> axes.</w:t>
      </w:r>
    </w:p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sz w:val="28"/>
        </w:rPr>
        <w:t xml:space="preserve">4. Partial adoption: collapsing existing inline code into attribute-pairs</w:t>
      </w:r>
    </w:p>
    <w:p>
      <w:pPr>
        <w:spacing w:before="120" w:after="60"/>
      </w:pPr>
      <w:r>
        <w:t xml:space="preserve">For legacy/unmatched components (claims 98–100), the same mechanism runs in reverse as a </w:t>
      </w:r>
      <w:r>
        <w:rPr>
          <w:b/>
        </w:rPr>
        <w:t xml:space="preserve">reduction transform</w:t>
      </w:r>
      <w:r>
        <w:t xml:space="preserve">: when a component's inline style declarations collectively correspond to a known (theme, surface) bundle, the adoption process </w:t>
      </w:r>
      <w:r>
        <w:rPr>
          <w:b/>
        </w:rPr>
        <w:t xml:space="preserve">removes the inline declarations and substitutes a single attribute-pair on a parent element</w:t>
      </w:r>
      <w:r>
        <w:t xml:space="preserve">, collapsing many inline literals into one scoping declaration — converting brand-frozen inline code into brand-dynamic, cascade-resolved code without rewriting the component's structure.</w:t>
      </w:r>
    </w:p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sz w:val="28"/>
        </w:rPr>
        <w:t xml:space="preserve">5. Refined / new claims</w:t>
      </w:r>
    </w:p>
    <w:p>
      <w:pPr>
        <w:spacing w:before="120" w:after="60"/>
        <w:ind w:left="360"/>
      </w:pPr>
      <w:r>
        <w:t xml:space="preserve">Numbering follows the user's draft (142–146); 147–149 are suggested additions.</w:t>
      </w:r>
    </w:p>
    <w:p>
      <w:pPr>
        <w:spacing w:before="120" w:after="60"/>
      </w:pPr>
      <w:r>
        <w:rPr>
          <w:b/>
        </w:rPr>
        <w:t xml:space="preserve">142.</w:t>
      </w:r>
      <w:r>
        <w:t xml:space="preserve"> The AI-agent integration method of claim 62, wherein the token naming-convention document encodes a finite enumerated set of (theme, surface) attribute-pair values addressable by the AI agent, such that a region's complete visual styling — including background, foreground content tokens, border tokens, interaction-state tokens for hover and active, link tokens, and per-palette button tokens — is selectable by a single attribute-pair declaration on a containing element rather than by enumeration of individual style properties.</w:t>
      </w:r>
    </w:p>
    <w:p>
      <w:pPr>
        <w:spacing w:before="120" w:after="60"/>
      </w:pPr>
      <w:r>
        <w:rPr>
          <w:b/>
        </w:rPr>
        <w:t xml:space="preserve">143.</w:t>
      </w:r>
      <w:r>
        <w:t xml:space="preserve"> The integration method of claim 142, wherein the attribute-pair vocabulary is identical between a design-tool Mode dimension and a CSS data-attribute dimension, such that an AI agent translating between a design-tool layer and a corresponding code element does not require a mapping layer between design-tool Mode identifiers and CSS scoping identifiers.</w:t>
      </w:r>
    </w:p>
    <w:p>
      <w:pPr>
        <w:spacing w:before="120" w:after="60"/>
      </w:pPr>
      <w:r>
        <w:rPr>
          <w:b/>
        </w:rPr>
        <w:t xml:space="preserve">144.</w:t>
      </w:r>
      <w:r>
        <w:t xml:space="preserve"> The integration method of claim 62, wherein the AAID explicitly enumerates inline-property emissions prohibited to the AI agent, including without limitation inline color literals, inline RGB or HSL function notations, inline style props specifying color, background-color, or border-color, inline box-shadow and border-radius declarations, and class names containing color literals, such that AI-generated code is structurally prevented from carrying brand-specific visual values that would resist brand updates.</w:t>
      </w:r>
    </w:p>
    <w:p>
      <w:pPr>
        <w:spacing w:before="120" w:after="60"/>
      </w:pPr>
      <w:r>
        <w:rPr>
          <w:b/>
        </w:rPr>
        <w:t xml:space="preserve">145.</w:t>
      </w:r>
      <w:r>
        <w:t xml:space="preserve"> The AI-assisted code-generation method of claim 71, wherein the size of the AI agent's output for a branded user-interface region is reduced relative to a per-property-inlined alternative by a factor corresponding to the number of correlated cascade-resolved token values selected per emitted attribute-pair declaration, such that the AI agent emits a single attribute-pair to resolve a plurality of correlated visual tokens for a containing element and its descendants.</w:t>
      </w:r>
    </w:p>
    <w:p>
      <w:pPr>
        <w:spacing w:before="120" w:after="60"/>
      </w:pPr>
      <w:r>
        <w:rPr>
          <w:b/>
        </w:rPr>
        <w:t xml:space="preserve">146.</w:t>
      </w:r>
      <w:r>
        <w:t xml:space="preserve"> The partial token-adoption method of claim 98, wherein the adoption process detects inline style declarations on a UI component and substitutes the inline declarations with a data-attribute pair declaration on a parent element when the inline values collectively correspond to a known (theme, surface) bundle in the design system, such that one or more inline declarations collapse into a single attribute-pair scoping the component.</w:t>
      </w:r>
    </w:p>
    <w:p>
      <w:pPr>
        <w:spacing w:before="240" w:after="80"/>
      </w:pPr>
      <w:r>
        <w:rPr>
          <w:b/>
          <w:sz w:val="24"/>
        </w:rPr>
        <w:t xml:space="preserve">Suggested additional dependents</w:t>
      </w:r>
    </w:p>
    <w:p>
      <w:pPr>
        <w:spacing w:before="120" w:after="60"/>
      </w:pPr>
      <w:r>
        <w:rPr>
          <w:b/>
        </w:rPr>
        <w:t xml:space="preserve">147.</w:t>
      </w:r>
      <w:r>
        <w:t xml:space="preserve"> The integration method of claim 142, wherein the (theme, surface) bundle includes interaction-state and focus tokens, such that hover, active, and focus-visible appearances are obtained without the AI agent emitting any state-specific style rule, and said state appearances retain verified contrast relationships by construction.</w:t>
      </w:r>
    </w:p>
    <w:p>
      <w:pPr>
        <w:spacing w:before="120" w:after="60"/>
      </w:pPr>
      <w:r>
        <w:rPr>
          <w:b/>
        </w:rPr>
        <w:t xml:space="preserve">148.</w:t>
      </w:r>
      <w:r>
        <w:t xml:space="preserve"> The method of claim 143, wherein an axis of the design-tool Mode dimension carrying an inherited ("auto") value is suppressed from the emitted code element, such that the AI agent emits a scoping attribute only for an axis explicitly assigned a non-inherited mode, and a corresponding code-to-design translation reconstructs the inherited axis from ancestor context without an explicit per-node value.</w:t>
      </w:r>
    </w:p>
    <w:p>
      <w:pPr>
        <w:spacing w:before="120" w:after="60"/>
      </w:pPr>
      <w:r>
        <w:rPr>
          <w:b/>
        </w:rPr>
        <w:t xml:space="preserve">149.</w:t>
      </w:r>
      <w:r>
        <w:t xml:space="preserve"> The method of claim 145, wherein a single attribute-pair declared on an ancestor element scopes the resolved token bundle to a plurality of descendant elements through cascade inheritance, such that the per-element output cost for each descendant is independent of the number of visual properties that descendant consumes.</w:t>
      </w:r>
    </w:p>
    <w:sectPr>
      <w:pgSz w:w="12240" w:h="15840"/>
      <w:pgMar w:top="1440" w:right="1440" w:bottom="1440" w:left="1440"/>
    </w:sectPr>
  </w:body>
</w:document>
</file>