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b/>
          <w:sz w:val="34"/>
        </w:rPr>
        <w:t xml:space="preserve">Plugin Mode-Resolution → AAID — Architecture &amp; Patent Additions</w:t>
      </w:r>
    </w:p>
    <w:p>
      <w:pPr>
        <w:spacing w:before="120" w:after="60"/>
        <w:ind w:left="360"/>
      </w:pPr>
      <w:r>
        <w:t xml:space="preserve">How non-Enterprise users get accurate, low-code design→code without Dev Mode,</w:t>
      </w:r>
    </w:p>
    <w:p>
      <w:pPr>
        <w:spacing w:before="120" w:after="60"/>
        <w:ind w:left="360"/>
      </w:pPr>
      <w:r>
        <w:t xml:space="preserve">Code Connect, or the Enterprise Variables API. Architecture logic + new claims</w:t>
      </w:r>
    </w:p>
    <w:p>
      <w:pPr>
        <w:spacing w:before="120" w:after="60"/>
        <w:ind w:left="360"/>
      </w:pPr>
      <w:r>
        <w:t xml:space="preserve">to add to </w:t>
      </w:r>
      <w:r>
        <w:rPr>
          <w:rFonts w:ascii="Consolas" w:hAnsi="Consolas"/>
          <w:sz w:val="19"/>
          <w:shd w:val="clear" w:fill="F2F2F2"/>
        </w:rPr>
        <w:t xml:space="preserve">Draft Spec(151962011.1).docx</w:t>
      </w:r>
      <w:r>
        <w:t xml:space="preserve">, extending the AAID block (62–72),</w:t>
      </w:r>
    </w:p>
    <w:p>
      <w:pPr>
        <w:spacing w:before="120" w:after="60"/>
        <w:ind w:left="360"/>
      </w:pPr>
      <w:r>
        <w:t xml:space="preserve">the conversion block (95–100), and the code-reduction additions (142–149).</w:t>
      </w:r>
    </w:p>
    <w:p>
      <w:pPr>
        <w:spacing w:before="120" w:after="60"/>
        <w:ind w:left="360"/>
      </w:pPr>
      <w:r>
        <w:rPr>
          <w:b/>
        </w:rPr>
        <w:t xml:space="preserve">Not legal advice — for patent counsel review.</w:t>
      </w:r>
    </w:p>
    <w:p>
      <w:pPr>
        <w:pBdr>
          <w:bottom w:val="single" w:sz="6" w:color="CCCCCC"/>
        </w:pBdr>
      </w:pPr>
    </w:p>
    <w:p>
      <w:pPr>
        <w:spacing w:before="240" w:after="80"/>
      </w:pPr>
      <w:r>
        <w:rPr>
          <w:b/>
          <w:sz w:val="28"/>
        </w:rPr>
        <w:t xml:space="preserve">Part 1 — The logic (architecture)</w:t>
      </w:r>
    </w:p>
    <w:p>
      <w:pPr>
        <w:spacing w:before="240" w:after="80"/>
      </w:pPr>
      <w:r>
        <w:rPr>
          <w:b/>
          <w:sz w:val="24"/>
        </w:rPr>
        <w:t xml:space="preserve">1.1 The problem (background for the spec)</w:t>
      </w:r>
    </w:p>
    <w:p>
      <w:pPr>
        <w:spacing w:before="120" w:after="60"/>
      </w:pPr>
      <w:r>
        <w:t xml:space="preserve">Converting a design-tool frame to design-system code requires knowing each layer's *semantic* settings — which theme, which surface, which elevation, and whether a dimension hugs/fills/is-fixed. On the host platform (Figma) those settings are encoded as </w:t>
      </w:r>
      <w:r>
        <w:rPr>
          <w:b/>
        </w:rPr>
        <w:t xml:space="preserve">variable modes</w:t>
      </w:r>
      <w:r>
        <w:t xml:space="preserve"> and </w:t>
      </w:r>
      <w:r>
        <w:rPr>
          <w:b/>
        </w:rPr>
        <w:t xml:space="preserve">layout-sizing modes</w:t>
      </w:r>
      <w:r>
        <w:t xml:space="preserve">, but they are not reliably available to an AI coding agent:</w:t>
      </w:r>
    </w:p>
    <w:p>
      <w:pPr>
        <w:spacing w:before="120" w:after="60"/>
      </w:pPr>
      <w:r>
        <w:t xml:space="preserve">1. </w:t>
      </w:r>
      <w:r>
        <w:rPr>
          <w:b/>
        </w:rPr>
        <w:t xml:space="preserve">Mode names are gated.</w:t>
      </w:r>
      <w:r>
        <w:t xml:space="preserve"> The REST endpoint that maps mode-IDs to names    (</w:t>
      </w:r>
      <w:r>
        <w:rPr>
          <w:rFonts w:ascii="Consolas" w:hAnsi="Consolas"/>
          <w:sz w:val="19"/>
          <w:shd w:val="clear" w:fill="F2F2F2"/>
        </w:rPr>
        <w:t xml:space="preserve">/v1/files/:key/variables/local</w:t>
      </w:r>
      <w:r>
        <w:t xml:space="preserve">) requires an </w:t>
      </w:r>
      <w:r>
        <w:rPr>
          <w:b/>
        </w:rPr>
        <w:t xml:space="preserve">Enterprise</w:t>
      </w:r>
      <w:r>
        <w:t xml:space="preserve"> plan and a    </w:t>
      </w:r>
      <w:r>
        <w:rPr>
          <w:rFonts w:ascii="Consolas" w:hAnsi="Consolas"/>
          <w:sz w:val="19"/>
          <w:shd w:val="clear" w:fill="F2F2F2"/>
        </w:rPr>
        <w:t xml:space="preserve">file_variables:read</w:t>
      </w:r>
      <w:r>
        <w:t xml:space="preserve"> scope. Most users don't have it. 2. </w:t>
      </w:r>
      <w:r>
        <w:rPr>
          <w:b/>
        </w:rPr>
        <w:t xml:space="preserve">Code Connect requires Dev Mode</w:t>
      </w:r>
      <w:r>
        <w:t xml:space="preserve"> — a paid seat. Excludes free users. 3. </w:t>
      </w:r>
      <w:r>
        <w:rPr>
          <w:b/>
        </w:rPr>
        <w:t xml:space="preserve">Mode *count* is plan-capped</w:t>
      </w:r>
      <w:r>
        <w:t xml:space="preserve"> — Starter ≈ 1, Professional 10, Organization    20, Enterprise 40 per collection. Free files cannot even hold a multi-mode    theme system.</w:t>
      </w:r>
    </w:p>
    <w:p>
      <w:pPr>
        <w:spacing w:before="120" w:after="60"/>
      </w:pPr>
      <w:r>
        <w:t xml:space="preserve">Consequence: an agent reading the frame (raster or REST) must </w:t>
      </w:r>
      <w:r>
        <w:rPr>
          <w:b/>
        </w:rPr>
        <w:t xml:space="preserve">guess</w:t>
      </w:r>
      <w:r>
        <w:t xml:space="preserve"> theme/ surface/sizing from rendered pixels — producing wrong tokens (e.g. a coral fill guessed as "Tertiary" when it is "Primary") and bloated, brand-frozen inline styles.</w:t>
      </w:r>
    </w:p>
    <w:p>
      <w:pPr>
        <w:spacing w:before="240" w:after="80"/>
      </w:pPr>
      <w:r>
        <w:rPr>
          <w:b/>
          <w:sz w:val="24"/>
        </w:rPr>
        <w:t xml:space="preserve">1.2 The method (end to end)</w:t>
      </w:r>
    </w:p>
    <w:p>
      <w:pPr>
        <w:spacing w:before="120" w:after="60"/>
      </w:pPr>
      <w:r>
        <w:t xml:space="preserve">A design-tool </w:t>
      </w:r>
      <w:r>
        <w:rPr>
          <w:b/>
        </w:rPr>
        <w:t xml:space="preserve">plugin</w:t>
      </w:r>
      <w:r>
        <w:t xml:space="preserve"> — which runs inside the editor with </w:t>
      </w:r>
      <w:r>
        <w:rPr>
          <w:b/>
        </w:rPr>
        <w:t xml:space="preserve">standard, non-Enterprise plugin permissions on every plan including free, and without Dev Mode</w:t>
      </w:r>
      <w:r>
        <w:t xml:space="preserve"> — resolves the semantics *locally* and persists them so a non-privileged downstream consumer can read them.</w:t>
      </w:r>
    </w:p>
    <w:p>
      <w:pPr>
        <w:spacing w:before="120" w:after="60"/>
      </w:pPr>
      <w:r>
        <w:rPr>
          <w:b/>
        </w:rPr>
        <w:t xml:space="preserve">A. Resolve (in the plugin, via the Plugin API).</w:t>
      </w:r>
      <w:r>
        <w:t xml:space="preserve"> For each node:</w:t>
      </w:r>
    </w:p>
    <w:p>
      <w:pPr>
        <w:spacing w:before="20" w:after="20"/>
        <w:ind w:left="360"/>
      </w:pPr>
      <w:r>
        <w:t xml:space="preserve">•  </w:t>
      </w:r>
      <w:r>
        <w:rPr>
          <w:rFonts w:ascii="Consolas" w:hAnsi="Consolas"/>
          <w:sz w:val="19"/>
          <w:shd w:val="clear" w:fill="F2F2F2"/>
        </w:rPr>
        <w:t xml:space="preserve">explicitVariableModes</w:t>
      </w:r>
      <w:r>
        <w:t xml:space="preserve"> + the collection's modes → the </w:t>
      </w:r>
      <w:r>
        <w:rPr>
          <w:b/>
        </w:rPr>
        <w:t xml:space="preserve">explicitly-set</w:t>
      </w:r>
      <w:r>
        <w:t xml:space="preserve"> mode</w:t>
      </w:r>
    </w:p>
    <w:p>
      <w:pPr>
        <w:spacing w:before="120" w:after="60"/>
      </w:pPr>
      <w:r>
        <w:t xml:space="preserve">  *names* (Theme=Primary, Surface=Auto, Effects=Level-N);</w:t>
      </w:r>
    </w:p>
    <w:p>
      <w:pPr>
        <w:spacing w:before="20" w:after="20"/>
        <w:ind w:left="360"/>
      </w:pPr>
      <w:r>
        <w:t xml:space="preserve">•  </w:t>
      </w:r>
      <w:r>
        <w:rPr>
          <w:rFonts w:ascii="Consolas" w:hAnsi="Consolas"/>
          <w:sz w:val="19"/>
          <w:shd w:val="clear" w:fill="F2F2F2"/>
        </w:rPr>
        <w:t xml:space="preserve">resolvedVariableModes</w:t>
      </w:r>
      <w:r>
        <w:t xml:space="preserve"> → the </w:t>
      </w:r>
      <w:r>
        <w:rPr>
          <w:b/>
        </w:rPr>
        <w:t xml:space="preserve">effective</w:t>
      </w:r>
      <w:r>
        <w:t xml:space="preserve"> (inherited) value, so inherited</w:t>
      </w:r>
    </w:p>
    <w:p>
      <w:pPr>
        <w:spacing w:before="120" w:after="60"/>
      </w:pPr>
      <w:r>
        <w:t xml:space="preserve">  axes are known without being emitted;</w:t>
      </w:r>
    </w:p>
    <w:p>
      <w:pPr>
        <w:spacing w:before="20" w:after="20"/>
        <w:ind w:left="360"/>
      </w:pPr>
      <w:r>
        <w:t xml:space="preserve">•  </w:t>
      </w:r>
      <w:r>
        <w:rPr>
          <w:rFonts w:ascii="Consolas" w:hAnsi="Consolas"/>
          <w:sz w:val="19"/>
          <w:shd w:val="clear" w:fill="F2F2F2"/>
        </w:rPr>
        <w:t xml:space="preserve">boundVariables</w:t>
      </w:r>
      <w:r>
        <w:t xml:space="preserve"> → the </w:t>
      </w:r>
      <w:r>
        <w:rPr>
          <w:b/>
        </w:rPr>
        <w:t xml:space="preserve">names</w:t>
      </w:r>
      <w:r>
        <w:t xml:space="preserve"> of variables bound to properties (fills, etc.);</w:t>
      </w:r>
    </w:p>
    <w:p>
      <w:pPr>
        <w:spacing w:before="20" w:after="20"/>
        <w:ind w:left="360"/>
      </w:pPr>
      <w:r>
        <w:t xml:space="preserve">•  </w:t>
      </w:r>
      <w:r>
        <w:rPr>
          <w:rFonts w:ascii="Consolas" w:hAnsi="Consolas"/>
          <w:sz w:val="19"/>
          <w:shd w:val="clear" w:fill="F2F2F2"/>
        </w:rPr>
        <w:t xml:space="preserve">layoutSizingHorizontal</w:t>
      </w:r>
      <w:r>
        <w:t xml:space="preserve"> / </w:t>
      </w:r>
      <w:r>
        <w:rPr>
          <w:rFonts w:ascii="Consolas" w:hAnsi="Consolas"/>
          <w:sz w:val="19"/>
          <w:shd w:val="clear" w:fill="F2F2F2"/>
        </w:rPr>
        <w:t xml:space="preserve">layoutSizingVertical</w:t>
      </w:r>
      <w:r>
        <w:t xml:space="preserve"> → </w:t>
      </w:r>
      <w:r>
        <w:rPr>
          <w:b/>
        </w:rPr>
        <w:t xml:space="preserve">HUG / FILL / FIXED</w:t>
      </w:r>
      <w:r>
        <w:t xml:space="preserve">;</w:t>
      </w:r>
    </w:p>
    <w:p>
      <w:pPr>
        <w:spacing w:before="20" w:after="20"/>
        <w:ind w:left="360"/>
      </w:pPr>
      <w:r>
        <w:t xml:space="preserve">•  </w:t>
      </w:r>
      <w:r>
        <w:rPr>
          <w:rFonts w:ascii="Consolas" w:hAnsi="Consolas"/>
          <w:sz w:val="19"/>
          <w:shd w:val="clear" w:fill="F2F2F2"/>
        </w:rPr>
        <w:t xml:space="preserve">componentProperties</w:t>
      </w:r>
      <w:r>
        <w:t xml:space="preserve"> / </w:t>
      </w:r>
      <w:r>
        <w:rPr>
          <w:rFonts w:ascii="Consolas" w:hAnsi="Consolas"/>
          <w:sz w:val="19"/>
          <w:shd w:val="clear" w:fill="F2F2F2"/>
        </w:rPr>
        <w:t xml:space="preserve">variantProperties</w:t>
      </w:r>
      <w:r>
        <w:t xml:space="preserve"> → instance semantics (elevation</w:t>
      </w:r>
    </w:p>
    <w:p>
      <w:pPr>
        <w:spacing w:before="120" w:after="60"/>
      </w:pPr>
      <w:r>
        <w:t xml:space="preserve">  Level, Ratio fit, etc.).</w:t>
      </w:r>
    </w:p>
    <w:p>
      <w:pPr>
        <w:spacing w:before="120" w:after="60"/>
      </w:pPr>
      <w:r>
        <w:rPr>
          <w:b/>
        </w:rPr>
        <w:t xml:space="preserve">B. Persist ("Prep File for AI Coding").</w:t>
      </w:r>
      <w:r>
        <w:t xml:space="preserve"> The plugin walks the selection (or page), and for each node:</w:t>
      </w:r>
    </w:p>
    <w:p>
      <w:pPr>
        <w:spacing w:before="20" w:after="20"/>
        <w:ind w:left="360"/>
      </w:pPr>
      <w:r>
        <w:t xml:space="preserve">•  writes the resolved values as </w:t>
      </w:r>
      <w:r>
        <w:rPr>
          <w:b/>
        </w:rPr>
        <w:t xml:space="preserve">shared plugin metadata</w:t>
      </w:r>
      <w:r>
        <w:t xml:space="preserve"> on the node</w:t>
      </w:r>
    </w:p>
    <w:p>
      <w:pPr>
        <w:spacing w:before="120" w:after="60"/>
      </w:pPr>
      <w:r>
        <w:t xml:space="preserve">  (</w:t>
      </w:r>
      <w:r>
        <w:rPr>
          <w:rFonts w:ascii="Consolas" w:hAnsi="Consolas"/>
          <w:sz w:val="19"/>
          <w:shd w:val="clear" w:fill="F2F2F2"/>
        </w:rPr>
        <w:t xml:space="preserve">setSharedPluginData(namespace, key, json)</w:t>
      </w:r>
      <w:r>
        <w:t xml:space="preserve">) — a hidden, render-free note;</w:t>
      </w:r>
    </w:p>
    <w:p>
      <w:pPr>
        <w:spacing w:before="20" w:after="20"/>
        <w:ind w:left="360"/>
      </w:pPr>
      <w:r>
        <w:t xml:space="preserve">•  </w:t>
      </w:r>
      <w:r>
        <w:rPr>
          <w:b/>
        </w:rPr>
        <w:t xml:space="preserve">suppresses inherited ("Auto") axes</w:t>
      </w:r>
      <w:r>
        <w:t xml:space="preserve"> — it persists only explicitly-set axes</w:t>
      </w:r>
    </w:p>
    <w:p>
      <w:pPr>
        <w:spacing w:before="120" w:after="60"/>
      </w:pPr>
      <w:r>
        <w:t xml:space="preserve">  plus the resolved effective value, so the downstream emitter omits inherited   attributes (inheritance is reconstructed from ancestors);</w:t>
      </w:r>
    </w:p>
    <w:p>
      <w:pPr>
        <w:spacing w:before="20" w:after="20"/>
        <w:ind w:left="360"/>
      </w:pPr>
      <w:r>
        <w:t xml:space="preserve">•  clears prior notes before writing (idempotent re-runs);</w:t>
      </w:r>
    </w:p>
    <w:p>
      <w:pPr>
        <w:spacing w:before="20" w:after="20"/>
        <w:ind w:left="360"/>
      </w:pPr>
      <w:r>
        <w:t xml:space="preserve">•  optionally </w:t>
      </w:r>
      <w:r>
        <w:rPr>
          <w:b/>
        </w:rPr>
        <w:t xml:space="preserve">copies a paste-ready payload</w:t>
      </w:r>
      <w:r>
        <w:t xml:space="preserve"> (the enriched node tree + a</w:t>
      </w:r>
    </w:p>
    <w:p>
      <w:pPr>
        <w:spacing w:before="120" w:after="60"/>
      </w:pPr>
      <w:r>
        <w:t xml:space="preserve">  reference to the AAID) and/or the shareable file link.</w:t>
      </w:r>
    </w:p>
    <w:p>
      <w:pPr>
        <w:spacing w:before="120" w:after="60"/>
      </w:pPr>
      <w:r>
        <w:rPr>
          <w:b/>
        </w:rPr>
        <w:t xml:space="preserve">C. Consume (two paths).</w:t>
      </w:r>
    </w:p>
    <w:p>
      <w:pPr>
        <w:spacing w:before="20" w:after="20"/>
        <w:ind w:left="360"/>
      </w:pPr>
      <w:r>
        <w:t xml:space="preserve">•  </w:t>
      </w:r>
      <w:r>
        <w:rPr>
          <w:b/>
        </w:rPr>
        <w:t xml:space="preserve">REST path (token-holding consumer, e.g. the tuning workbench):</w:t>
      </w:r>
      <w:r>
        <w:t xml:space="preserve"> fetch the</w:t>
      </w:r>
    </w:p>
    <w:p>
      <w:pPr>
        <w:spacing w:before="120" w:after="60"/>
      </w:pPr>
      <w:r>
        <w:t xml:space="preserve">  node with the </w:t>
      </w:r>
      <w:r>
        <w:rPr>
          <w:b/>
        </w:rPr>
        <w:t xml:space="preserve">shared-plugin-data parameter</w:t>
      </w:r>
      <w:r>
        <w:t xml:space="preserve"> (</w:t>
      </w:r>
      <w:r>
        <w:rPr>
          <w:rFonts w:ascii="Consolas" w:hAnsi="Consolas"/>
          <w:sz w:val="19"/>
          <w:shd w:val="clear" w:fill="F2F2F2"/>
        </w:rPr>
        <w:t xml:space="preserve">?plugin_data=shared</w:t>
      </w:r>
      <w:r>
        <w:t xml:space="preserve">); the   response now carries the resolved notes; the converter emits code   deterministically — no guessing.</w:t>
      </w:r>
    </w:p>
    <w:p>
      <w:pPr>
        <w:spacing w:before="20" w:after="20"/>
        <w:ind w:left="360"/>
      </w:pPr>
      <w:r>
        <w:t xml:space="preserve">•  </w:t>
      </w:r>
      <w:r>
        <w:rPr>
          <w:b/>
        </w:rPr>
        <w:t xml:space="preserve">Static-artifact path (end-user AI client):</w:t>
      </w:r>
      <w:r>
        <w:t xml:space="preserve"> the user pastes the enriched</w:t>
      </w:r>
    </w:p>
    <w:p>
      <w:pPr>
        <w:spacing w:before="120" w:after="60"/>
      </w:pPr>
      <w:r>
        <w:t xml:space="preserve">  payload + is given the </w:t>
      </w:r>
      <w:r>
        <w:rPr>
          <w:b/>
        </w:rPr>
        <w:t xml:space="preserve">AAID</w:t>
      </w:r>
      <w:r>
        <w:t xml:space="preserve"> (the static naming-convention/rules document,   per claim 62) as context; the agent emits design-system code with </w:t>
      </w:r>
      <w:r>
        <w:rPr>
          <w:b/>
        </w:rPr>
        <w:t xml:space="preserve">no live   server</w:t>
      </w:r>
      <w:r>
        <w:t xml:space="preserve"> — consistent with the AAID's "avoid live MCP infrastructure" design.</w:t>
      </w:r>
    </w:p>
    <w:p>
      <w:pPr>
        <w:spacing w:before="120" w:after="60"/>
      </w:pPr>
      <w:r>
        <w:rPr>
          <w:b/>
        </w:rPr>
        <w:t xml:space="preserve">D. Render.</w:t>
      </w:r>
      <w:r>
        <w:t xml:space="preserve"> Theme/surface are applied in code through the </w:t>
      </w:r>
      <w:r>
        <w:rPr>
          <w:b/>
        </w:rPr>
        <w:t xml:space="preserve">data-attribute cascade</w:t>
      </w:r>
      <w:r>
        <w:t xml:space="preserve"> (</w:t>
      </w:r>
      <w:r>
        <w:rPr>
          <w:rFonts w:ascii="Consolas" w:hAnsi="Consolas"/>
          <w:sz w:val="19"/>
          <w:shd w:val="clear" w:fill="F2F2F2"/>
        </w:rPr>
        <w:t xml:space="preserve">data-theme</w:t>
      </w:r>
      <w:r>
        <w:t xml:space="preserve"> / </w:t>
      </w:r>
      <w:r>
        <w:rPr>
          <w:rFonts w:ascii="Consolas" w:hAnsi="Consolas"/>
          <w:sz w:val="19"/>
          <w:shd w:val="clear" w:fill="F2F2F2"/>
        </w:rPr>
        <w:t xml:space="preserve">data-surface</w:t>
      </w:r>
      <w:r>
        <w:t xml:space="preserve">), not through host-platform variable modes — so theme switching works at runtime </w:t>
      </w:r>
      <w:r>
        <w:rPr>
          <w:b/>
        </w:rPr>
        <w:t xml:space="preserve">independent of the platform's per-plan mode cap</w:t>
      </w:r>
      <w:r>
        <w:t xml:space="preserve">.</w:t>
      </w:r>
    </w:p>
    <w:p>
      <w:pPr>
        <w:spacing w:before="240" w:after="80"/>
      </w:pPr>
      <w:r>
        <w:rPr>
          <w:b/>
          <w:sz w:val="24"/>
        </w:rPr>
        <w:t xml:space="preserve">1.3 Free-tier fallback</w:t>
      </w:r>
    </w:p>
    <w:p>
      <w:pPr>
        <w:spacing w:before="120" w:after="60"/>
      </w:pPr>
      <w:r>
        <w:t xml:space="preserve">For a Starter file limited to a single mode, the design carries </w:t>
      </w:r>
      <w:r>
        <w:rPr>
          <w:b/>
        </w:rPr>
        <w:t xml:space="preserve">one mode</w:t>
      </w:r>
      <w:r>
        <w:t xml:space="preserve"> (the user's chosen theme); the plugin still stamps the </w:t>
      </w:r>
      <w:r>
        <w:rPr>
          <w:b/>
        </w:rPr>
        <w:t xml:space="preserve">resolved</w:t>
      </w:r>
      <w:r>
        <w:t xml:space="preserve"> theme/ surface, and the code cascade themes correctly. The user loses in-editor multi-mode switching but keeps full, accurate design→code — so the capability is </w:t>
      </w:r>
      <w:r>
        <w:rPr>
          <w:b/>
        </w:rPr>
        <w:t xml:space="preserve">available on every plan</w:t>
      </w:r>
      <w:r>
        <w:t xml:space="preserve">.</w:t>
      </w:r>
    </w:p>
    <w:p>
      <w:pPr>
        <w:spacing w:before="240" w:after="80"/>
      </w:pPr>
      <w:r>
        <w:rPr>
          <w:b/>
          <w:sz w:val="24"/>
        </w:rPr>
        <w:t xml:space="preserve">1.4 Why it's novel / the value</w:t>
      </w:r>
    </w:p>
    <w:p>
      <w:pPr>
        <w:spacing w:before="20" w:after="20"/>
        <w:ind w:left="360"/>
      </w:pPr>
      <w:r>
        <w:t xml:space="preserve">•  </w:t>
      </w:r>
      <w:r>
        <w:rPr>
          <w:b/>
        </w:rPr>
        <w:t xml:space="preserve">Local resolution bypasses the Enterprise gate</w:t>
      </w:r>
      <w:r>
        <w:t xml:space="preserve"> — mode *names* obtained</w:t>
      </w:r>
    </w:p>
    <w:p>
      <w:pPr>
        <w:spacing w:before="120" w:after="60"/>
      </w:pPr>
      <w:r>
        <w:t xml:space="preserve">  through the plugin API, persisted as shared metadata a non-privileged REST   consumer can read, so accurate modes reach the agent with </w:t>
      </w:r>
      <w:r>
        <w:rPr>
          <w:b/>
        </w:rPr>
        <w:t xml:space="preserve">no Enterprise plan   and no Dev Mode</w:t>
      </w:r>
      <w:r>
        <w:t xml:space="preserve">.</w:t>
      </w:r>
    </w:p>
    <w:p>
      <w:pPr>
        <w:spacing w:before="20" w:after="20"/>
        <w:ind w:left="360"/>
      </w:pPr>
      <w:r>
        <w:t xml:space="preserve">•  </w:t>
      </w:r>
      <w:r>
        <w:rPr>
          <w:b/>
        </w:rPr>
        <w:t xml:space="preserve">Auto-suppression</w:t>
      </w:r>
      <w:r>
        <w:t xml:space="preserve"> → minimal, inheritance-correct output.</w:t>
      </w:r>
    </w:p>
    <w:p>
      <w:pPr>
        <w:spacing w:before="20" w:after="20"/>
        <w:ind w:left="360"/>
      </w:pPr>
      <w:r>
        <w:t xml:space="preserve">•  </w:t>
      </w:r>
      <w:r>
        <w:rPr>
          <w:b/>
        </w:rPr>
        <w:t xml:space="preserve">Deterministic, not heuristic</w:t>
      </w:r>
      <w:r>
        <w:t xml:space="preserve"> → eliminates the fill-color-guessing error.</w:t>
      </w:r>
    </w:p>
    <w:p>
      <w:pPr>
        <w:spacing w:before="20" w:after="20"/>
        <w:ind w:left="360"/>
      </w:pPr>
      <w:r>
        <w:t xml:space="preserve">•  Feeds the </w:t>
      </w:r>
      <w:r>
        <w:rPr>
          <w:b/>
        </w:rPr>
        <w:t xml:space="preserve">one-attribute-pair → token-bundle</w:t>
      </w:r>
      <w:r>
        <w:t xml:space="preserve"> reduction (claims 142–149).</w:t>
      </w:r>
    </w:p>
    <w:p>
      <w:pPr>
        <w:spacing w:before="60" w:after="60"/>
        <w:shd w:val="clear" w:fill="F4F4F4"/>
        <w:pBdr>
          <w:top w:val="single" w:sz="4" w:color="DDDDDD"/>
          <w:bottom w:val="single" w:sz="4" w:color="DDDDDD"/>
          <w:left w:val="single" w:sz="4" w:color="DDDDDD"/>
          <w:right w:val="single" w:sz="4" w:color="DDDDDD"/>
        </w:pBdr>
      </w:pPr>
      <w:r>
        <w:rPr>
          <w:rFonts w:ascii="Consolas" w:hAnsi="Consolas"/>
          <w:sz w:val="18"/>
        </w:rPr>
        <w:t xml:space="preserve">Plugin (any plan, no Dev Mode)</w:t>
        <w:br/>
        <w:t xml:space="preserve">  └─ resolve modes/sizing/variants to NAMES (Plugin API)</w:t>
        <w:br/>
        <w:t xml:space="preserve">  └─ stamp nodes (shared plugin data, Auto suppressed)        ── "Prep File for AI Coding"</w:t>
        <w:br/>
        <w:t xml:space="preserve">        │</w:t>
        <w:br/>
        <w:t xml:space="preserve">        ├─ REST consumer: GET …/nodes?plugin_data=shared ─→ converter ─→ code (deterministic)</w:t>
        <w:br/>
        <w:t xml:space="preserve">        └─ AI client: paste enriched payload + AAID (static) ─→ code (no live server)</w:t>
        <w:br/>
        <w:t xml:space="preserve">                                                                   │</w:t>
        <w:br/>
        <w:t xml:space="preserve">                                                   runtime: data-theme/data-surface cascade</w:t>
      </w:r>
    </w:p>
    <w:p>
      <w:pPr>
        <w:pBdr>
          <w:bottom w:val="single" w:sz="6" w:color="CCCCCC"/>
        </w:pBdr>
      </w:pPr>
    </w:p>
    <w:p>
      <w:pPr>
        <w:spacing w:before="240" w:after="80"/>
      </w:pPr>
      <w:r>
        <w:rPr>
          <w:b/>
          <w:sz w:val="28"/>
        </w:rPr>
        <w:t xml:space="preserve">Part 2 — Claims to add</w:t>
      </w:r>
    </w:p>
    <w:p>
      <w:pPr>
        <w:spacing w:before="120" w:after="60"/>
        <w:ind w:left="360"/>
      </w:pPr>
      <w:r>
        <w:t xml:space="preserve">Style/numbering follow the spec; 150–158 extend the AAID block (62–72), the</w:t>
      </w:r>
    </w:p>
    <w:p>
      <w:pPr>
        <w:spacing w:before="120" w:after="60"/>
        <w:ind w:left="360"/>
      </w:pPr>
      <w:r>
        <w:t xml:space="preserve">conversion/adoption block (95–100), and the code-reduction additions (142–149).</w:t>
      </w:r>
    </w:p>
    <w:p>
      <w:pPr>
        <w:spacing w:before="240" w:after="80"/>
      </w:pPr>
      <w:r>
        <w:rPr>
          <w:b/>
          <w:sz w:val="24"/>
        </w:rPr>
        <w:t xml:space="preserve">Summary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shd w:val="clear" w:fill="EEEEEE"/>
          </w:tcPr>
          <w:p>
            <w:pPr>
              <w:spacing w:before="20" w:after="20"/>
            </w:pPr>
            <w:r>
              <w:rPr>
                <w:b/>
              </w:rPr>
              <w:t xml:space="preserve">#</w:t>
            </w:r>
          </w:p>
        </w:tc>
        <w:tc>
          <w:tcPr>
            <w:tcW w:w="0" w:type="auto"/>
            <w:shd w:val="clear" w:fill="EEEEEE"/>
          </w:tcPr>
          <w:p>
            <w:pPr>
              <w:spacing w:before="20" w:after="20"/>
            </w:pPr>
            <w:r>
              <w:rPr>
                <w:b/>
              </w:rPr>
              <w:t xml:space="preserve">Type</w:t>
            </w:r>
          </w:p>
        </w:tc>
        <w:tc>
          <w:tcPr>
            <w:tcW w:w="0" w:type="auto"/>
            <w:shd w:val="clear" w:fill="EEEEEE"/>
          </w:tcPr>
          <w:p>
            <w:pPr>
              <w:spacing w:before="20" w:after="20"/>
            </w:pPr>
            <w:r>
              <w:rPr>
                <w:b/>
              </w:rPr>
              <w:t xml:space="preserve">Claim</w:t>
            </w:r>
          </w:p>
        </w:tc>
        <w:tc>
          <w:tcPr>
            <w:tcW w:w="0" w:type="auto"/>
            <w:shd w:val="clear" w:fill="EEEEEE"/>
          </w:tcPr>
          <w:p>
            <w:pPr>
              <w:spacing w:before="20" w:after="20"/>
            </w:pPr>
            <w:r>
              <w:rPr>
                <w:b/>
              </w:rPr>
              <w:t xml:space="preserve">Anchor</w:t>
            </w:r>
          </w:p>
        </w:tc>
      </w:tr>
      <w:tr>
        <w:tc>
          <w:tcPr>
            <w:tcW w:w="0" w:type="auto"/>
          </w:tcPr>
          <w:p>
            <w:pPr>
              <w:spacing w:before="20" w:after="20"/>
            </w:pPr>
            <w:r>
              <w:t xml:space="preserve">150</w:t>
            </w:r>
          </w:p>
        </w:tc>
        <w:tc>
          <w:tcPr>
            <w:tcW w:w="0" w:type="auto"/>
          </w:tcPr>
          <w:p>
            <w:pPr>
              <w:spacing w:before="20" w:after="20"/>
            </w:pPr>
            <w:r>
              <w:t xml:space="preserve">independent</w:t>
            </w:r>
          </w:p>
        </w:tc>
        <w:tc>
          <w:tcPr>
            <w:tcW w:w="0" w:type="auto"/>
          </w:tcPr>
          <w:p>
            <w:pPr>
              <w:spacing w:before="20" w:after="20"/>
            </w:pPr>
            <w:r>
              <w:t xml:space="preserve">Plugin resolves modes/sizing to names locally and persists them as shared node metadata a non-privileged consumer can read</w:t>
            </w:r>
          </w:p>
        </w:tc>
        <w:tc>
          <w:tcPr>
            <w:tcW w:w="0" w:type="auto"/>
          </w:tcPr>
          <w:p>
            <w:pPr>
              <w:spacing w:before="20" w:after="20"/>
            </w:pPr>
            <w:r>
              <w:t xml:space="preserve">new</w:t>
            </w:r>
          </w:p>
        </w:tc>
      </w:tr>
      <w:tr>
        <w:tc>
          <w:tcPr>
            <w:tcW w:w="0" w:type="auto"/>
          </w:tcPr>
          <w:p>
            <w:pPr>
              <w:spacing w:before="20" w:after="20"/>
            </w:pPr>
            <w:r>
              <w:t xml:space="preserve">151</w:t>
            </w:r>
          </w:p>
        </w:tc>
        <w:tc>
          <w:tcPr>
            <w:tcW w:w="0" w:type="auto"/>
          </w:tcPr>
          <w:p>
            <w:pPr>
              <w:spacing w:before="20" w:after="20"/>
            </w:pPr>
            <w:r>
              <w:t xml:space="preserve">dependent</w:t>
            </w:r>
          </w:p>
        </w:tc>
        <w:tc>
          <w:tcPr>
            <w:tcW w:w="0" w:type="auto"/>
          </w:tcPr>
          <w:p>
            <w:pPr>
              <w:spacing w:before="20" w:after="20"/>
            </w:pPr>
            <w:r>
              <w:t xml:space="preserve">Suppress inherited (Auto) axes; persist only explicit + resolved effective value</w:t>
            </w:r>
          </w:p>
        </w:tc>
        <w:tc>
          <w:tcPr>
            <w:tcW w:w="0" w:type="auto"/>
          </w:tcPr>
          <w:p>
            <w:pPr>
              <w:spacing w:before="20" w:after="20"/>
            </w:pPr>
            <w:r>
              <w:t xml:space="preserve">150</w:t>
            </w:r>
          </w:p>
        </w:tc>
      </w:tr>
      <w:tr>
        <w:tc>
          <w:tcPr>
            <w:tcW w:w="0" w:type="auto"/>
          </w:tcPr>
          <w:p>
            <w:pPr>
              <w:spacing w:before="20" w:after="20"/>
            </w:pPr>
            <w:r>
              <w:t xml:space="preserve">152</w:t>
            </w:r>
          </w:p>
        </w:tc>
        <w:tc>
          <w:tcPr>
            <w:tcW w:w="0" w:type="auto"/>
          </w:tcPr>
          <w:p>
            <w:pPr>
              <w:spacing w:before="20" w:after="20"/>
            </w:pPr>
            <w:r>
              <w:t xml:space="preserve">dependent</w:t>
            </w:r>
          </w:p>
        </w:tc>
        <w:tc>
          <w:tcPr>
            <w:tcW w:w="0" w:type="auto"/>
          </w:tcPr>
          <w:p>
            <w:pPr>
              <w:spacing w:before="20" w:after="20"/>
            </w:pPr>
            <w:r>
              <w:t xml:space="preserve">Also persist HUG/FILL/FIXED sizing and instance variant props (elevation level)</w:t>
            </w:r>
          </w:p>
        </w:tc>
        <w:tc>
          <w:tcPr>
            <w:tcW w:w="0" w:type="auto"/>
          </w:tcPr>
          <w:p>
            <w:pPr>
              <w:spacing w:before="20" w:after="20"/>
            </w:pPr>
            <w:r>
              <w:t xml:space="preserve">150</w:t>
            </w:r>
          </w:p>
        </w:tc>
      </w:tr>
      <w:tr>
        <w:tc>
          <w:tcPr>
            <w:tcW w:w="0" w:type="auto"/>
          </w:tcPr>
          <w:p>
            <w:pPr>
              <w:spacing w:before="20" w:after="20"/>
            </w:pPr>
            <w:r>
              <w:t xml:space="preserve">153</w:t>
            </w:r>
          </w:p>
        </w:tc>
        <w:tc>
          <w:tcPr>
            <w:tcW w:w="0" w:type="auto"/>
          </w:tcPr>
          <w:p>
            <w:pPr>
              <w:spacing w:before="20" w:after="20"/>
            </w:pPr>
            <w:r>
              <w:t xml:space="preserve">dependent</w:t>
            </w:r>
          </w:p>
        </w:tc>
        <w:tc>
          <w:tcPr>
            <w:tcW w:w="0" w:type="auto"/>
          </w:tcPr>
          <w:p>
            <w:pPr>
              <w:spacing w:before="20" w:after="20"/>
            </w:pPr>
            <w:r>
              <w:t xml:space="preserve">Persist bound-variable names, not opaque IDs</w:t>
            </w:r>
          </w:p>
        </w:tc>
        <w:tc>
          <w:tcPr>
            <w:tcW w:w="0" w:type="auto"/>
          </w:tcPr>
          <w:p>
            <w:pPr>
              <w:spacing w:before="20" w:after="20"/>
            </w:pPr>
            <w:r>
              <w:t xml:space="preserve">150</w:t>
            </w:r>
          </w:p>
        </w:tc>
      </w:tr>
      <w:tr>
        <w:tc>
          <w:tcPr>
            <w:tcW w:w="0" w:type="auto"/>
          </w:tcPr>
          <w:p>
            <w:pPr>
              <w:spacing w:before="20" w:after="20"/>
            </w:pPr>
            <w:r>
              <w:t xml:space="preserve">154</w:t>
            </w:r>
          </w:p>
        </w:tc>
        <w:tc>
          <w:tcPr>
            <w:tcW w:w="0" w:type="auto"/>
          </w:tcPr>
          <w:p>
            <w:pPr>
              <w:spacing w:before="20" w:after="20"/>
            </w:pPr>
            <w:r>
              <w:t xml:space="preserve">independent</w:t>
            </w:r>
          </w:p>
        </w:tc>
        <w:tc>
          <w:tcPr>
            <w:tcW w:w="0" w:type="auto"/>
          </w:tcPr>
          <w:p>
            <w:pPr>
              <w:spacing w:before="20" w:after="20"/>
            </w:pPr>
            <w:r>
              <w:t xml:space="preserve">Recover stamps via the shared-plugin-data API parameter; prefer them over appearance inference</w:t>
            </w:r>
          </w:p>
        </w:tc>
        <w:tc>
          <w:tcPr>
            <w:tcW w:w="0" w:type="auto"/>
          </w:tcPr>
          <w:p>
            <w:pPr>
              <w:spacing w:before="20" w:after="20"/>
            </w:pPr>
            <w:r>
              <w:t xml:space="preserve">new</w:t>
            </w:r>
          </w:p>
        </w:tc>
      </w:tr>
      <w:tr>
        <w:tc>
          <w:tcPr>
            <w:tcW w:w="0" w:type="auto"/>
          </w:tcPr>
          <w:p>
            <w:pPr>
              <w:spacing w:before="20" w:after="20"/>
            </w:pPr>
            <w:r>
              <w:t xml:space="preserve">155</w:t>
            </w:r>
          </w:p>
        </w:tc>
        <w:tc>
          <w:tcPr>
            <w:tcW w:w="0" w:type="auto"/>
          </w:tcPr>
          <w:p>
            <w:pPr>
              <w:spacing w:before="20" w:after="20"/>
            </w:pPr>
            <w:r>
              <w:t xml:space="preserve">dependent</w:t>
            </w:r>
          </w:p>
        </w:tc>
        <w:tc>
          <w:tcPr>
            <w:tcW w:w="0" w:type="auto"/>
          </w:tcPr>
          <w:p>
            <w:pPr>
              <w:spacing w:before="20" w:after="20"/>
            </w:pPr>
            <w:r>
              <w:t xml:space="preserve">Fallback: match resolved fill to the theme whose background token equals it</w:t>
            </w:r>
          </w:p>
        </w:tc>
        <w:tc>
          <w:tcPr>
            <w:tcW w:w="0" w:type="auto"/>
          </w:tcPr>
          <w:p>
            <w:pPr>
              <w:spacing w:before="20" w:after="20"/>
            </w:pPr>
            <w:r>
              <w:t xml:space="preserve">154</w:t>
            </w:r>
          </w:p>
        </w:tc>
      </w:tr>
      <w:tr>
        <w:tc>
          <w:tcPr>
            <w:tcW w:w="0" w:type="auto"/>
          </w:tcPr>
          <w:p>
            <w:pPr>
              <w:spacing w:before="20" w:after="20"/>
            </w:pPr>
            <w:r>
              <w:t xml:space="preserve">156</w:t>
            </w:r>
          </w:p>
        </w:tc>
        <w:tc>
          <w:tcPr>
            <w:tcW w:w="0" w:type="auto"/>
          </w:tcPr>
          <w:p>
            <w:pPr>
              <w:spacing w:before="20" w:after="20"/>
            </w:pPr>
            <w:r>
              <w:t xml:space="preserve">independent</w:t>
            </w:r>
          </w:p>
        </w:tc>
        <w:tc>
          <w:tcPr>
            <w:tcW w:w="0" w:type="auto"/>
          </w:tcPr>
          <w:p>
            <w:pPr>
              <w:spacing w:before="20" w:after="20"/>
            </w:pPr>
            <w:r>
              <w:t xml:space="preserve">Plan-independent, dev-mode-free design→code; theming via data-attribute cascade, not modes</w:t>
            </w:r>
          </w:p>
        </w:tc>
        <w:tc>
          <w:tcPr>
            <w:tcW w:w="0" w:type="auto"/>
          </w:tcPr>
          <w:p>
            <w:pPr>
              <w:spacing w:before="20" w:after="20"/>
            </w:pPr>
            <w:r>
              <w:t xml:space="preserve">new</w:t>
            </w:r>
          </w:p>
        </w:tc>
      </w:tr>
      <w:tr>
        <w:tc>
          <w:tcPr>
            <w:tcW w:w="0" w:type="auto"/>
          </w:tcPr>
          <w:p>
            <w:pPr>
              <w:spacing w:before="20" w:after="20"/>
            </w:pPr>
            <w:r>
              <w:t xml:space="preserve">157</w:t>
            </w:r>
          </w:p>
        </w:tc>
        <w:tc>
          <w:tcPr>
            <w:tcW w:w="0" w:type="auto"/>
          </w:tcPr>
          <w:p>
            <w:pPr>
              <w:spacing w:before="20" w:after="20"/>
            </w:pPr>
            <w:r>
              <w:t xml:space="preserve">dependent</w:t>
            </w:r>
          </w:p>
        </w:tc>
        <w:tc>
          <w:tcPr>
            <w:tcW w:w="0" w:type="auto"/>
          </w:tcPr>
          <w:p>
            <w:pPr>
              <w:spacing w:before="20" w:after="20"/>
            </w:pPr>
            <w:r>
              <w:t xml:space="preserve">A single-mode free file renders multiple themes via the cascade + stamp</w:t>
            </w:r>
          </w:p>
        </w:tc>
        <w:tc>
          <w:tcPr>
            <w:tcW w:w="0" w:type="auto"/>
          </w:tcPr>
          <w:p>
            <w:pPr>
              <w:spacing w:before="20" w:after="20"/>
            </w:pPr>
            <w:r>
              <w:t xml:space="preserve">156</w:t>
            </w:r>
          </w:p>
        </w:tc>
      </w:tr>
      <w:tr>
        <w:tc>
          <w:tcPr>
            <w:tcW w:w="0" w:type="auto"/>
          </w:tcPr>
          <w:p>
            <w:pPr>
              <w:spacing w:before="20" w:after="20"/>
            </w:pPr>
            <w:r>
              <w:t xml:space="preserve">158</w:t>
            </w:r>
          </w:p>
        </w:tc>
        <w:tc>
          <w:tcPr>
            <w:tcW w:w="0" w:type="auto"/>
          </w:tcPr>
          <w:p>
            <w:pPr>
              <w:spacing w:before="20" w:after="20"/>
            </w:pPr>
            <w:r>
              <w:t xml:space="preserve">dependent</w:t>
            </w:r>
          </w:p>
        </w:tc>
        <w:tc>
          <w:tcPr>
            <w:tcW w:w="0" w:type="auto"/>
          </w:tcPr>
          <w:p>
            <w:pPr>
              <w:spacing w:before="20" w:after="20"/>
            </w:pPr>
            <w:r>
              <w:t xml:space="preserve">Plugin produces a paste-ready AAID payload (enriched tree + AAID ref) to clipboard, no live server</w:t>
            </w:r>
          </w:p>
        </w:tc>
        <w:tc>
          <w:tcPr>
            <w:tcW w:w="0" w:type="auto"/>
          </w:tcPr>
          <w:p>
            <w:pPr>
              <w:spacing w:before="20" w:after="20"/>
            </w:pPr>
            <w:r>
              <w:t xml:space="preserve">62</w:t>
            </w:r>
          </w:p>
        </w:tc>
      </w:tr>
      <w:tr>
        <w:tc>
          <w:tcPr>
            <w:tcW w:w="0" w:type="auto"/>
          </w:tcPr>
          <w:p>
            <w:pPr>
              <w:spacing w:before="20" w:after="20"/>
            </w:pPr>
            <w:r>
              <w:t xml:space="preserve">159</w:t>
            </w:r>
          </w:p>
        </w:tc>
        <w:tc>
          <w:tcPr>
            <w:tcW w:w="0" w:type="auto"/>
          </w:tcPr>
          <w:p>
            <w:pPr>
              <w:spacing w:before="20" w:after="20"/>
            </w:pPr>
            <w:r>
              <w:t xml:space="preserve">independent</w:t>
            </w:r>
          </w:p>
        </w:tc>
        <w:tc>
          <w:tcPr>
            <w:tcW w:w="0" w:type="auto"/>
          </w:tcPr>
          <w:p>
            <w:pPr>
              <w:spacing w:before="20" w:after="20"/>
            </w:pPr>
            <w:r>
              <w:t xml:space="preserve">Code→design: parse code, instantiate same-named components, assign the variable mode for each theme/surface pair, set elevation/sizing modes — standard permissions, no dev mode</w:t>
            </w:r>
          </w:p>
        </w:tc>
        <w:tc>
          <w:tcPr>
            <w:tcW w:w="0" w:type="auto"/>
          </w:tcPr>
          <w:p>
            <w:pPr>
              <w:spacing w:before="20" w:after="20"/>
            </w:pPr>
            <w:r>
              <w:t xml:space="preserve">new</w:t>
            </w:r>
          </w:p>
        </w:tc>
      </w:tr>
      <w:tr>
        <w:tc>
          <w:tcPr>
            <w:tcW w:w="0" w:type="auto"/>
          </w:tcPr>
          <w:p>
            <w:pPr>
              <w:spacing w:before="20" w:after="20"/>
            </w:pPr>
            <w:r>
              <w:t xml:space="preserve">160</w:t>
            </w:r>
          </w:p>
        </w:tc>
        <w:tc>
          <w:tcPr>
            <w:tcW w:w="0" w:type="auto"/>
          </w:tcPr>
          <w:p>
            <w:pPr>
              <w:spacing w:before="20" w:after="20"/>
            </w:pPr>
            <w:r>
              <w:t xml:space="preserve">dependent</w:t>
            </w:r>
          </w:p>
        </w:tc>
        <w:tc>
          <w:tcPr>
            <w:tcW w:w="0" w:type="auto"/>
          </w:tcPr>
          <w:p>
            <w:pPr>
              <w:spacing w:before="20" w:after="20"/>
            </w:pPr>
            <w:r>
              <w:t xml:space="preserve">Attribute-pair→mode assignment needs no mapping layer</w:t>
            </w:r>
          </w:p>
        </w:tc>
        <w:tc>
          <w:tcPr>
            <w:tcW w:w="0" w:type="auto"/>
          </w:tcPr>
          <w:p>
            <w:pPr>
              <w:spacing w:before="20" w:after="20"/>
            </w:pPr>
            <w:r>
              <w:t xml:space="preserve">159</w:t>
            </w:r>
          </w:p>
        </w:tc>
      </w:tr>
      <w:tr>
        <w:tc>
          <w:tcPr>
            <w:tcW w:w="0" w:type="auto"/>
          </w:tcPr>
          <w:p>
            <w:pPr>
              <w:spacing w:before="20" w:after="20"/>
            </w:pPr>
            <w:r>
              <w:t xml:space="preserve">161</w:t>
            </w:r>
          </w:p>
        </w:tc>
        <w:tc>
          <w:tcPr>
            <w:tcW w:w="0" w:type="auto"/>
          </w:tcPr>
          <w:p>
            <w:pPr>
              <w:spacing w:before="20" w:after="20"/>
            </w:pPr>
            <w:r>
              <w:t xml:space="preserve">dependent</w:t>
            </w:r>
          </w:p>
        </w:tc>
        <w:tc>
          <w:tcPr>
            <w:tcW w:w="0" w:type="auto"/>
          </w:tcPr>
          <w:p>
            <w:pPr>
              <w:spacing w:before="20" w:after="20"/>
            </w:pPr>
            <w:r>
              <w:t xml:space="preserve">Plugin assigns pre-existing modes (within any plan's cap), does not create them</w:t>
            </w:r>
          </w:p>
        </w:tc>
        <w:tc>
          <w:tcPr>
            <w:tcW w:w="0" w:type="auto"/>
          </w:tcPr>
          <w:p>
            <w:pPr>
              <w:spacing w:before="20" w:after="20"/>
            </w:pPr>
            <w:r>
              <w:t xml:space="preserve">159</w:t>
            </w:r>
          </w:p>
        </w:tc>
      </w:tr>
      <w:tr>
        <w:tc>
          <w:tcPr>
            <w:tcW w:w="0" w:type="auto"/>
          </w:tcPr>
          <w:p>
            <w:pPr>
              <w:spacing w:before="20" w:after="20"/>
            </w:pPr>
            <w:r>
              <w:t xml:space="preserve">162</w:t>
            </w:r>
          </w:p>
        </w:tc>
        <w:tc>
          <w:tcPr>
            <w:tcW w:w="0" w:type="auto"/>
          </w:tcPr>
          <w:p>
            <w:pPr>
              <w:spacing w:before="20" w:after="20"/>
            </w:pPr>
            <w:r>
              <w:t xml:space="preserve">dependent</w:t>
            </w:r>
          </w:p>
        </w:tc>
        <w:tc>
          <w:tcPr>
            <w:tcW w:w="0" w:type="auto"/>
          </w:tcPr>
          <w:p>
            <w:pPr>
              <w:spacing w:before="20" w:after="20"/>
            </w:pPr>
            <w:r>
              <w:t xml:space="preserve">Lossless round-trip: design→code→design (or the reverse) is structurally equivalent</w:t>
            </w:r>
          </w:p>
        </w:tc>
        <w:tc>
          <w:tcPr>
            <w:tcW w:w="0" w:type="auto"/>
          </w:tcPr>
          <w:p>
            <w:pPr>
              <w:spacing w:before="20" w:after="20"/>
            </w:pPr>
            <w:r>
              <w:t xml:space="preserve">159</w:t>
            </w:r>
          </w:p>
        </w:tc>
      </w:tr>
    </w:tbl>
    <w:p>
      <w:pPr>
        <w:spacing w:before="120" w:after="60"/>
      </w:pPr>
      <w:r>
        <w:rPr>
          <w:b/>
        </w:rPr>
        <w:t xml:space="preserve">150. (independent) — Local mode-resolution to shared metadata.</w:t>
      </w:r>
      <w:r>
        <w:t xml:space="preserve"> A method for preparing a design-tool document for design-system code generation, comprising, in a plugin executing within the design tool under standard (non-administrative, non-Enterprise) permissions and without a code-inspection ("dev") mode: for each of a plurality of nodes, resolving the node's variable- collection mode assignments and layout-sizing modes to human-readable names using the design tool's in-process plugin interface; and persisting the resolved names as shared, render-free metadata on the node, such that a subsequent consumer lacking access to the design tool's privileged variable-resolution API can recover the node's theme, surface, effect, and sizing semantics by reading said metadata.</w:t>
      </w:r>
    </w:p>
    <w:p>
      <w:pPr>
        <w:spacing w:before="120" w:after="60"/>
      </w:pPr>
      <w:r>
        <w:rPr>
          <w:b/>
        </w:rPr>
        <w:t xml:space="preserve">151.</w:t>
      </w:r>
      <w:r>
        <w:t xml:space="preserve"> The method of claim 150, wherein resolving comprises distinguishing </w:t>
      </w:r>
      <w:r>
        <w:rPr>
          <w:b/>
        </w:rPr>
        <w:t xml:space="preserve">explicitly-assigned</w:t>
      </w:r>
      <w:r>
        <w:t xml:space="preserve"> axes (from the node's explicit variable-mode map) from </w:t>
      </w:r>
      <w:r>
        <w:rPr>
          <w:b/>
        </w:rPr>
        <w:t xml:space="preserve">inherited</w:t>
      </w:r>
      <w:r>
        <w:t xml:space="preserve"> axes (from the node's resolved variable-mode map), and persisting only the explicitly-assigned axes together with the resolved effective value, such that a downstream emitter omits attributes for inherited axes and reconstructs them from ancestor context.</w:t>
      </w:r>
    </w:p>
    <w:p>
      <w:pPr>
        <w:spacing w:before="120" w:after="60"/>
      </w:pPr>
      <w:r>
        <w:rPr>
          <w:b/>
        </w:rPr>
        <w:t xml:space="preserve">152.</w:t>
      </w:r>
      <w:r>
        <w:t xml:space="preserve"> The method of claim 150, wherein the persisted metadata further includes, per node, a layout-sizing classification of fixed, hug, or fill for each axis, derived from the node's layout-sizing properties, and one or more instance variant-property values including an elevation level.</w:t>
      </w:r>
    </w:p>
    <w:p>
      <w:pPr>
        <w:spacing w:before="120" w:after="60"/>
      </w:pPr>
      <w:r>
        <w:rPr>
          <w:b/>
        </w:rPr>
        <w:t xml:space="preserve">153.</w:t>
      </w:r>
      <w:r>
        <w:t xml:space="preserve"> The method of claim 150, wherein the persisted metadata further includes, for a property bound to a design-system variable, the variable's name rather than an opaque identifier, such that the consumer maps the property to a named design-system token without the privileged variable-resolution API.</w:t>
      </w:r>
    </w:p>
    <w:p>
      <w:pPr>
        <w:spacing w:before="120" w:after="60"/>
      </w:pPr>
      <w:r>
        <w:rPr>
          <w:b/>
        </w:rPr>
        <w:t xml:space="preserve">154. (independent) — Non-privileged recovery via shared metadata parameter.</w:t>
      </w:r>
      <w:r>
        <w:t xml:space="preserve"> A design→code conversion method comprising: requesting, from a design tool's content API, a node representation accompanied by a shared-plugin-metadata parameter that causes the response to include metadata previously written to the nodes by a plugin per claim 150; and generating design-system code for each node using the recovered theme, surface, effect, and sizing names in preference to values inferred from the node's rendered appearance, thereby eliminating appearance-based inference of design-system semantics.</w:t>
      </w:r>
    </w:p>
    <w:p>
      <w:pPr>
        <w:spacing w:before="120" w:after="60"/>
      </w:pPr>
      <w:r>
        <w:rPr>
          <w:b/>
        </w:rPr>
        <w:t xml:space="preserve">155.</w:t>
      </w:r>
      <w:r>
        <w:t xml:space="preserve"> The method of claim 154, wherein, absent recovered metadata for a node, the method falls back to inferring the node's surface or theme by matching the node's resolved fill value to a design-system theme whose background token equals said value, the design-system token definitions being available to the converter independently of the design tool.</w:t>
      </w:r>
    </w:p>
    <w:p>
      <w:pPr>
        <w:spacing w:before="120" w:after="60"/>
      </w:pPr>
      <w:r>
        <w:rPr>
          <w:b/>
        </w:rPr>
        <w:t xml:space="preserve">156. (independent) — Plan-independent, dev-mode-free design→code.</w:t>
      </w:r>
      <w:r>
        <w:t xml:space="preserve"> A method of enabling design→code generation for users of a design tool across all subscription tiers, including a free tier whose per-collection variable-mode count is insufficient to encode a multi-theme system, comprising: encoding the design system's themes and surfaces in code as a data-attribute cascade resolved at render time rather than as design-tool variable modes; representing each node's intended theme and surface as shared plugin metadata per claim 150; and generating code that applies theme and surface via said data attributes — such that theme switching operates at runtime independently of the design tool's per-tier variable-mode limit and without a paid code-inspection mode.</w:t>
      </w:r>
    </w:p>
    <w:p>
      <w:pPr>
        <w:spacing w:before="120" w:after="60"/>
      </w:pPr>
      <w:r>
        <w:rPr>
          <w:b/>
        </w:rPr>
        <w:t xml:space="preserve">157.</w:t>
      </w:r>
      <w:r>
        <w:t xml:space="preserve"> The method of claim 156, wherein a free-tier document carrying a single variable mode is nonetheless rendered in multiple themes by the generated code through the data-attribute cascade, the node's intended theme being taken from its shared plugin metadata.</w:t>
      </w:r>
    </w:p>
    <w:p>
      <w:pPr>
        <w:spacing w:before="120" w:after="60"/>
      </w:pPr>
      <w:r>
        <w:rPr>
          <w:b/>
        </w:rPr>
        <w:t xml:space="preserve">158. (dependent on claim 62) — Paste-ready static AAID payload.</w:t>
      </w:r>
      <w:r>
        <w:t xml:space="preserve"> The AI-agent integration method of claim 62, wherein a design-tool plugin produces, on a single user action, a self-contained context payload comprising (i) a normalized node tree annotated with resolved theme, surface, effect, and sizing names per claim 150 and (ii) a reference to or copy of the AI Agent Integration Document, and places said payload on the system clipboard for the user to provide to an AI coding agent, such that the agent generates design- system code from the payload without a live server connection to the design tool.</w:t>
      </w:r>
    </w:p>
    <w:p>
      <w:pPr>
        <w:pBdr>
          <w:bottom w:val="single" w:sz="6" w:color="CCCCCC"/>
        </w:pBdr>
      </w:pPr>
    </w:p>
    <w:p>
      <w:pPr>
        <w:spacing w:before="240" w:after="80"/>
      </w:pPr>
      <w:r>
        <w:rPr>
          <w:b/>
          <w:sz w:val="28"/>
        </w:rPr>
        <w:t xml:space="preserve">Part 3 — Reverse direction (code → design)</w:t>
      </w:r>
    </w:p>
    <w:p>
      <w:pPr>
        <w:spacing w:before="240" w:after="80"/>
      </w:pPr>
      <w:r>
        <w:rPr>
          <w:b/>
          <w:sz w:val="24"/>
        </w:rPr>
        <w:t xml:space="preserve">3.1 The logic</w:t>
      </w:r>
    </w:p>
    <w:p>
      <w:pPr>
        <w:spacing w:before="120" w:after="60"/>
      </w:pPr>
      <w:r>
        <w:t xml:space="preserve">Because both sides use one naming vocabulary, code→design is the same mapping run backwards — run by the plugin, since the design tool exposes no public REST *write* API for building nodes. A single shared mapping table drives both directions so they cannot drift.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shd w:val="clear" w:fill="EEEEEE"/>
          </w:tcPr>
          <w:p>
            <w:pPr>
              <w:spacing w:before="20" w:after="20"/>
            </w:pPr>
            <w:r>
              <w:rPr>
                <w:b/>
              </w:rPr>
              <w:t xml:space="preserve">Design → code (Parts 1–2)</w:t>
            </w:r>
          </w:p>
        </w:tc>
        <w:tc>
          <w:tcPr>
            <w:tcW w:w="0" w:type="auto"/>
            <w:shd w:val="clear" w:fill="EEEEEE"/>
          </w:tcPr>
          <w:p>
            <w:pPr>
              <w:spacing w:before="20" w:after="20"/>
            </w:pPr>
            <w:r>
              <w:rPr>
                <w:b/>
              </w:rPr>
              <w:t xml:space="preserve">Code → design (reverse)</w:t>
            </w:r>
          </w:p>
        </w:tc>
      </w:tr>
      <w:tr>
        <w:tc>
          <w:tcPr>
            <w:tcW w:w="0" w:type="auto"/>
          </w:tcPr>
          <w:p>
            <w:pPr>
              <w:spacing w:before="20" w:after="20"/>
            </w:pPr>
            <w:r>
              <w:t xml:space="preserve">stamp resolves a Mode; converter reads it</w:t>
            </w:r>
          </w:p>
        </w:tc>
        <w:tc>
          <w:tcPr>
            <w:tcW w:w="0" w:type="auto"/>
          </w:tcPr>
          <w:p>
            <w:pPr>
              <w:spacing w:before="20" w:after="20"/>
            </w:pPr>
            <w:r>
              <w:t xml:space="preserve">parse a code element; plugin </w:t>
            </w:r>
            <w:r>
              <w:rPr>
                <w:b/>
              </w:rPr>
              <w:t xml:space="preserve">assigns</w:t>
            </w:r>
            <w:r>
              <w:t xml:space="preserve"> the Mode</w:t>
            </w:r>
          </w:p>
        </w:tc>
      </w:tr>
      <w:tr>
        <w:tc>
          <w:tcPr>
            <w:tcW w:w="0" w:type="auto"/>
          </w:tcPr>
          <w:p>
            <w:pPr>
              <w:spacing w:before="20" w:after="20"/>
            </w:pPr>
            <w:r>
              <w:rPr>
                <w:rFonts w:ascii="Consolas" w:hAnsi="Consolas"/>
                <w:sz w:val="19"/>
                <w:shd w:val="clear" w:fill="F2F2F2"/>
              </w:rPr>
              <w:t xml:space="preserve">Theme: Primary</w:t>
            </w:r>
            <w:r>
              <w:t xml:space="preserve"> → </w:t>
            </w:r>
            <w:r>
              <w:rPr>
                <w:rFonts w:ascii="Consolas" w:hAnsi="Consolas"/>
                <w:sz w:val="19"/>
                <w:shd w:val="clear" w:fill="F2F2F2"/>
              </w:rPr>
              <w:t xml:space="preserve">data-theme="Primary"</w:t>
            </w:r>
          </w:p>
        </w:tc>
        <w:tc>
          <w:tcPr>
            <w:tcW w:w="0" w:type="auto"/>
          </w:tcPr>
          <w:p>
            <w:pPr>
              <w:spacing w:before="20" w:after="20"/>
            </w:pPr>
            <w:r>
              <w:rPr>
                <w:rFonts w:ascii="Consolas" w:hAnsi="Consolas"/>
                <w:sz w:val="19"/>
                <w:shd w:val="clear" w:fill="F2F2F2"/>
              </w:rPr>
              <w:t xml:space="preserve">data-theme="Primary"</w:t>
            </w:r>
            <w:r>
              <w:t xml:space="preserve"> → set node Theme mode = Primary</w:t>
            </w:r>
          </w:p>
        </w:tc>
      </w:tr>
      <w:tr>
        <w:tc>
          <w:tcPr>
            <w:tcW w:w="0" w:type="auto"/>
          </w:tcPr>
          <w:p>
            <w:pPr>
              <w:spacing w:before="20" w:after="20"/>
            </w:pPr>
            <w:r>
              <w:rPr>
                <w:rFonts w:ascii="Consolas" w:hAnsi="Consolas"/>
                <w:sz w:val="19"/>
                <w:shd w:val="clear" w:fill="F2F2F2"/>
              </w:rPr>
              <w:t xml:space="preserve">Surface: Auto</w:t>
            </w:r>
            <w:r>
              <w:t xml:space="preserve"> → omit attribute</w:t>
            </w:r>
          </w:p>
        </w:tc>
        <w:tc>
          <w:tcPr>
            <w:tcW w:w="0" w:type="auto"/>
          </w:tcPr>
          <w:p>
            <w:pPr>
              <w:spacing w:before="20" w:after="20"/>
            </w:pPr>
            <w:r>
              <w:t xml:space="preserve">omitted attribute → leave Surface inherited (Auto)</w:t>
            </w:r>
          </w:p>
        </w:tc>
      </w:tr>
      <w:tr>
        <w:tc>
          <w:tcPr>
            <w:tcW w:w="0" w:type="auto"/>
          </w:tcPr>
          <w:p>
            <w:pPr>
              <w:spacing w:before="20" w:after="20"/>
            </w:pPr>
            <w:r>
              <w:rPr>
                <w:rFonts w:ascii="Consolas" w:hAnsi="Consolas"/>
                <w:sz w:val="19"/>
                <w:shd w:val="clear" w:fill="F2F2F2"/>
              </w:rPr>
              <w:t xml:space="preserve">Effects: Level N</w:t>
            </w:r>
            <w:r>
              <w:t xml:space="preserve"> → </w:t>
            </w:r>
            <w:r>
              <w:rPr>
                <w:rFonts w:ascii="Consolas" w:hAnsi="Consolas"/>
                <w:sz w:val="19"/>
                <w:shd w:val="clear" w:fill="F2F2F2"/>
              </w:rPr>
              <w:t xml:space="preserve">elevation={N-1}</w:t>
            </w:r>
          </w:p>
        </w:tc>
        <w:tc>
          <w:tcPr>
            <w:tcW w:w="0" w:type="auto"/>
          </w:tcPr>
          <w:p>
            <w:pPr>
              <w:spacing w:before="20" w:after="20"/>
            </w:pPr>
            <w:r>
              <w:rPr>
                <w:rFonts w:ascii="Consolas" w:hAnsi="Consolas"/>
                <w:sz w:val="19"/>
                <w:shd w:val="clear" w:fill="F2F2F2"/>
              </w:rPr>
              <w:t xml:space="preserve">elevation={N}</w:t>
            </w:r>
            <w:r>
              <w:t xml:space="preserve"> → set Effects = Level N+1</w:t>
            </w:r>
          </w:p>
        </w:tc>
      </w:tr>
      <w:tr>
        <w:tc>
          <w:tcPr>
            <w:tcW w:w="0" w:type="auto"/>
          </w:tcPr>
          <w:p>
            <w:pPr>
              <w:spacing w:before="20" w:after="20"/>
            </w:pPr>
            <w:r>
              <w:t xml:space="preserve">layout-sizing FILL/HUG/FIXED → fill/omit/px</w:t>
            </w:r>
          </w:p>
        </w:tc>
        <w:tc>
          <w:tcPr>
            <w:tcW w:w="0" w:type="auto"/>
          </w:tcPr>
          <w:p>
            <w:pPr>
              <w:spacing w:before="20" w:after="20"/>
            </w:pPr>
            <w:r>
              <w:rPr>
                <w:rFonts w:ascii="Consolas" w:hAnsi="Consolas"/>
                <w:sz w:val="19"/>
                <w:shd w:val="clear" w:fill="F2F2F2"/>
              </w:rPr>
              <w:t xml:space="preserve">width:100%</w:t>
            </w:r>
            <w:r>
              <w:t xml:space="preserve">/none/</w:t>
            </w:r>
            <w:r>
              <w:rPr>
                <w:rFonts w:ascii="Consolas" w:hAnsi="Consolas"/>
                <w:sz w:val="19"/>
                <w:shd w:val="clear" w:fill="F2F2F2"/>
              </w:rPr>
              <w:t xml:space="preserve">200</w:t>
            </w:r>
            <w:r>
              <w:t xml:space="preserve"> → set layout-sizing mode</w:t>
            </w:r>
          </w:p>
        </w:tc>
      </w:tr>
      <w:tr>
        <w:tc>
          <w:tcPr>
            <w:tcW w:w="0" w:type="auto"/>
          </w:tcPr>
          <w:p>
            <w:pPr>
              <w:spacing w:before="20" w:after="20"/>
            </w:pPr>
            <w:r>
              <w:t xml:space="preserve">named component → emit</w:t>
            </w:r>
          </w:p>
        </w:tc>
        <w:tc>
          <w:tcPr>
            <w:tcW w:w="0" w:type="auto"/>
          </w:tcPr>
          <w:p>
            <w:pPr>
              <w:spacing w:before="20" w:after="20"/>
            </w:pPr>
            <w:r>
              <w:t xml:space="preserve">named component → </w:t>
            </w:r>
            <w:r>
              <w:rPr>
                <w:b/>
              </w:rPr>
              <w:t xml:space="preserve">instantiate</w:t>
            </w:r>
            <w:r>
              <w:t xml:space="preserve"> same-named design-tool component</w:t>
            </w:r>
          </w:p>
        </w:tc>
      </w:tr>
      <w:tr>
        <w:tc>
          <w:tcPr>
            <w:tcW w:w="0" w:type="auto"/>
          </w:tcPr>
          <w:p>
            <w:pPr>
              <w:spacing w:before="20" w:after="20"/>
            </w:pPr>
            <w:r>
              <w:t xml:space="preserve">auto-layout → gap/padding/justify</w:t>
            </w:r>
          </w:p>
        </w:tc>
        <w:tc>
          <w:tcPr>
            <w:tcW w:w="0" w:type="auto"/>
          </w:tcPr>
          <w:p>
            <w:pPr>
              <w:spacing w:before="20" w:after="20"/>
            </w:pPr>
            <w:r>
              <w:t xml:space="preserve">gap/padding/justify → set auto-layout</w:t>
            </w:r>
          </w:p>
        </w:tc>
      </w:tr>
    </w:tbl>
    <w:p>
      <w:pPr>
        <w:spacing w:before="120" w:after="60"/>
      </w:pPr>
      <w:r>
        <w:t xml:space="preserve">Three steps: </w:t>
      </w:r>
      <w:r>
        <w:rPr>
          <w:b/>
        </w:rPr>
        <w:t xml:space="preserve">parse</w:t>
      </w:r>
      <w:r>
        <w:t xml:space="preserve"> the code into the same normalized intermediate (the inverse of the converter); </w:t>
      </w:r>
      <w:r>
        <w:rPr>
          <w:b/>
        </w:rPr>
        <w:t xml:space="preserve">build</w:t>
      </w:r>
      <w:r>
        <w:t xml:space="preserve"> in the plugin (instantiate same-named components, assign theme/surface/effect/sizing modes, set auto-layout, nest children); done. Surfaced via a third plugin action — </w:t>
      </w:r>
      <w:r>
        <w:rPr>
          <w:b/>
        </w:rPr>
        <w:t xml:space="preserve">"Build Design from Code"</w:t>
      </w:r>
      <w:r>
        <w:t xml:space="preserve"> — mirroring "Prep File for AI Coding."</w:t>
      </w:r>
    </w:p>
    <w:p>
      <w:pPr>
        <w:spacing w:before="240" w:after="80"/>
      </w:pPr>
      <w:r>
        <w:rPr>
          <w:b/>
          <w:sz w:val="24"/>
        </w:rPr>
        <w:t xml:space="preserve">3.2 Why it stays free-friendly</w:t>
      </w:r>
    </w:p>
    <w:p>
      <w:pPr>
        <w:spacing w:before="20" w:after="20"/>
        <w:ind w:left="360"/>
      </w:pPr>
      <w:r>
        <w:t xml:space="preserve">•  </w:t>
      </w:r>
      <w:r>
        <w:rPr>
          <w:b/>
        </w:rPr>
        <w:t xml:space="preserve">No mapping layer</w:t>
      </w:r>
      <w:r>
        <w:t xml:space="preserve"> — the attribute-pair *is* the mode name in both directions.</w:t>
      </w:r>
    </w:p>
    <w:p>
      <w:pPr>
        <w:spacing w:before="20" w:after="20"/>
        <w:ind w:left="360"/>
      </w:pPr>
      <w:r>
        <w:t xml:space="preserve">•  </w:t>
      </w:r>
      <w:r>
        <w:rPr>
          <w:b/>
        </w:rPr>
        <w:t xml:space="preserve">Assigning an existing mode needs no Enterprise</w:t>
      </w:r>
      <w:r>
        <w:t xml:space="preserve"> — the per-plan cap governs</w:t>
      </w:r>
    </w:p>
    <w:p>
      <w:pPr>
        <w:spacing w:before="120" w:after="60"/>
      </w:pPr>
      <w:r>
        <w:t xml:space="preserve">  *creating* modes, not *assigning* them; so a user whose imported design system   already holds the modes can have them assigned on any plan, no dev mode.</w:t>
      </w:r>
    </w:p>
    <w:p>
      <w:pPr>
        <w:spacing w:before="20" w:after="20"/>
        <w:ind w:left="360"/>
      </w:pPr>
      <w:r>
        <w:t xml:space="preserve">•  </w:t>
      </w:r>
      <w:r>
        <w:rPr>
          <w:b/>
        </w:rPr>
        <w:t xml:space="preserve">Lossless round-trip</w:t>
      </w:r>
      <w:r>
        <w:t xml:space="preserve"> — design→code→design (or code→design→code) yields a</w:t>
      </w:r>
    </w:p>
    <w:p>
      <w:pPr>
        <w:spacing w:before="120" w:after="60"/>
      </w:pPr>
      <w:r>
        <w:t xml:space="preserve">  structurally equivalent artifact, because both directions share the vocabulary.</w:t>
      </w:r>
    </w:p>
    <w:p>
      <w:pPr>
        <w:spacing w:before="240" w:after="80"/>
      </w:pPr>
      <w:r>
        <w:rPr>
          <w:b/>
          <w:sz w:val="24"/>
        </w:rPr>
        <w:t xml:space="preserve">3.3 Claims</w:t>
      </w:r>
    </w:p>
    <w:p>
      <w:pPr>
        <w:spacing w:before="120" w:after="60"/>
      </w:pPr>
      <w:r>
        <w:rPr>
          <w:b/>
        </w:rPr>
        <w:t xml:space="preserve">159. (independent) — Code→design via the shared naming vocabulary.</w:t>
      </w:r>
      <w:r>
        <w:t xml:space="preserve"> A method for constructing a design-tool representation from design-system code, comprising, in a plugin executing within the design tool under standard (non-Enterprise) permissions and without a code-inspection ("dev") mode: parsing the code into a normalized element tree of design-system component references and their semantic properties; for each element, instantiating the design-tool component whose name matches the code component under a shared naming convention, and </w:t>
      </w:r>
      <w:r>
        <w:rPr>
          <w:b/>
        </w:rPr>
        <w:t xml:space="preserve">assigning</w:t>
      </w:r>
      <w:r>
        <w:t xml:space="preserve"> to the instantiated node the variable-collection mode corresponding to the element's theme and surface data-attribute pair, the effect mode corresponding to its elevation property, and the layout-sizing mode corresponding to its sizing property; and assembling the nodes with auto-layout derived from the element's stack/gap/padding/alignment — being the inverse of the resolve-and-stamp method of claim 150.</w:t>
      </w:r>
    </w:p>
    <w:p>
      <w:pPr>
        <w:spacing w:before="120" w:after="60"/>
      </w:pPr>
      <w:r>
        <w:rPr>
          <w:b/>
        </w:rPr>
        <w:t xml:space="preserve">160.</w:t>
      </w:r>
      <w:r>
        <w:t xml:space="preserve"> The method of claim 159, wherein assigning the variable mode for an element requires no mapping layer between code data-attribute identifiers and design-tool mode identifiers, the identifiers being identical under the shared naming convention.</w:t>
      </w:r>
    </w:p>
    <w:p>
      <w:pPr>
        <w:spacing w:before="120" w:after="60"/>
      </w:pPr>
      <w:r>
        <w:rPr>
          <w:b/>
        </w:rPr>
        <w:t xml:space="preserve">161.</w:t>
      </w:r>
      <w:r>
        <w:t xml:space="preserve"> The method of claim 159, wherein the plugin </w:t>
      </w:r>
      <w:r>
        <w:rPr>
          <w:b/>
        </w:rPr>
        <w:t xml:space="preserve">assigns pre-existing variable modes</w:t>
      </w:r>
      <w:r>
        <w:t xml:space="preserve"> to nodes rather than creating new modes, such that reconstruction operates within any subscription tier's per-collection mode limit and on a free tier limited to a single mode.</w:t>
      </w:r>
    </w:p>
    <w:p>
      <w:pPr>
        <w:spacing w:before="120" w:after="60"/>
      </w:pPr>
      <w:r>
        <w:rPr>
          <w:b/>
        </w:rPr>
        <w:t xml:space="preserve">162.</w:t>
      </w:r>
      <w:r>
        <w:t xml:space="preserve"> The method of claims 150 and 159, wherein converting a design-tool representation to code and back, or code to a design-tool representation and back, yields a structurally equivalent artifact (a lossless round-trip), because both directions are governed by the same naming vocabulary and the same shared property-to-mode mapping table.</w:t>
      </w:r>
    </w:p>
    <w:sectPr>
      <w:pgSz w:w="12240" w:h="15840"/>
      <w:pgMar w:top="1440" w:right="1440" w:bottom="1440" w:left="1440"/>
    </w:sectPr>
  </w:body>
</w:document>
</file>