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31.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Jha¹ (ORCID 0009-0003-5044-4187), Skyler Saucedo² (ORCID 0009-0005-7005-7736), and Franklin Tanner³ (ORCID 0009-0003-6814-2291)</w:t>
      </w:r>
    </w:p>
    <w:p>
      <w:pPr>
        <w:pStyle w:val="BodyText"/>
      </w:pPr>
      <w:r>
        <w:t xml:space="preserve">¹ Innodata, Physical AI Intern</w:t>
      </w:r>
      <w:r>
        <w:t xml:space="preserve"> </w:t>
      </w:r>
      <w:r>
        <w:t xml:space="preserve">² Innodata, Robotics and Physical AI Solutions Architect</w:t>
      </w:r>
      <w:r>
        <w:t xml:space="preserve"> </w:t>
      </w:r>
      <w:r>
        <w:t xml:space="preserve">³ Innodata, VP Robotics and Computer Vision</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NVIDIA Cosmos world foundation models, along with large language models (LLMs) like OpenAI’s GPT-4o mini, to generate variations of real egocentric video clips while keeping the recorded actions, scaling a single video into hundreds of permutations. Our method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authors of EgoScale, claim over 20,854 hours of egocentric video were used for pre-training their vision-language-action (VLA) model, with upper limits of achieving a mean task acceptable score of 0.71.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over 20,000 hours of video may be needed for a single task, an hour of egocentric video costs anywhere between 3 and 25 USD, so 20,000 or more hours for a single task becomes cost-prohibitive and economically infeasible for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trainable data, where a world foundation model reads the first frame of an egocentric video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Cosmos consists of three models: Predict forecasts future frames from text, an image, or a video [7]; Transfer adapts a video across environments under multi-control conditioning on depth, segmentation, edge, and blurred-RGB maps [8, 9]; Reason is a vision-language model for physical scene understanding [10]. Cosmos 3 folds the three models into one, with an autoregressive subnetwork that reasons about a scene and a diffusion-based subnetwork that generates video, audio, and actions conditioned on that reasoning [11].</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Block diagram of the pipeline: an egocentric clip goes to the Cosmos 3 Nano reasoning tower,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Block diagram of the pipeline: an egocentric clip goes to the Cosmos 3 Nano reasoning tower, which produces an ontology; GPT-4o mini filters it and writes a prompt; SAM 2 produces tracked masks; Canny, depth, and blur produce control maps; Cosmos Transfer 2.5 renders the variant clip.</w:t>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tower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First-person frame of a hand holding a white plastic bucket on a white countertop, with a crumpled cloth beside it.</w:t>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CaptionedFigure"/>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Left: the bucket frame with five labelled bounding boxes (white plastic bucket, human hand, crumpled paper, white surface). Right: an excerpt of the JSON ontology listing the task, the bucket’s role, robustness gaps, and common failure modes.</w:t>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Predict2 renderings took about 3.5 minutes. LLM inference by GPT-4o mini took only a few seconds per clip. Every variant was inspected to see how it compared to the matched source.</w:t>
      </w:r>
    </w:p>
    <w:p>
      <w:pPr>
        <w:pStyle w:val="CaptionedFigure"/>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Two frames labelled Old and New. Old: a hand holds a white bucket on a white countertop with a cloth beside it. New: the same pose with the countertop, bucket, and cloth rendered blue, a darker wall, and a ceiling light visible.</w:t>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adding more entropy as desired.</w:t>
      </w:r>
    </w:p>
    <w:p>
      <w:pPr>
        <w:pStyle w:val="CaptionedFigure"/>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Two frames labelled Old and New. Old: hands stuff a white pillow on a wooden chair with patterned cushions. New: the pillow, the cushions, and the chairs are all rendered blue.</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CaptionedFigure"/>
      </w:pPr>
      <w:r>
        <w:drawing>
          <wp:inline>
            <wp:extent cx="5334000" cy="2237145"/>
            <wp:effectExtent b="0" l="0" r="0" t="0"/>
            <wp:docPr descr="Two frames. Left: the source clip, hands holding a white charger cable in front of a desk and bookshelf. Right: the variant prompted to wind the cord the other way, in which the cable has become a tangled, smeared loop across the desk." title="" id="32" name="Picture"/>
            <a:graphic>
              <a:graphicData uri="http://schemas.openxmlformats.org/drawingml/2006/picture">
                <pic:pic>
                  <pic:nvPicPr>
                    <pic:cNvPr descr="figures/fig6-reversal-oct22.png" id="33" name="Picture"/>
                    <pic:cNvPicPr>
                      <a:picLocks noChangeArrowheads="1" noChangeAspect="1"/>
                    </pic:cNvPicPr>
                  </pic:nvPicPr>
                  <pic:blipFill>
                    <a:blip r:embed="rId31"/>
                    <a:stretch>
                      <a:fillRect/>
                    </a:stretch>
                  </pic:blipFill>
                  <pic:spPr bwMode="auto">
                    <a:xfrm>
                      <a:off x="0" y="0"/>
                      <a:ext cx="5334000" cy="2237145"/>
                    </a:xfrm>
                    <a:prstGeom prst="rect">
                      <a:avLst/>
                    </a:prstGeom>
                    <a:noFill/>
                    <a:ln w="9525">
                      <a:noFill/>
                      <a:headEnd/>
                      <a:tailEnd/>
                    </a:ln>
                  </pic:spPr>
                </pic:pic>
              </a:graphicData>
            </a:graphic>
          </wp:inline>
        </w:drawing>
      </w:r>
    </w:p>
    <w:p>
      <w:pPr>
        <w:pStyle w:val="ImageCaption"/>
      </w:pPr>
      <w:r>
        <w:t xml:space="preserve">Two frames. Left: the source clip, hands holding a white charger cable in front of a desk and bookshelf. Right: the variant prompted to wind the cord the other way, in which the cable has become a tangled, smeared loop across the desk.</w:t>
      </w:r>
    </w:p>
    <w:p>
      <w:pPr>
        <w:pStyle w:val="BodyText"/>
      </w:pPr>
      <w:r>
        <w:rPr>
          <w:i/>
          <w:iCs/>
        </w:rPr>
        <w:t xml:space="preserve">Fig. 6. Directional Reversal Experiment</w:t>
      </w:r>
    </w:p>
    <w:p>
      <w:pPr>
        <w:pStyle w:val="BodyText"/>
      </w:pPr>
      <w:r>
        <w:t xml:space="preserve">We did observe some limitations in this process, particularly when requesting permutations in the physics of the scene. In Fig. 6,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 Fig. 7 places the source desk clip and its appearance variant side by side.</w:t>
      </w:r>
    </w:p>
    <w:p>
      <w:pPr>
        <w:pStyle w:val="CaptionedFigure"/>
      </w:pPr>
      <w:r>
        <w:drawing>
          <wp:inline>
            <wp:extent cx="5334000" cy="4476750"/>
            <wp:effectExtent b="0" l="0" r="0" t="0"/>
            <wp:docPr descr="Two frames. Left: the source desk clip, hands holding a charger cable in front of a bookshelf. Right: the same scene with the desk and shelf objects rendered blue." title="" id="35" name="Picture"/>
            <a:graphic>
              <a:graphicData uri="http://schemas.openxmlformats.org/drawingml/2006/picture">
                <pic:pic>
                  <pic:nvPicPr>
                    <pic:cNvPr descr="figures/fig7-variants-oct22.png" id="36" name="Picture"/>
                    <pic:cNvPicPr>
                      <a:picLocks noChangeArrowheads="1" noChangeAspect="1"/>
                    </pic:cNvPicPr>
                  </pic:nvPicPr>
                  <pic:blipFill>
                    <a:blip r:embed="rId34"/>
                    <a:stretch>
                      <a:fillRect/>
                    </a:stretch>
                  </pic:blipFill>
                  <pic:spPr bwMode="auto">
                    <a:xfrm>
                      <a:off x="0" y="0"/>
                      <a:ext cx="5334000" cy="4476750"/>
                    </a:xfrm>
                    <a:prstGeom prst="rect">
                      <a:avLst/>
                    </a:prstGeom>
                    <a:noFill/>
                    <a:ln w="9525">
                      <a:noFill/>
                      <a:headEnd/>
                      <a:tailEnd/>
                    </a:ln>
                  </pic:spPr>
                </pic:pic>
              </a:graphicData>
            </a:graphic>
          </wp:inline>
        </w:drawing>
      </w:r>
    </w:p>
    <w:p>
      <w:pPr>
        <w:pStyle w:val="ImageCaption"/>
      </w:pPr>
      <w:r>
        <w:t xml:space="preserve">Two frames. Left: the source desk clip, hands holding a charger cable in front of a bookshelf. Right: the same scene with the desk and shelf objects rendered blue.</w:t>
      </w:r>
    </w:p>
    <w:p>
      <w:pPr>
        <w:pStyle w:val="BodyText"/>
      </w:pPr>
      <w:r>
        <w:rPr>
          <w:i/>
          <w:iCs/>
        </w:rPr>
        <w:t xml:space="preserve">Fig. 7. Variants of the desk clip: the source clip (left) and an appearance variant with the desk and shelf recolored blue (right).</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Considering the current market rate for raw egocentric data is 3 to 25 USD per hour, we find that this process can quickly scale a sparse dataset into one with sufficient hours and diversity, while maintaining the overall physics of the scene. For every hour processed with our pipeline, we spend 96 USD for GPU cloud instance costs (80 A100-hours at 20 minutes per clip) and 0.12 USD in LLM token costs. For practitioners and academics who have a limited budget for training robot policies, this workflow provides a cohesive and practical solution.</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2026-10-22T18:00:48Z</dcterms:created>
  <dcterms:modified xsi:type="dcterms:W3CDTF">2026-10-22T18:00:48Z</dcterms:modified>
</cp:coreProperties>
</file>

<file path=docProps/custom.xml><?xml version="1.0" encoding="utf-8"?>
<Properties xmlns="http://schemas.openxmlformats.org/officeDocument/2006/custom-properties" xmlns:vt="http://schemas.openxmlformats.org/officeDocument/2006/docPropsVTypes"/>
</file>