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 (ORCID 0009-0003-5044-4187), Skyler Saucedo (ORCID 0009-0005-7005-7736), and Franklin Tanner (ORCID 0009-0003-6814-2291)</w:t>
      </w:r>
    </w:p>
    <w:p>
      <w:pPr>
        <w:pStyle w:val="BodyText"/>
      </w:pPr>
      <w:r>
        <w:t xml:space="preserve">Innodata. Corresponding author email: [VERIFY: corresponding author email]</w:t>
      </w:r>
    </w:p>
    <w:bookmarkStart w:id="9" w:name="abstract"/>
    <w:p>
      <w:pPr>
        <w:pStyle w:val="Heading2"/>
      </w:pPr>
      <w:r>
        <w:t xml:space="preserve">Abstract</w:t>
      </w:r>
    </w:p>
    <w:p>
      <w:pPr>
        <w:pStyle w:val="FirstParagraph"/>
      </w:pPr>
      <w:r>
        <w:t xml:space="preserve">Training successful humanoid robotic manipulation policies within the space of Physical AI are bottlenecked by real-world data limitations in quantity and diversity of environment.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World Foundation Models from the NVIDIA Cosmos, along with Large Language Models like OpenAI’s GPT-4o mini to generate variations of real egocentric video clips while keeping the recorded actions, scaling a single video into hundreds of permutations. Our method uses NVIDIA Cosmos 3 Nano to produce an Ontology of each clip, the task of each object’s role, and plausible variations, along with GPT-4o mini to write a prompt to generate scene permutations. Our method employs traditional Computer Vision techniques like Boundary detection and Image Segmentation, using Canny Edge detection coupled with Segment Anything 2 (SAM2)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in the Ontology) matter for policy robustness. As such, the mean acceptable score, defined as the robot’s ability to successfully complete the task it was trained on, scales logarithmically with the hours of egocentric video [1]. Zheng et al, authors of Egoscale, claim over 20,854 hours of egocentric video were used for pre-training their VLA, with upper limits of achieving a mean task acceptable score of 0.71. π0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And while over 20k hours of video may be needed for a single task, an hour of egocentric video costs anywhere between $3 to $25 USD, so a 20,000+ hours for a single task becomes price prohibitive and economically infeasible for startups and academia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[6].</w:t>
      </w:r>
    </w:p>
    <w:p>
      <w:pPr>
        <w:pStyle w:val="BodyText"/>
      </w:pPr>
      <w:r>
        <w:t xml:space="preserve">We propose a method that can effectively increase the amount the amount of trainable data, where a world foundation model reads the first frame of an egocentric video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(WFMs) are large-scale artificial intelligence systems trained to understand, simulate, and predict the physical world, including how objects move, interact, and follow the laws of physics [7]. NVIDIA Cosmos consists of three models: Predict forecasts future frames from text, an image or a video [8]; Transfer adapts a video across environments under multi-control conditioning on depth, segmentation, edge and blurred-RGB maps [9, 10]; Reason is a vision-language model for physical scene understanding [11]. Cosmos 3 folds the three models into one, with an autoregressive subnetwork that reasons about a scene and a diffusion-based subnetwork that generates video, audio, and actions conditioned on that reasoning [12].</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Figure 1"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 1. The Pipeline</w:t>
      </w:r>
    </w:p>
    <w:p>
      <w:pPr>
        <w:pStyle w:val="BodyText"/>
      </w:pPr>
      <w:r>
        <w:t xml:space="preserve">Figure 1 shows the pipeline we’re using to permute the ontological objects within an egocentric video.</w:t>
      </w:r>
    </w:p>
    <w:p>
      <w:pPr>
        <w:pStyle w:val="BodyText"/>
      </w:pPr>
      <w:r>
        <w:t xml:space="preserve">First, the original Egocentric video clip (V) is prepared with NVIDIA’s Cosmos Curate. Curate applies TransNetV2 shot-boundary detection, splitting a 29 min video of egocentric data into 116 individual 15-second clips, downsampled to 4 fps at 854x480. Curate uses TransNetV2, a small convolutional neural network trained to detect scene transitions. Curate is fast and accurate on standard shot-detection benchmarks [15]. The first frame of each clip is passed to the reasoning tower of Cosmos 3 Nano [12, 16],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[17] to write a text prompt for Cosmos Transfer for variant video generation.</w:t>
      </w:r>
    </w:p>
    <w:p>
      <w:pPr>
        <w:pStyle w:val="BodyText"/>
      </w:pPr>
      <w:r>
        <w:t xml:space="preserve">Four guidance maps are generated to preserve item edge, depth, color, and texture. Segmentation masks of all items are generated using SAM2 [18] to maintain item integrity while preserving the task at hand. Finally, Cosmos Transfer [10, 19] renders a synthetic variant (V’) of the video with the same task, action, and ontology of items, but with directed permutations to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gure 2"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 2. Sample egocentric video, a person wipes a countertop with towel and a bucket.</w:t>
      </w:r>
    </w:p>
    <w:p>
      <w:pPr>
        <w:pStyle w:val="BodyText"/>
      </w:pPr>
      <w:r>
        <w:t xml:space="preserve">As shown in Figure 2, our example video consists of a white bucket on a white countertop, and the task is defined as follows: A human must use a wash cloth from the bucket to clean a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is why reasoning with structured ontologies is critical: we ask a model to understand the scene, objects, states, materials, lighting, and actions before anything else is varied, so that the permutations proposed for an object are ones that are physically plausible for the given task.</w:t>
      </w:r>
    </w:p>
    <w:p>
      <w:pPr>
        <w:pStyle w:val="CaptionedFigure"/>
      </w:pPr>
      <w:r>
        <w:drawing>
          <wp:inline>
            <wp:extent cx="5334000" cy="1822782"/>
            <wp:effectExtent b="0" l="0" r="0" t="0"/>
            <wp:docPr descr="Figure 3"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 3. Reasoning output for the scene with object detection bounding boxes, along with JSON Ontology.</w:t>
      </w:r>
    </w:p>
    <w:p>
      <w:pPr>
        <w:pStyle w:val="BodyText"/>
      </w:pPr>
      <w:r>
        <w:t xml:space="preserve">Cosmos 3 Nano receives the first frame of the clip and a fixed instruction and returns a structured JSON record that defines the observed Ontology. Our pipeline asks for up to ten task-relevant objects, each with bounding boxes, and each object has the following: its role in the task, its current appearance (color, material, texture, condition, size), its current state (position, orientation, interaction with hands) and candidate variations among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potentially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[17] to prepare the prompt for Cosmos Transfer. We leverage GPT-4o mini for its exceptional speed and cost, averaging about 0.1 cents per 15-second clip. Additionally, GPT-4o mini provides a reliable structured JSON output and adheres to the Cosmos caption schema. Lastly, GPT-4o mini is one of the most available LLMs in the market currently. It should be noted that we did not run a comprehensive comparison against other Frontier models at the time.</w:t>
      </w:r>
    </w:p>
    <w:p>
      <w:pPr>
        <w:pStyle w:val="BodyText"/>
      </w:pPr>
      <w:r>
        <w:t xml:space="preserve">From our work with this process, three prompt 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 word caption; repeating the attribute in different context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data leakage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white countertop to blue…”</w:t>
      </w:r>
      <w:r>
        <w:t xml:space="preserve"> </w:t>
      </w:r>
      <w:r>
        <w:t xml:space="preserve">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 the variant is rendered.</w:t>
      </w:r>
    </w:p>
    <w:p>
      <w:pPr>
        <w:pStyle w:val="Compact"/>
        <w:numPr>
          <w:ilvl w:val="0"/>
          <w:numId w:val="1002"/>
        </w:numPr>
      </w:pPr>
      <w:r>
        <w:t xml:space="preserve">Edge detection: We use Canny edge detection provided by OpenCV [20].</w:t>
      </w:r>
    </w:p>
    <w:p>
      <w:pPr>
        <w:pStyle w:val="Compact"/>
        <w:numPr>
          <w:ilvl w:val="0"/>
          <w:numId w:val="1002"/>
        </w:numPr>
      </w:pPr>
      <w:r>
        <w:t xml:space="preserve">Depth: The depth control is monocular depth video provided by DepthAnything V2 [21], and it provides an emergent layer of pseudo-3-dimensional object spatial positioning.</w:t>
      </w:r>
    </w:p>
    <w:p>
      <w:pPr>
        <w:pStyle w:val="Compact"/>
        <w:numPr>
          <w:ilvl w:val="0"/>
          <w:numId w:val="1002"/>
        </w:numPr>
      </w:pPr>
      <w:r>
        <w:t xml:space="preserve">Color for lighting: maintaining overall color alette and continuity as we adjust light parameters. We use a bilateral bluir input RGB frames.</w:t>
      </w:r>
    </w:p>
    <w:p>
      <w:pPr>
        <w:pStyle w:val="Compact"/>
        <w:numPr>
          <w:ilvl w:val="0"/>
          <w:numId w:val="1002"/>
        </w:numPr>
      </w:pPr>
      <w:r>
        <w:t xml:space="preserve">Segmentation Mask: All ontological objects are identified pixel-by-pixel. This provides clearly defined classification to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Collab Pro+ Notebooks (see appendix for source code) on an A100 80 GB. For Cosmos Reason, the average reasoning time was 130 seconds per clip. Transfer renders averaged about 20 minutes. And Predict2 renderings took about 3.5 minutes. LLM inference by Chat GPT-4o mini only took a few seconds per clip. Every variant was inspected to see how it compared to the matched source.</w:t>
      </w:r>
    </w:p>
    <w:p>
      <w:pPr>
        <w:pStyle w:val="CaptionedFigure"/>
      </w:pPr>
      <w:r>
        <w:drawing>
          <wp:inline>
            <wp:extent cx="5334000" cy="1911938"/>
            <wp:effectExtent b="0" l="0" r="0" t="0"/>
            <wp:docPr descr="Figure 4"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Figure 4</w:t>
      </w:r>
    </w:p>
    <w:p>
      <w:pPr>
        <w:pStyle w:val="BodyText"/>
      </w:pPr>
      <w:r>
        <w:rPr>
          <w:i/>
          <w:iCs/>
        </w:rPr>
        <w:t xml:space="preserve">Fig. 4. Converting white countertop to blue, rag to blue, bucket to blue and varying the skin color of the human.</w:t>
      </w:r>
    </w:p>
    <w:p>
      <w:pPr>
        <w:pStyle w:val="BodyText"/>
      </w:pPr>
      <w:r>
        <w:t xml:space="preserve">Figure 4 shows that the resultant variant permutes the color of the Ontological objects, while maintaining the hand pose, bucket and table geometry. We observed that the cleaning motion observed in the before video is maintained by the variant, frame by frame. We also observed that the background wall and lighting has changed, adding more entropy as desired.</w:t>
      </w:r>
    </w:p>
    <w:p>
      <w:pPr>
        <w:pStyle w:val="CaptionedFigure"/>
      </w:pPr>
      <w:r>
        <w:drawing>
          <wp:inline>
            <wp:extent cx="5334000" cy="1665182"/>
            <wp:effectExtent b="0" l="0" r="0" t="0"/>
            <wp:docPr descr="Figure 5"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Figure 5</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Figure 5, we task the data collector to stuff a throw pillow for a chair. Employing the pipeline to produce variants, our only request was that the color of the pillow change to blue. The variant not only changed the pillow blue but also changed the background chairs blue as well. We found that poor image segmentation results are the cause here, suggesting the need to fine-tune Canny edge-gradient parameters.</w:t>
      </w:r>
    </w:p>
    <w:p>
      <w:pPr>
        <w:pStyle w:val="CaptionedFigure"/>
      </w:pPr>
      <w:r>
        <w:drawing>
          <wp:inline>
            <wp:extent cx="5334000" cy="4536558"/>
            <wp:effectExtent b="0" l="0" r="0" t="0"/>
            <wp:docPr descr="Figure 6" title="" id="32" name="Picture"/>
            <a:graphic>
              <a:graphicData uri="http://schemas.openxmlformats.org/drawingml/2006/picture">
                <pic:pic>
                  <pic:nvPicPr>
                    <pic:cNvPr descr="figures/fig8-directional-reversal.png" id="33" name="Picture"/>
                    <pic:cNvPicPr>
                      <a:picLocks noChangeArrowheads="1" noChangeAspect="1"/>
                    </pic:cNvPicPr>
                  </pic:nvPicPr>
                  <pic:blipFill>
                    <a:blip r:embed="rId31"/>
                    <a:stretch>
                      <a:fillRect/>
                    </a:stretch>
                  </pic:blipFill>
                  <pic:spPr bwMode="auto">
                    <a:xfrm>
                      <a:off x="0" y="0"/>
                      <a:ext cx="5334000" cy="4536558"/>
                    </a:xfrm>
                    <a:prstGeom prst="rect">
                      <a:avLst/>
                    </a:prstGeom>
                    <a:noFill/>
                    <a:ln w="9525">
                      <a:noFill/>
                      <a:headEnd/>
                      <a:tailEnd/>
                    </a:ln>
                  </pic:spPr>
                </pic:pic>
              </a:graphicData>
            </a:graphic>
          </wp:inline>
        </w:drawing>
      </w:r>
    </w:p>
    <w:p>
      <w:pPr>
        <w:pStyle w:val="ImageCaption"/>
      </w:pPr>
      <w:r>
        <w:t xml:space="preserve">Figure 6</w:t>
      </w:r>
    </w:p>
    <w:p>
      <w:pPr>
        <w:pStyle w:val="BodyText"/>
      </w:pPr>
      <w:r>
        <w:rPr>
          <w:i/>
          <w:iCs/>
        </w:rPr>
        <w:t xml:space="preserve">Fig. 6. Directional Reversal Experiment (find better example showing spaghetti)</w:t>
      </w:r>
    </w:p>
    <w:p>
      <w:pPr>
        <w:pStyle w:val="BodyText"/>
      </w:pPr>
      <w:r>
        <w:t xml:space="preserve">We did observe some limitations in this process, particularly when requesting permutations in the physics of the scene. In Figure 6, the data collector is taking a phone charger and winding the USB cord around the wall plug in a clockwise direction (with respect to the wall plug). Next, we ask the pipeline to wind the cord in the opposite direction, counterclockwise. Surprisingly, the resultant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w:t>
      </w:r>
    </w:p>
    <w:p>
      <w:pPr>
        <w:pStyle w:val="CaptionedFigure"/>
      </w:pPr>
      <w:r>
        <w:drawing>
          <wp:inline>
            <wp:extent cx="5334000" cy="1901726"/>
            <wp:effectExtent b="0" l="0" r="0" t="0"/>
            <wp:docPr descr="Figure 7" title="" id="35" name="Picture"/>
            <a:graphic>
              <a:graphicData uri="http://schemas.openxmlformats.org/drawingml/2006/picture">
                <pic:pic>
                  <pic:nvPicPr>
                    <pic:cNvPr descr="figures/fig9-variant-examples.png" id="36" name="Picture"/>
                    <pic:cNvPicPr>
                      <a:picLocks noChangeArrowheads="1" noChangeAspect="1"/>
                    </pic:cNvPicPr>
                  </pic:nvPicPr>
                  <pic:blipFill>
                    <a:blip r:embed="rId34"/>
                    <a:stretch>
                      <a:fillRect/>
                    </a:stretch>
                  </pic:blipFill>
                  <pic:spPr bwMode="auto">
                    <a:xfrm>
                      <a:off x="0" y="0"/>
                      <a:ext cx="5334000" cy="1901726"/>
                    </a:xfrm>
                    <a:prstGeom prst="rect">
                      <a:avLst/>
                    </a:prstGeom>
                    <a:noFill/>
                    <a:ln w="9525">
                      <a:noFill/>
                      <a:headEnd/>
                      <a:tailEnd/>
                    </a:ln>
                  </pic:spPr>
                </pic:pic>
              </a:graphicData>
            </a:graphic>
          </wp:inline>
        </w:drawing>
      </w:r>
    </w:p>
    <w:p>
      <w:pPr>
        <w:pStyle w:val="ImageCaption"/>
      </w:pPr>
      <w:r>
        <w:t xml:space="preserve">Figure 7</w:t>
      </w:r>
    </w:p>
    <w:p>
      <w:pPr>
        <w:pStyle w:val="BodyText"/>
      </w:pPr>
      <w:r>
        <w:rPr>
          <w:i/>
          <w:iCs/>
        </w:rPr>
        <w:t xml:space="preserve">Fig. 7. Some examples of variants … maybe we can find a better example?</w:t>
      </w:r>
    </w:p>
    <w:bookmarkEnd w:id="37"/>
    <w:bookmarkStart w:id="38" w:name="closing-the-gap"/>
    <w:p>
      <w:pPr>
        <w:pStyle w:val="Heading2"/>
      </w:pPr>
      <w:r>
        <w:t xml:space="preserve">4 Closing the Gap</w:t>
      </w:r>
    </w:p>
    <w:p>
      <w:pPr>
        <w:pStyle w:val="FirstParagraph"/>
      </w:pPr>
      <w:r>
        <w:t xml:space="preserve">From 3, 10-minute video examples, we used our workflow to create 116 clips to generate 72 variations per clip, producing 8,352 synthetic video variations, or about 35 hours of video from 29 minutes of source data. The number of permuted variants depends upon the number of Ontological objects available to change, along with what physical attributes are within the current limit of the NVIDIA World Model suite. One 10-minute video became 4 hours without a new scene or room generated. It should be noted that at the time of publication, the authors have not quantified how much of this synthetic data is useful.</w:t>
      </w:r>
    </w:p>
    <w:p>
      <w:pPr>
        <w:pStyle w:val="BodyText"/>
      </w:pPr>
      <w:r>
        <w:t xml:space="preserve">Considering the current market rate for raw egocentric data is $3 - $25 USD per hour, we find that this process can quickly scale a sparse dataset into one with sufficient hours and,diversity, while maintaining the overall physics of the scene. For every hour processed with our pipeline, we spend $96 USD for GPU cloud instance costs (80 A100-hours at 20 minutes per clip) and 0.12 USD in token costs for LLM. For practitioners and academics who have a limited budget for training robot policies, this workflow provides a cohesive and practical solution.</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an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Cosmos’s models and their current capacity for synthetic video generation for ego centric household data.</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Wang, W., Ye, K., Zhou, X., Chen, T., Min, C., Zhu, Q., Yang, X., Luo, P., Shen, Y., Yang, Y., Yao, M., Mu, Y.: FieldGen: From Teleoperated Pre-Manipulation Trajectories to Field-Guided Data Generation. Project page (2025). https://fieldgen.github.io/</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Zhang, L., Rao, A., Agrawala, M.: Adding Conditional Control to Text-to-Image Diffusion Models. In: Proceedings of the IEEE/CVF International Conference on Computer Vision (ICCV), pp. 3813-3824 (2023). doi: 10.1109/ICCV51070.2023.00355</w:t>
      </w:r>
    </w:p>
    <w:p>
      <w:pPr>
        <w:pStyle w:val="Compact"/>
        <w:numPr>
          <w:ilvl w:val="0"/>
          <w:numId w:val="1003"/>
        </w:numPr>
      </w:pPr>
      <w:r>
        <w:t xml:space="preserve">Esser, P., Chiu, J., Atighehchian, P., Granskog, J., Germanidis, A.: Structure and Content-Guided Video Synthesis with Diffusion Models. In: Proceedings of the IEEE/CVF International Conference on Computer Vision (ICCV), pp. 7312-7322 (2023). doi: 10.1109/ICCV51070.2023.00675</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2026-10-22T16:47:12Z</dcterms:created>
  <dcterms:modified xsi:type="dcterms:W3CDTF">2026-10-22T16:47:12Z</dcterms:modified>
</cp:coreProperties>
</file>

<file path=docProps/custom.xml><?xml version="1.0" encoding="utf-8"?>
<Properties xmlns="http://schemas.openxmlformats.org/officeDocument/2006/custom-properties" xmlns:vt="http://schemas.openxmlformats.org/officeDocument/2006/docPropsVTypes"/>
</file>