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Wiring for Robot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White -</w:t>
        <w:tab/>
        <w:tab/>
        <w:t xml:space="preserve">Ground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Black - </w:t>
        <w:tab/>
        <w:t xml:space="preserve">5V power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Brown - </w:t>
        <w:tab/>
        <w:t xml:space="preserve">Motor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 - </w:t>
        <w:tab/>
        <w:tab/>
        <w:t xml:space="preserve">Motor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Orange - </w:t>
        <w:tab/>
        <w:t xml:space="preserve">12V power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Yellow - </w:t>
        <w:tab/>
        <w:t xml:space="preserve">Encoder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Green - </w:t>
        <w:tab/>
        <w:t xml:space="preserve">Encoder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Blue - </w:t>
        <w:tab/>
        <w:tab/>
        <w:t xml:space="preserve">Pos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Purple - </w:t>
        <w:tab/>
        <w:t xml:space="preserve">Neg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Gray - </w:t>
        <w:tab/>
        <w:tab/>
        <w:t xml:space="preserve">EN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