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596"/>
            </w:pPr>
          </w:p>
          <w:p>
            <w:pPr>
              <w:pBdr>
                <w:bottom w:val="single" w:color="37DCF2" w:sz="6" w:space="8"/>
              </w:pBdr>
              <w:spacing w:after="500"/>
              <w:ind w:left="1200" w:right="800"/>
            </w:pPr>
            <w:r>
              <w:rPr>
                <w:rFonts w:ascii="Calibri" w:eastAsia="SimHei"/>
                <w:color w:val="37DCF2"/>
                <w:spacing w:val="40"/>
                <w:sz w:val="18"/>
                <w:szCs w:val="18"/>
              </w:rPr>
              <w:t xml:space="preserve">P  R  O  O  F     O  F     C  O  N  C  E  P  T</w:t>
            </w:r>
          </w:p>
          <w:p>
            <w:pPr>
              <w:spacing w:after="300" w:line="920" w:lineRule="atLeast"/>
              <w:ind w:left="1200"/>
            </w:pPr>
            <w:r>
              <w:rPr>
                <w:rFonts w:ascii="Arial" w:eastAsia="SimHei"/>
                <w:b/>
                <w:bCs/>
                <w:color w:val="FFFFFF"/>
                <w:sz w:val="80"/>
                <w:szCs w:val="80"/>
              </w:rPr>
              <w:t xml:space="preserve">Advanced VAPT</w:t>
            </w:r>
          </w:p>
          <w:p>
            <w:pPr>
              <w:spacing w:after="800"/>
              <w:ind w:left="1200" w:right="800"/>
            </w:pPr>
            <w:r>
              <w:rPr>
                <w:rFonts w:ascii="Arial" w:eastAsia="Microsoft YaHei"/>
                <w:color w:val="B0B8C0"/>
                <w:sz w:val="24"/>
                <w:szCs w:val="24"/>
              </w:rPr>
              <w:t xml:space="preserve">Proof of Concept Report - Attack Chain Exploitation of OWASP Juice Shop</w:t>
            </w:r>
          </w:p>
          <w:p>
            <w:pPr>
              <w:pBdr>
                <w:left w:val="single" w:color="37DCF2" w:sz="8" w:space="12"/>
              </w:pBdr>
              <w:spacing w:after="80"/>
              <w:ind w:left="1400"/>
            </w:pPr>
            <w:r>
              <w:rPr>
                <w:rFonts w:ascii="Arial" w:eastAsia="Microsoft YaHei"/>
                <w:color w:val="90989F"/>
                <w:sz w:val="24"/>
                <w:szCs w:val="24"/>
              </w:rPr>
              <w:t xml:space="preserve">Prepared by: Mah Noor</w:t>
            </w:r>
          </w:p>
          <w:p>
            <w:pPr>
              <w:pBdr>
                <w:left w:val="single" w:color="37DCF2" w:sz="8" w:space="12"/>
              </w:pBdr>
              <w:spacing w:after="80"/>
              <w:ind w:left="1400"/>
            </w:pPr>
            <w:r>
              <w:rPr>
                <w:rFonts w:ascii="Arial" w:eastAsia="Microsoft YaHei"/>
                <w:color w:val="90989F"/>
                <w:sz w:val="24"/>
                <w:szCs w:val="24"/>
              </w:rPr>
              <w:t xml:space="preserve">Intern ID: DG/AUGUST/CYBER/077</w:t>
            </w:r>
          </w:p>
          <w:p>
            <w:pPr>
              <w:pBdr>
                <w:left w:val="single" w:color="37DCF2" w:sz="8" w:space="12"/>
              </w:pBdr>
              <w:spacing w:after="80"/>
              <w:ind w:left="1400"/>
            </w:pPr>
            <w:r>
              <w:rPr>
                <w:rFonts w:ascii="Arial" w:eastAsia="Microsoft YaHei"/>
                <w:color w:val="90989F"/>
                <w:sz w:val="24"/>
                <w:szCs w:val="24"/>
              </w:rPr>
              <w:t xml:space="preserve">Target: OWASP Juice Shop (Local Docker Lab)</w:t>
            </w:r>
          </w:p>
          <w:p>
            <w:pPr>
              <w:pBdr>
                <w:left w:val="single" w:color="37DCF2" w:sz="8" w:space="12"/>
              </w:pBdr>
              <w:spacing w:after="80"/>
              <w:ind w:left="1400"/>
            </w:pPr>
            <w:r>
              <w:rPr>
                <w:rFonts w:ascii="Arial" w:eastAsia="Microsoft YaHei"/>
                <w:color w:val="90989F"/>
                <w:sz w:val="24"/>
                <w:szCs w:val="24"/>
              </w:rPr>
              <w:t xml:space="preserve">Date: October 14, 2026</w:t>
            </w:r>
          </w:p>
          <w:p>
            <w:pPr>
              <w:spacing w:before="4596"/>
            </w:pPr>
          </w:p>
          <w:p>
            <w:pPr>
              <w:pBdr>
                <w:top w:val="single" w:color="37DCF2" w:sz="2" w:space="8"/>
              </w:pBdr>
              <w:spacing w:before="200"/>
              <w:ind w:left="1200" w:right="800"/>
            </w:pPr>
            <w:r>
              <w:rPr>
                <w:rFonts w:ascii="Arial"/>
                <w:color w:val="687078"/>
                <w:sz w:val="16"/>
                <w:szCs w:val="16"/>
              </w:rPr>
              <w:t xml:space="preserve">DG Interns Hub - Cyber Security Internship Program</w:t>
            </w:r>
            <w:r>
              <w:rPr>
                <w:color w:val="687078"/>
              </w:rPr>
              <w:t xml:space="preserve">                                        </w:t>
            </w:r>
            <w:r>
              <w:rPr>
                <w:rFonts w:ascii="Arial"/>
                <w:color w:val="687078"/>
                <w:sz w:val="16"/>
                <w:szCs w:val="16"/>
              </w:rPr>
              <w:t xml:space="preserve">Confidential - Training Use Only</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b/>
          <w:bCs/>
          <w:color w:val="1B6B7A"/>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Scope, Environment and Methodology</w:t>
          </w:r>
          <w:r>
            <w:tab/>
          </w:r>
          <w:r>
            <w:t>1</w:t>
          </w:r>
        </w:p>
        <w:p>
          <w:pPr>
            <w:pStyle w:val="11"/>
            <w:ind w:left="360"/>
            <w:tabs>
              <w:tab w:val="right" w:leader="dot" w:pos="9026"/>
            </w:tabs>
            <w:spacing w:before="120" w:after="60"/>
          </w:pPr>
          <w:r>
            <w:t>2.1 Target and Environment</w:t>
          </w:r>
          <w:r>
            <w:tab/>
          </w:r>
          <w:r>
            <w:t>2</w:t>
          </w:r>
        </w:p>
        <w:p>
          <w:pPr>
            <w:pStyle w:val="11"/>
            <w:ind w:left="360"/>
            <w:tabs>
              <w:tab w:val="right" w:leader="dot" w:pos="9026"/>
            </w:tabs>
            <w:spacing w:before="120" w:after="60"/>
          </w:pPr>
          <w:r>
            <w:t>2.2 Tooling</w:t>
          </w:r>
          <w:r>
            <w:tab/>
          </w:r>
          <w:r>
            <w:t>2</w:t>
          </w:r>
        </w:p>
        <w:p>
          <w:pPr>
            <w:pStyle w:val="11"/>
            <w:ind w:left="360"/>
            <w:tabs>
              <w:tab w:val="right" w:leader="dot" w:pos="9026"/>
            </w:tabs>
            <w:spacing w:before="120" w:after="60"/>
          </w:pPr>
          <w:r>
            <w:t>2.3 Methodology and Evidence Conventions</w:t>
          </w:r>
          <w:r>
            <w:tab/>
          </w:r>
          <w:r>
            <w:t>3</w:t>
          </w:r>
        </w:p>
        <w:p>
          <w:pPr>
            <w:pStyle w:val="9"/>
            <w:tabs>
              <w:tab w:val="right" w:leader="dot" w:pos="9026"/>
            </w:tabs>
            <w:spacing w:before="120" w:after="60"/>
          </w:pPr>
          <w:r>
            <w:t>3. POC 1 - Authentication Bypass via SQL Injection</w:t>
          </w:r>
          <w:r>
            <w:tab/>
          </w:r>
          <w:r>
            <w:t>3</w:t>
          </w:r>
        </w:p>
        <w:p>
          <w:pPr>
            <w:pStyle w:val="11"/>
            <w:ind w:left="360"/>
            <w:tabs>
              <w:tab w:val="right" w:leader="dot" w:pos="9026"/>
            </w:tabs>
            <w:spacing w:before="120" w:after="60"/>
          </w:pPr>
          <w:r>
            <w:t>3.1 Vulnerability Details</w:t>
          </w:r>
          <w:r>
            <w:tab/>
          </w:r>
          <w:r>
            <w:t>3</w:t>
          </w:r>
        </w:p>
        <w:p>
          <w:pPr>
            <w:pStyle w:val="11"/>
            <w:ind w:left="360"/>
            <w:tabs>
              <w:tab w:val="right" w:leader="dot" w:pos="9026"/>
            </w:tabs>
            <w:spacing w:before="120" w:after="60"/>
          </w:pPr>
          <w:r>
            <w:t>3.2 Steps to Reproduce</w:t>
          </w:r>
          <w:r>
            <w:tab/>
          </w:r>
          <w:r>
            <w:t>3</w:t>
          </w:r>
        </w:p>
        <w:p>
          <w:pPr>
            <w:pStyle w:val="11"/>
            <w:ind w:left="360"/>
            <w:tabs>
              <w:tab w:val="right" w:leader="dot" w:pos="9026"/>
            </w:tabs>
            <w:spacing w:before="120" w:after="60"/>
          </w:pPr>
          <w:r>
            <w:t>3.3 Evidence and Impact</w:t>
          </w:r>
          <w:r>
            <w:tab/>
          </w:r>
          <w:r>
            <w:t>4</w:t>
          </w:r>
        </w:p>
        <w:p>
          <w:pPr>
            <w:pStyle w:val="9"/>
            <w:tabs>
              <w:tab w:val="right" w:leader="dot" w:pos="9026"/>
            </w:tabs>
            <w:spacing w:before="120" w:after="60"/>
          </w:pPr>
          <w:r>
            <w:t>4. POC 2 - Broken Access Control (Hidden Administration Panel)</w:t>
          </w:r>
          <w:r>
            <w:tab/>
          </w:r>
          <w:r>
            <w:t>5</w:t>
          </w:r>
        </w:p>
        <w:p>
          <w:pPr>
            <w:pStyle w:val="11"/>
            <w:ind w:left="360"/>
            <w:tabs>
              <w:tab w:val="right" w:leader="dot" w:pos="9026"/>
            </w:tabs>
            <w:spacing w:before="120" w:after="60"/>
          </w:pPr>
          <w:r>
            <w:t>4.1 Vulnerability Details</w:t>
          </w:r>
          <w:r>
            <w:tab/>
          </w:r>
          <w:r>
            <w:t>5</w:t>
          </w:r>
        </w:p>
        <w:p>
          <w:pPr>
            <w:pStyle w:val="11"/>
            <w:ind w:left="360"/>
            <w:tabs>
              <w:tab w:val="right" w:leader="dot" w:pos="9026"/>
            </w:tabs>
            <w:spacing w:before="120" w:after="60"/>
          </w:pPr>
          <w:r>
            <w:t>4.2 Steps to Reproduce</w:t>
          </w:r>
          <w:r>
            <w:tab/>
          </w:r>
          <w:r>
            <w:t>5</w:t>
          </w:r>
        </w:p>
        <w:p>
          <w:pPr>
            <w:pStyle w:val="11"/>
            <w:ind w:left="360"/>
            <w:tabs>
              <w:tab w:val="right" w:leader="dot" w:pos="9026"/>
            </w:tabs>
            <w:spacing w:before="120" w:after="60"/>
          </w:pPr>
          <w:r>
            <w:t>4.3 Evidence and Impact</w:t>
          </w:r>
          <w:r>
            <w:tab/>
          </w:r>
          <w:r>
            <w:t>6</w:t>
          </w:r>
        </w:p>
        <w:p>
          <w:pPr>
            <w:pStyle w:val="9"/>
            <w:tabs>
              <w:tab w:val="right" w:leader="dot" w:pos="9026"/>
            </w:tabs>
            <w:spacing w:before="120" w:after="60"/>
          </w:pPr>
          <w:r>
            <w:t>5. POC 3 - Insecure Direct Object Reference (IDOR) on Users and Basket APIs</w:t>
          </w:r>
          <w:r>
            <w:tab/>
          </w:r>
          <w:r>
            <w:t>6</w:t>
          </w:r>
        </w:p>
        <w:p>
          <w:pPr>
            <w:pStyle w:val="11"/>
            <w:ind w:left="360"/>
            <w:tabs>
              <w:tab w:val="right" w:leader="dot" w:pos="9026"/>
            </w:tabs>
            <w:spacing w:before="120" w:after="60"/>
          </w:pPr>
          <w:r>
            <w:t>5.1 Vulnerability Details</w:t>
          </w:r>
          <w:r>
            <w:tab/>
          </w:r>
          <w:r>
            <w:t>6</w:t>
          </w:r>
        </w:p>
        <w:p>
          <w:pPr>
            <w:pStyle w:val="11"/>
            <w:ind w:left="360"/>
            <w:tabs>
              <w:tab w:val="right" w:leader="dot" w:pos="9026"/>
            </w:tabs>
            <w:spacing w:before="120" w:after="60"/>
          </w:pPr>
          <w:r>
            <w:t>5.2 Steps to Reproduce</w:t>
          </w:r>
          <w:r>
            <w:tab/>
          </w:r>
          <w:r>
            <w:t>7</w:t>
          </w:r>
        </w:p>
        <w:p>
          <w:pPr>
            <w:pStyle w:val="11"/>
            <w:ind w:left="360"/>
            <w:tabs>
              <w:tab w:val="right" w:leader="dot" w:pos="9026"/>
            </w:tabs>
            <w:spacing w:before="120" w:after="60"/>
          </w:pPr>
          <w:r>
            <w:t>5.3 Evidence and Impact</w:t>
          </w:r>
          <w:r>
            <w:tab/>
          </w:r>
          <w:r>
            <w:t>7</w:t>
          </w:r>
        </w:p>
        <w:p>
          <w:pPr>
            <w:pStyle w:val="9"/>
            <w:tabs>
              <w:tab w:val="right" w:leader="dot" w:pos="9026"/>
            </w:tabs>
            <w:spacing w:before="120" w:after="60"/>
          </w:pPr>
          <w:r>
            <w:t>6. POC 4 - Business Logic Flaw (Basket Quantity Parameter Tampering)</w:t>
          </w:r>
          <w:r>
            <w:tab/>
          </w:r>
          <w:r>
            <w:t>8</w:t>
          </w:r>
        </w:p>
        <w:p>
          <w:pPr>
            <w:pStyle w:val="11"/>
            <w:ind w:left="360"/>
            <w:tabs>
              <w:tab w:val="right" w:leader="dot" w:pos="9026"/>
            </w:tabs>
            <w:spacing w:before="120" w:after="60"/>
          </w:pPr>
          <w:r>
            <w:t>6.1 Vulnerability Details</w:t>
          </w:r>
          <w:r>
            <w:tab/>
          </w:r>
          <w:r>
            <w:t>8</w:t>
          </w:r>
        </w:p>
        <w:p>
          <w:pPr>
            <w:pStyle w:val="11"/>
            <w:ind w:left="360"/>
            <w:tabs>
              <w:tab w:val="right" w:leader="dot" w:pos="9026"/>
            </w:tabs>
            <w:spacing w:before="120" w:after="60"/>
          </w:pPr>
          <w:r>
            <w:t>6.2 Steps to Reproduce</w:t>
          </w:r>
          <w:r>
            <w:tab/>
          </w:r>
          <w:r>
            <w:t>8</w:t>
          </w:r>
        </w:p>
        <w:p>
          <w:pPr>
            <w:pStyle w:val="11"/>
            <w:ind w:left="360"/>
            <w:tabs>
              <w:tab w:val="right" w:leader="dot" w:pos="9026"/>
            </w:tabs>
            <w:spacing w:before="120" w:after="60"/>
          </w:pPr>
          <w:r>
            <w:t>6.3 Evidence and Impact</w:t>
          </w:r>
          <w:r>
            <w:tab/>
          </w:r>
          <w:r>
            <w:t>9</w:t>
          </w:r>
        </w:p>
        <w:p>
          <w:pPr>
            <w:pStyle w:val="9"/>
            <w:tabs>
              <w:tab w:val="right" w:leader="dot" w:pos="9026"/>
            </w:tabs>
            <w:spacing w:before="120" w:after="60"/>
          </w:pPr>
          <w:r>
            <w:t>7. POC 5 - Weak Session Management (Token Reuse After Logout)</w:t>
          </w:r>
          <w:r>
            <w:tab/>
          </w:r>
          <w:r>
            <w:t>10</w:t>
          </w:r>
        </w:p>
        <w:p>
          <w:pPr>
            <w:pStyle w:val="11"/>
            <w:ind w:left="360"/>
            <w:tabs>
              <w:tab w:val="right" w:leader="dot" w:pos="9026"/>
            </w:tabs>
            <w:spacing w:before="120" w:after="60"/>
          </w:pPr>
          <w:r>
            <w:t>7.1 Vulnerability Details</w:t>
          </w:r>
          <w:r>
            <w:tab/>
          </w:r>
          <w:r>
            <w:t>10</w:t>
          </w:r>
        </w:p>
        <w:p>
          <w:pPr>
            <w:pStyle w:val="11"/>
            <w:ind w:left="360"/>
            <w:tabs>
              <w:tab w:val="right" w:leader="dot" w:pos="9026"/>
            </w:tabs>
            <w:spacing w:before="120" w:after="60"/>
          </w:pPr>
          <w:r>
            <w:t>7.2 Steps to Reproduce</w:t>
          </w:r>
          <w:r>
            <w:tab/>
          </w:r>
          <w:r>
            <w:t>10</w:t>
          </w:r>
        </w:p>
        <w:p>
          <w:pPr>
            <w:pStyle w:val="11"/>
            <w:ind w:left="360"/>
            <w:tabs>
              <w:tab w:val="right" w:leader="dot" w:pos="9026"/>
            </w:tabs>
            <w:spacing w:before="120" w:after="60"/>
          </w:pPr>
          <w:r>
            <w:t>7.3 Evidence and Impact</w:t>
          </w:r>
          <w:r>
            <w:tab/>
          </w:r>
          <w:r>
            <w:t>11</w:t>
          </w:r>
        </w:p>
        <w:p>
          <w:pPr>
            <w:pStyle w:val="9"/>
            <w:tabs>
              <w:tab w:val="right" w:leader="dot" w:pos="9026"/>
            </w:tabs>
            <w:spacing w:before="120" w:after="60"/>
          </w:pPr>
          <w:r>
            <w:t>8. Consolidated Findings Summary</w:t>
          </w:r>
          <w:r>
            <w:tab/>
          </w:r>
          <w:r>
            <w:t>11</w:t>
          </w:r>
        </w:p>
        <w:p>
          <w:pPr>
            <w:pStyle w:val="9"/>
            <w:tabs>
              <w:tab w:val="right" w:leader="dot" w:pos="9026"/>
            </w:tabs>
            <w:spacing w:before="120" w:after="60"/>
          </w:pPr>
          <w:r>
            <w:t>9. Conclusion</w:t>
          </w:r>
          <w:r>
            <w:tab/>
          </w:r>
          <w:r>
            <w:t>12</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80" w:lineRule="atLeast"/>
      </w:pPr>
      <w:bookmarkStart w:name="_Toc1" w:id="1"/>
      <w:r>
        <w:rPr>
          <w:rFonts w:ascii="Times New Roman" w:eastAsia="Times New Roman"/>
          <w:b/>
          <w:bCs/>
          <w:color w:val="1B6B7A"/>
          <w:sz w:val="32"/>
          <w:szCs w:val="32"/>
        </w:rPr>
        <w:t xml:space="preserve">1. Executive Summary</w:t>
      </w:r>
      <w:bookmarkEnd w:id="1"/>
    </w:p>
    <w:p>
      <w:pPr>
        <w:spacing w:after="120" w:line="312"/>
        <w:jc w:val="both"/>
      </w:pPr>
      <w:r>
        <w:rPr>
          <w:rFonts w:ascii="Times New Roman" w:eastAsia="Times New Roman"/>
          <w:b w:val="false"/>
          <w:bCs w:val="false"/>
          <w:color w:val="000000"/>
          <w:sz w:val="24"/>
          <w:szCs w:val="24"/>
        </w:rPr>
        <w:t xml:space="preserve">This Proof of Concept (POC) document accompanies the Week 8 Advanced Vulnerability Assessment and Penetration Testing (VAPT) report submitted as part of the DG Interns Hub Cyber Security Internship. Its purpose is to demonstrate, in a reproducible and evidence-backed format, how five individually significant weaknesses in the OWASP Juice Shop training application were combined into a single, continuous attack chain that ends in full administrative compromise, exposure of other customers' data, and manipulation of order values. Every payload, request, and response shown here was captured manually during the engagement and is preserved in full in the Burp Suite HTTP history and the screenshot evidence of the main report.</w:t>
      </w:r>
    </w:p>
    <w:p>
      <w:pPr>
        <w:spacing w:after="120" w:line="312"/>
        <w:jc w:val="both"/>
      </w:pPr>
      <w:r>
        <w:rPr>
          <w:rFonts w:ascii="Times New Roman" w:eastAsia="Times New Roman"/>
          <w:b w:val="false"/>
          <w:bCs w:val="false"/>
          <w:color w:val="000000"/>
          <w:sz w:val="24"/>
          <w:szCs w:val="24"/>
        </w:rPr>
        <w:t xml:space="preserve">The chain begins with a classic SQL injection payload in the login form that returns an administrator session without any password knowledge. The elevated session is then used to reach a hidden administration panel, to enumerate other customers' records and baskets through Insecure Direct Object Reference (IDOR), to tamper with basket quantities through a business logic flaw, and finally to prove that the session token remains fully valid even after the user logs out. Together, the five steps illustrate how layered weaknesses compound into an end-to-end compromise that no single defense could have prevented on its own.</w:t>
      </w:r>
    </w:p>
    <w:p>
      <w:pPr>
        <w:spacing w:after="120" w:line="312"/>
        <w:jc w:val="both"/>
      </w:pPr>
      <w:r>
        <w:rPr>
          <w:rFonts w:ascii="Times New Roman" w:eastAsia="Times New Roman"/>
          <w:b w:val="false"/>
          <w:bCs w:val="false"/>
          <w:color w:val="000000"/>
          <w:sz w:val="24"/>
          <w:szCs w:val="24"/>
        </w:rPr>
        <w:t xml:space="preserve">All testing was performed against a locally hosted, isolated instance of OWASP Juice Shop running in Docker. No production systems, real users, or real data were involved at any point. Findings are rated on the standard </w:t>
      </w:r>
      <w:r>
        <w:rPr>
          <w:rFonts w:ascii="Times New Roman" w:eastAsia="Times New Roman"/>
          <w:b/>
          <w:bCs/>
          <w:color w:val="000000"/>
          <w:sz w:val="24"/>
          <w:szCs w:val="24"/>
        </w:rPr>
        <w:t xml:space="preserve">Low, Medium, High, Critical</w:t>
      </w:r>
      <w:r>
        <w:rPr>
          <w:rFonts w:ascii="Times New Roman" w:eastAsia="Times New Roman"/>
          <w:b w:val="false"/>
          <w:bCs w:val="false"/>
          <w:color w:val="000000"/>
          <w:sz w:val="24"/>
          <w:szCs w:val="24"/>
        </w:rPr>
        <w:t xml:space="preserve"> severity scale based on exploitability and potential damage: one Critical, three High, and one Medium finding make up this chain.</w:t>
      </w:r>
    </w:p>
    <w:p>
      <w:pPr>
        <w:pStyle w:val="Heading1"/>
        <w:spacing w:after="160" w:before="360" w:line="380" w:lineRule="atLeast"/>
      </w:pPr>
      <w:bookmarkStart w:name="_Toc2" w:id="2"/>
      <w:r>
        <w:rPr>
          <w:rFonts w:ascii="Times New Roman" w:eastAsia="Times New Roman"/>
          <w:b/>
          <w:bCs/>
          <w:color w:val="1B6B7A"/>
          <w:sz w:val="32"/>
          <w:szCs w:val="32"/>
        </w:rPr>
        <w:t xml:space="preserve">2. Scope, Environment and Methodology</w:t>
      </w:r>
      <w:bookmarkEnd w:id="2"/>
    </w:p>
    <w:p>
      <w:pPr>
        <w:pStyle w:val="Heading2"/>
        <w:spacing w:after="120" w:before="260" w:line="340" w:lineRule="atLeast"/>
      </w:pPr>
      <w:bookmarkStart w:name="_Toc3" w:id="3"/>
      <w:r>
        <w:rPr>
          <w:rFonts w:ascii="Times New Roman" w:eastAsia="Times New Roman"/>
          <w:b/>
          <w:bCs/>
          <w:color w:val="1B6B7A"/>
          <w:sz w:val="28"/>
          <w:szCs w:val="28"/>
        </w:rPr>
        <w:t xml:space="preserve">2.1 Target and Environment</w:t>
      </w:r>
      <w:bookmarkEnd w:id="3"/>
    </w:p>
    <w:p>
      <w:pPr>
        <w:spacing w:after="120" w:line="312"/>
        <w:jc w:val="both"/>
      </w:pPr>
      <w:r>
        <w:rPr>
          <w:rFonts w:ascii="Times New Roman" w:eastAsia="Times New Roman"/>
          <w:b w:val="false"/>
          <w:bCs w:val="false"/>
          <w:color w:val="000000"/>
          <w:sz w:val="24"/>
          <w:szCs w:val="24"/>
        </w:rPr>
        <w:t xml:space="preserve">The target application was OWASP Juice Shop, an intentionally vulnerable web application that is widely used for security training and research. The application was hosted locally in a Docker container and was reachable at http://localhost:3000 throughout the engagement. The environment was completely isolated from external networks, which allowed unrestricted testing without any exposure to production infrastructure or real customer data. The scope of the engagement covered the following areas of the application:</w:t>
      </w:r>
    </w:p>
    <w:p>
      <w:pPr>
        <w:pStyle w:val="ListParagraph"/>
        <w:numPr>
          <w:ilvl w:val="0"/>
          <w:numId w:val="1"/>
        </w:numPr>
        <w:spacing w:after="60" w:line="312"/>
        <w:jc w:val="left"/>
      </w:pPr>
      <w:r>
        <w:rPr>
          <w:rFonts w:ascii="Times New Roman" w:eastAsia="Times New Roman"/>
          <w:color w:val="000000"/>
          <w:sz w:val="24"/>
          <w:szCs w:val="24"/>
        </w:rPr>
        <w:t xml:space="preserve">Authentication and login mechanisms</w:t>
      </w:r>
    </w:p>
    <w:p>
      <w:pPr>
        <w:pStyle w:val="ListParagraph"/>
        <w:numPr>
          <w:ilvl w:val="0"/>
          <w:numId w:val="1"/>
        </w:numPr>
        <w:spacing w:after="60" w:line="312"/>
        <w:jc w:val="left"/>
      </w:pPr>
      <w:r>
        <w:rPr>
          <w:rFonts w:ascii="Times New Roman" w:eastAsia="Times New Roman"/>
          <w:color w:val="000000"/>
          <w:sz w:val="24"/>
          <w:szCs w:val="24"/>
        </w:rPr>
        <w:t xml:space="preserve">The administrative interface and its access control</w:t>
      </w:r>
    </w:p>
    <w:p>
      <w:pPr>
        <w:pStyle w:val="ListParagraph"/>
        <w:numPr>
          <w:ilvl w:val="0"/>
          <w:numId w:val="1"/>
        </w:numPr>
        <w:spacing w:after="60" w:line="312"/>
        <w:jc w:val="left"/>
      </w:pPr>
      <w:r>
        <w:rPr>
          <w:rFonts w:ascii="Times New Roman" w:eastAsia="Times New Roman"/>
          <w:color w:val="000000"/>
          <w:sz w:val="24"/>
          <w:szCs w:val="24"/>
        </w:rPr>
        <w:t xml:space="preserve">REST and API endpoints handling user and order data (Users API, Basket API)</w:t>
      </w:r>
    </w:p>
    <w:p>
      <w:pPr>
        <w:pStyle w:val="ListParagraph"/>
        <w:numPr>
          <w:ilvl w:val="0"/>
          <w:numId w:val="1"/>
        </w:numPr>
        <w:spacing w:after="60" w:line="312"/>
        <w:jc w:val="left"/>
      </w:pPr>
      <w:r>
        <w:rPr>
          <w:rFonts w:ascii="Times New Roman" w:eastAsia="Times New Roman"/>
          <w:color w:val="000000"/>
          <w:sz w:val="24"/>
          <w:szCs w:val="24"/>
        </w:rPr>
        <w:t xml:space="preserve">Basket and checkout logic, including quantity and pricing handling</w:t>
      </w:r>
    </w:p>
    <w:p>
      <w:pPr>
        <w:pStyle w:val="ListParagraph"/>
        <w:numPr>
          <w:ilvl w:val="0"/>
          <w:numId w:val="1"/>
        </w:numPr>
        <w:spacing w:after="60" w:line="312"/>
        <w:jc w:val="left"/>
      </w:pPr>
      <w:r>
        <w:rPr>
          <w:rFonts w:ascii="Times New Roman" w:eastAsia="Times New Roman"/>
          <w:color w:val="000000"/>
          <w:sz w:val="24"/>
          <w:szCs w:val="24"/>
        </w:rPr>
        <w:t xml:space="preserve">Session and token handling across login and logout</w:t>
      </w:r>
    </w:p>
    <w:p>
      <w:pPr>
        <w:pStyle w:val="Heading2"/>
        <w:spacing w:after="120" w:before="260" w:line="340" w:lineRule="atLeast"/>
      </w:pPr>
      <w:bookmarkStart w:name="_Toc4" w:id="4"/>
      <w:r>
        <w:rPr>
          <w:rFonts w:ascii="Times New Roman" w:eastAsia="Times New Roman"/>
          <w:b/>
          <w:bCs/>
          <w:color w:val="1B6B7A"/>
          <w:sz w:val="28"/>
          <w:szCs w:val="28"/>
        </w:rPr>
        <w:t xml:space="preserve">2.2 Tooling</w:t>
      </w:r>
      <w:bookmarkEnd w:id="4"/>
    </w:p>
    <w:p>
      <w:pPr>
        <w:spacing w:after="120" w:line="312"/>
        <w:jc w:val="both"/>
      </w:pPr>
      <w:r>
        <w:rPr>
          <w:rFonts w:ascii="Times New Roman" w:eastAsia="Times New Roman"/>
          <w:b w:val="false"/>
          <w:bCs w:val="false"/>
          <w:color w:val="000000"/>
          <w:sz w:val="24"/>
          <w:szCs w:val="24"/>
        </w:rPr>
        <w:t xml:space="preserve">Burp Suite Community Edition served as the primary testing platform, providing the interception proxy, the HTTP history for request review, and the Repeater tool for controlled, repeatable replay of captured requests. Mozilla Firefox was configured to route all traffic through the Burp proxy so that every request and response between the browser and the application could be observed, modified, and replayed at will. No automated scanners were used at any stage of the engagement.</w:t>
      </w:r>
    </w:p>
    <w:p>
      <w:pPr>
        <w:pStyle w:val="Heading2"/>
        <w:spacing w:after="120" w:before="260" w:line="340" w:lineRule="atLeast"/>
      </w:pPr>
      <w:bookmarkStart w:name="_Toc5" w:id="5"/>
      <w:r>
        <w:rPr>
          <w:rFonts w:ascii="Times New Roman" w:eastAsia="Times New Roman"/>
          <w:b/>
          <w:bCs/>
          <w:color w:val="1B6B7A"/>
          <w:sz w:val="28"/>
          <w:szCs w:val="28"/>
        </w:rPr>
        <w:t xml:space="preserve">2.3 Methodology and Evidence Conventions</w:t>
      </w:r>
      <w:bookmarkEnd w:id="5"/>
    </w:p>
    <w:p>
      <w:pPr>
        <w:spacing w:after="120" w:line="312"/>
        <w:jc w:val="both"/>
      </w:pPr>
      <w:r>
        <w:rPr>
          <w:rFonts w:ascii="Times New Roman" w:eastAsia="Times New Roman"/>
          <w:b w:val="false"/>
          <w:bCs w:val="false"/>
          <w:color w:val="000000"/>
          <w:sz w:val="24"/>
          <w:szCs w:val="24"/>
        </w:rPr>
        <w:t xml:space="preserve">The engagement deliberately favored manual, logic-driven testing over automated mass scanning, in line with the Week 8 assignment requirements. Each attack step was designed to build on the privileges or information gained in the previous step, producing a single coherent attack chain rather than a list of isolated findings. Requests and responses reproduced in this document are taken from the Burp Suite HTTP history captured during testing.</w:t>
      </w:r>
    </w:p>
    <w:p>
      <w:pPr>
        <w:spacing w:after="120" w:line="312"/>
        <w:jc w:val="both"/>
      </w:pPr>
      <w:r>
        <w:rPr>
          <w:rFonts w:ascii="Times New Roman" w:eastAsia="Times New Roman"/>
          <w:b/>
          <w:bCs/>
          <w:color w:val="000000"/>
          <w:sz w:val="24"/>
          <w:szCs w:val="24"/>
        </w:rPr>
        <w:t xml:space="preserve">Evidence conventions: </w:t>
      </w:r>
      <w:r>
        <w:rPr>
          <w:rFonts w:ascii="Times New Roman" w:eastAsia="Times New Roman"/>
          <w:b w:val="false"/>
          <w:bCs w:val="false"/>
          <w:color w:val="000000"/>
          <w:sz w:val="24"/>
          <w:szCs w:val="24"/>
        </w:rPr>
        <w:t xml:space="preserve">long tokens and identifiers in the listings below are truncated for readability; complete values are preserved in the original capture files. Screenshot evidence is referenced as Figure N, where N corresponds to the numbered figures of the main Week 8 report. All testing was performed by the authorized intern against the locally hosted training instance only.</w:t>
      </w:r>
    </w:p>
    <w:p>
      <w:pPr>
        <w:pStyle w:val="Heading1"/>
        <w:spacing w:after="160" w:before="360" w:line="380" w:lineRule="atLeast"/>
      </w:pPr>
      <w:bookmarkStart w:name="_Toc6" w:id="6"/>
      <w:r>
        <w:rPr>
          <w:rFonts w:ascii="Times New Roman" w:eastAsia="Times New Roman"/>
          <w:b/>
          <w:bCs/>
          <w:color w:val="1B6B7A"/>
          <w:sz w:val="32"/>
          <w:szCs w:val="32"/>
        </w:rPr>
        <w:t xml:space="preserve">3. POC 1 - Authentication Bypass via SQL Injection</w:t>
      </w:r>
      <w:bookmarkEnd w:id="6"/>
    </w:p>
    <w:p>
      <w:pPr>
        <w:pStyle w:val="Heading2"/>
        <w:spacing w:after="120" w:before="260" w:line="340" w:lineRule="atLeast"/>
      </w:pPr>
      <w:bookmarkStart w:name="_Toc7" w:id="7"/>
      <w:r>
        <w:rPr>
          <w:rFonts w:ascii="Times New Roman" w:eastAsia="Times New Roman"/>
          <w:b/>
          <w:bCs/>
          <w:color w:val="1B6B7A"/>
          <w:sz w:val="28"/>
          <w:szCs w:val="28"/>
        </w:rPr>
        <w:t xml:space="preserve">3.1 Vulnerability Details</w:t>
      </w:r>
      <w:bookmarkEnd w:id="7"/>
    </w:p>
    <w:p>
      <w:pPr>
        <w:spacing w:after="120" w:line="312"/>
        <w:jc w:val="both"/>
      </w:pPr>
      <w:r>
        <w:rPr>
          <w:rFonts w:ascii="Times New Roman" w:eastAsia="Times New Roman"/>
          <w:b w:val="false"/>
          <w:bCs w:val="false"/>
          <w:color w:val="000000"/>
          <w:sz w:val="24"/>
          <w:szCs w:val="24"/>
        </w:rPr>
        <w:t xml:space="preserve">The login form passes the user-supplied email value into a SQL query without parameterization. By supplying a crafted email value together with an arbitrary password, an attacker can force the query's WHERE condition to always evaluate as true. The database then returns the first registered account, which in Juice Shop is the administrator, and the application issues a valid session for that account without the real password ever being known.</w:t>
      </w:r>
    </w:p>
    <w:tbl>
      <w:tblPr>
        <w:tblW w:type="pct" w:w="5000"/>
        <w:tblBorders>
          <w:top w:val="single" w:color="C8DDE2" w:sz="4"/>
          <w:left w:val="none" w:color="FFFFFF" w:sz="0"/>
          <w:bottom w:val="single" w:color="C8DDE2" w:sz="4"/>
          <w:right w:val="none" w:color="FFFFFF" w:sz="0"/>
          <w:insideH w:val="single" w:color="C8DDE2" w:sz="2"/>
          <w:insideV w:val="none" w:color="FFFFFF" w:sz="0"/>
        </w:tblBorders>
      </w:tblPr>
      <w:tblGrid>
        <w:gridCol w:w="2461"/>
        <w:gridCol w:w="6327"/>
      </w:tblGrid>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Severity</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Critical</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Weakness Class</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CWE-89 - SQL Injection</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Affected Endpoint</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POST /rest/user/login</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Main Report Evidence</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Figures 4 and 5</w:t>
            </w:r>
          </w:p>
        </w:tc>
      </w:tr>
    </w:tbl>
    <w:p>
      <w:pPr>
        <w:pStyle w:val="Heading2"/>
        <w:spacing w:after="120" w:before="260" w:line="340" w:lineRule="atLeast"/>
      </w:pPr>
      <w:bookmarkStart w:name="_Toc8" w:id="8"/>
      <w:r>
        <w:rPr>
          <w:rFonts w:ascii="Times New Roman" w:eastAsia="Times New Roman"/>
          <w:b/>
          <w:bCs/>
          <w:color w:val="1B6B7A"/>
          <w:sz w:val="28"/>
          <w:szCs w:val="28"/>
        </w:rPr>
        <w:t xml:space="preserve">3.2 Steps to Reproduce</w:t>
      </w:r>
      <w:bookmarkEnd w:id="8"/>
    </w:p>
    <w:p>
      <w:pPr>
        <w:pStyle w:val="ListParagraph"/>
        <w:numPr>
          <w:ilvl w:val="0"/>
          <w:numId w:val="2"/>
        </w:numPr>
        <w:spacing w:after="60" w:line="312"/>
        <w:jc w:val="left"/>
      </w:pPr>
      <w:r>
        <w:rPr>
          <w:rFonts w:ascii="Times New Roman" w:eastAsia="Times New Roman"/>
          <w:color w:val="000000"/>
          <w:sz w:val="24"/>
          <w:szCs w:val="24"/>
        </w:rPr>
        <w:t xml:space="preserve">Open the application login page at http://localhost:3000 with Firefox routed through the Burp Suite proxy.</w:t>
      </w:r>
    </w:p>
    <w:p>
      <w:pPr>
        <w:pStyle w:val="ListParagraph"/>
        <w:numPr>
          <w:ilvl w:val="0"/>
          <w:numId w:val="2"/>
        </w:numPr>
        <w:spacing w:after="60" w:line="312"/>
        <w:jc w:val="left"/>
      </w:pPr>
      <w:r>
        <w:rPr>
          <w:rFonts w:ascii="Times New Roman" w:eastAsia="Times New Roman"/>
          <w:color w:val="000000"/>
          <w:sz w:val="24"/>
          <w:szCs w:val="24"/>
        </w:rPr>
        <w:t xml:space="preserve">Enter the payload ' or 1=1-- in the Email field and any non-empty string, for example x, in the Password field.</w:t>
      </w:r>
    </w:p>
    <w:p>
      <w:pPr>
        <w:pStyle w:val="ListParagraph"/>
        <w:numPr>
          <w:ilvl w:val="0"/>
          <w:numId w:val="2"/>
        </w:numPr>
        <w:spacing w:after="60" w:line="312"/>
        <w:jc w:val="left"/>
      </w:pPr>
      <w:r>
        <w:rPr>
          <w:rFonts w:ascii="Times New Roman" w:eastAsia="Times New Roman"/>
          <w:color w:val="000000"/>
          <w:sz w:val="24"/>
          <w:szCs w:val="24"/>
        </w:rPr>
        <w:t xml:space="preserve">Submit the login form and locate the POST /rest/user/login request in the Burp Proxy HTTP history.</w:t>
      </w:r>
    </w:p>
    <w:p>
      <w:pPr>
        <w:pStyle w:val="ListParagraph"/>
        <w:numPr>
          <w:ilvl w:val="0"/>
          <w:numId w:val="2"/>
        </w:numPr>
        <w:spacing w:after="60" w:line="312"/>
        <w:jc w:val="left"/>
      </w:pPr>
      <w:r>
        <w:rPr>
          <w:rFonts w:ascii="Times New Roman" w:eastAsia="Times New Roman"/>
          <w:color w:val="000000"/>
          <w:sz w:val="24"/>
          <w:szCs w:val="24"/>
        </w:rPr>
        <w:t xml:space="preserve">Inspect the response body: the server returns HTTP 200 with a valid authentication token for the administrator account.</w:t>
      </w:r>
    </w:p>
    <w:p>
      <w:pPr>
        <w:pStyle w:val="ListParagraph"/>
        <w:numPr>
          <w:ilvl w:val="0"/>
          <w:numId w:val="2"/>
        </w:numPr>
        <w:spacing w:after="60" w:line="312"/>
        <w:jc w:val="left"/>
      </w:pPr>
      <w:r>
        <w:rPr>
          <w:rFonts w:ascii="Times New Roman" w:eastAsia="Times New Roman"/>
          <w:color w:val="000000"/>
          <w:sz w:val="24"/>
          <w:szCs w:val="24"/>
        </w:rPr>
        <w:t xml:space="preserve">Observe the application's own confirmation that the Login Admin and Score Board challenges were solved.</w:t>
      </w:r>
    </w:p>
    <w:p>
      <w:pPr>
        <w:pStyle w:val="Heading2"/>
        <w:spacing w:after="120" w:before="260" w:line="340" w:lineRule="atLeast"/>
      </w:pPr>
      <w:bookmarkStart w:name="_Toc9" w:id="9"/>
      <w:r>
        <w:rPr>
          <w:rFonts w:ascii="Times New Roman" w:eastAsia="Times New Roman"/>
          <w:b/>
          <w:bCs/>
          <w:color w:val="1B6B7A"/>
          <w:sz w:val="28"/>
          <w:szCs w:val="28"/>
        </w:rPr>
        <w:t xml:space="preserve">3.3 Evidence and Impact</w:t>
      </w:r>
      <w:bookmarkEnd w:id="9"/>
    </w:p>
    <w:p>
      <w:pPr>
        <w:keepNext/>
        <w:spacing w:after="80" w:before="160" w:line="312"/>
        <w:jc w:val="left"/>
      </w:pPr>
      <w:r>
        <w:rPr>
          <w:rFonts w:ascii="Times New Roman" w:eastAsia="Times New Roman"/>
          <w:b/>
          <w:bCs/>
          <w:color w:val="1B6B7A"/>
          <w:sz w:val="21"/>
          <w:szCs w:val="21"/>
        </w:rPr>
        <w:t xml:space="preserve">Listing 1: SQL injection payload entered in the login email field</w:t>
      </w:r>
    </w:p>
    <w:tbl>
      <w:tblPr>
        <w:tblW w:type="pct" w:w="5000"/>
        <w:tblBorders>
          <w:top w:val="single" w:color="C8DDE2" w:sz="4"/>
          <w:left w:val="single" w:color="C8DDE2" w:sz="4"/>
          <w:bottom w:val="single" w:color="C8DDE2" w:sz="4"/>
          <w:right w:val="single" w:color="C8DDE2" w:sz="4"/>
          <w:insideH w:val="none" w:color="FFFFFF" w:sz="0"/>
          <w:insideV w:val="none" w:color="FFFFFF" w:sz="0"/>
        </w:tblBorders>
      </w:tblPr>
      <w:tblGrid>
        <w:gridCol w:w="8788"/>
      </w:tblGrid>
      <w:tr>
        <w:trPr>
          <w:cantSplit w:val="off"/>
        </w:trPr>
        <w:tc>
          <w:tcPr>
            <w:tcW w:type="pct" w:w="5000"/>
            <w:shd w:fill="EDF3F5" w:val="clear"/>
            <w:tcMar>
              <w:top w:type="dxa" w:w="100"/>
              <w:left w:type="dxa" w:w="160"/>
              <w:bottom w:type="dxa" w:w="100"/>
              <w:right w:type="dxa" w:w="160"/>
            </w:tcMar>
          </w:tcPr>
          <w:p>
            <w:pPr>
              <w:spacing w:after="0" w:line="312"/>
              <w:jc w:val="left"/>
            </w:pPr>
            <w:r>
              <w:rPr>
                <w:rFonts w:ascii="Consolas" w:eastAsia="Consolas"/>
                <w:color w:val="000000"/>
                <w:sz w:val="18"/>
                <w:szCs w:val="18"/>
              </w:rPr>
              <w:t xml:space="preserve">' or 1=1--</w:t>
            </w:r>
          </w:p>
        </w:tc>
      </w:tr>
    </w:tbl>
    <w:p>
      <w:pPr>
        <w:keepNext/>
        <w:spacing w:after="80" w:before="160" w:line="312"/>
        <w:jc w:val="left"/>
      </w:pPr>
      <w:r>
        <w:rPr>
          <w:rFonts w:ascii="Times New Roman" w:eastAsia="Times New Roman"/>
          <w:b/>
          <w:bCs/>
          <w:color w:val="1B6B7A"/>
          <w:sz w:val="21"/>
          <w:szCs w:val="21"/>
        </w:rPr>
        <w:t xml:space="preserve">Listing 2: Login request carrying the injection payload, and the server response (token truncated)</w:t>
      </w:r>
    </w:p>
    <w:tbl>
      <w:tblPr>
        <w:tblW w:type="pct" w:w="5000"/>
        <w:tblBorders>
          <w:top w:val="single" w:color="C8DDE2" w:sz="4"/>
          <w:left w:val="single" w:color="C8DDE2" w:sz="4"/>
          <w:bottom w:val="single" w:color="C8DDE2" w:sz="4"/>
          <w:right w:val="single" w:color="C8DDE2" w:sz="4"/>
          <w:insideH w:val="none" w:color="FFFFFF" w:sz="0"/>
          <w:insideV w:val="none" w:color="FFFFFF" w:sz="0"/>
        </w:tblBorders>
      </w:tblPr>
      <w:tblGrid>
        <w:gridCol w:w="8788"/>
      </w:tblGrid>
      <w:tr>
        <w:trPr>
          <w:cantSplit w:val="off"/>
        </w:trPr>
        <w:tc>
          <w:tcPr>
            <w:tcW w:type="pct" w:w="5000"/>
            <w:shd w:fill="EDF3F5" w:val="clear"/>
            <w:tcMar>
              <w:top w:type="dxa" w:w="100"/>
              <w:left w:type="dxa" w:w="160"/>
              <w:bottom w:type="dxa" w:w="100"/>
              <w:right w:type="dxa" w:w="160"/>
            </w:tcMar>
          </w:tcPr>
          <w:p>
            <w:pPr>
              <w:spacing w:after="0" w:line="312"/>
              <w:jc w:val="left"/>
            </w:pPr>
            <w:r>
              <w:rPr>
                <w:rFonts w:ascii="Consolas" w:eastAsia="Consolas"/>
                <w:color w:val="000000"/>
                <w:sz w:val="18"/>
                <w:szCs w:val="18"/>
              </w:rPr>
              <w:t xml:space="preserve">POST /rest/user/login HTTP/1.1</w:t>
            </w:r>
          </w:p>
          <w:p>
            <w:pPr>
              <w:spacing w:after="0" w:line="312"/>
              <w:jc w:val="left"/>
            </w:pPr>
            <w:r>
              <w:rPr>
                <w:rFonts w:ascii="Consolas" w:eastAsia="Consolas"/>
                <w:color w:val="000000"/>
                <w:sz w:val="18"/>
                <w:szCs w:val="18"/>
              </w:rPr>
              <w:t xml:space="preserve">Host: localhost:3000</w:t>
            </w:r>
          </w:p>
          <w:p>
            <w:pPr>
              <w:spacing w:after="0" w:line="312"/>
              <w:jc w:val="left"/>
            </w:pPr>
            <w:r>
              <w:rPr>
                <w:rFonts w:ascii="Consolas" w:eastAsia="Consolas"/>
                <w:color w:val="000000"/>
                <w:sz w:val="18"/>
                <w:szCs w:val="18"/>
              </w:rPr>
              <w:t xml:space="preserve">Content-Type: application/json</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w:t>
            </w:r>
          </w:p>
          <w:p>
            <w:pPr>
              <w:spacing w:after="0" w:line="312"/>
              <w:jc w:val="left"/>
            </w:pPr>
            <w:r>
              <w:rPr>
                <w:rFonts w:ascii="Consolas" w:eastAsia="Consolas"/>
                <w:color w:val="000000"/>
                <w:sz w:val="18"/>
                <w:szCs w:val="18"/>
              </w:rPr>
              <w:t xml:space="preserve">  "email": "' or 1=1--",</w:t>
            </w:r>
          </w:p>
          <w:p>
            <w:pPr>
              <w:spacing w:after="0" w:line="312"/>
              <w:jc w:val="left"/>
            </w:pPr>
            <w:r>
              <w:rPr>
                <w:rFonts w:ascii="Consolas" w:eastAsia="Consolas"/>
                <w:color w:val="000000"/>
                <w:sz w:val="18"/>
                <w:szCs w:val="18"/>
              </w:rPr>
              <w:t xml:space="preserve">  "password": "x"</w:t>
            </w:r>
          </w:p>
          <w:p>
            <w:pPr>
              <w:spacing w:after="0" w:line="312"/>
              <w:jc w:val="left"/>
            </w:pPr>
            <w:r>
              <w:rPr>
                <w:rFonts w:ascii="Consolas" w:eastAsia="Consolas"/>
                <w:color w:val="000000"/>
                <w:sz w:val="18"/>
                <w:szCs w:val="18"/>
              </w:rPr>
              <w:t xml:space="preserve">}</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HTTP/1.1 200 OK</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w:t>
            </w:r>
          </w:p>
          <w:p>
            <w:pPr>
              <w:spacing w:after="0" w:line="312"/>
              <w:jc w:val="left"/>
            </w:pPr>
            <w:r>
              <w:rPr>
                <w:rFonts w:ascii="Consolas" w:eastAsia="Consolas"/>
                <w:color w:val="000000"/>
                <w:sz w:val="18"/>
                <w:szCs w:val="18"/>
              </w:rPr>
              <w:t xml:space="preserve">  "authentication": {</w:t>
            </w:r>
          </w:p>
          <w:p>
            <w:pPr>
              <w:spacing w:after="0" w:line="312"/>
              <w:jc w:val="left"/>
            </w:pPr>
            <w:r>
              <w:rPr>
                <w:rFonts w:ascii="Consolas" w:eastAsia="Consolas"/>
                <w:color w:val="000000"/>
                <w:sz w:val="18"/>
                <w:szCs w:val="18"/>
              </w:rPr>
              <w:t xml:space="preserve">    "token": "eyJhbGciOiJIUzI1NiIsInR5cCI6IkpXVCJ9.eyJkYXRhIjox...",</w:t>
            </w:r>
          </w:p>
          <w:p>
            <w:pPr>
              <w:spacing w:after="0" w:line="312"/>
              <w:jc w:val="left"/>
            </w:pPr>
            <w:r>
              <w:rPr>
                <w:rFonts w:ascii="Consolas" w:eastAsia="Consolas"/>
                <w:color w:val="000000"/>
                <w:sz w:val="18"/>
                <w:szCs w:val="18"/>
              </w:rPr>
              <w:t xml:space="preserve">    "umail": "admin@juice-sh.op",</w:t>
            </w:r>
          </w:p>
          <w:p>
            <w:pPr>
              <w:spacing w:after="0" w:line="312"/>
              <w:jc w:val="left"/>
            </w:pPr>
            <w:r>
              <w:rPr>
                <w:rFonts w:ascii="Consolas" w:eastAsia="Consolas"/>
                <w:color w:val="000000"/>
                <w:sz w:val="18"/>
                <w:szCs w:val="18"/>
              </w:rPr>
              <w:t xml:space="preserve">    "bid": 1</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w:t>
            </w:r>
          </w:p>
        </w:tc>
      </w:tr>
    </w:tbl>
    <w:p>
      <w:pPr>
        <w:spacing w:after="120" w:line="312"/>
        <w:jc w:val="both"/>
      </w:pPr>
      <w:r>
        <w:rPr>
          <w:rFonts w:ascii="Times New Roman" w:eastAsia="Times New Roman"/>
          <w:b w:val="false"/>
          <w:bCs w:val="false"/>
          <w:color w:val="000000"/>
          <w:sz w:val="24"/>
          <w:szCs w:val="24"/>
        </w:rPr>
        <w:t xml:space="preserve">Observed result: the server accepted the crafted payload and returned HTTP 200 with a valid JSON Web Token for the administrator account, identifiable by the umail value admin@juice-sh.op in the response. The application itself confirmed the successful exploitation by awarding the Login Admin and Score Board challenges, as captured in Figures 4 and 5 of the main report. The administrator's real password was never known, guessed, or reset.</w:t>
      </w:r>
    </w:p>
    <w:p>
      <w:pPr>
        <w:spacing w:after="120" w:line="312"/>
        <w:jc w:val="both"/>
      </w:pPr>
      <w:r>
        <w:rPr>
          <w:rFonts w:ascii="Times New Roman" w:eastAsia="Times New Roman"/>
          <w:b/>
          <w:bCs/>
          <w:color w:val="000000"/>
          <w:sz w:val="24"/>
          <w:szCs w:val="24"/>
        </w:rPr>
        <w:t xml:space="preserve">Impact: </w:t>
      </w:r>
      <w:r>
        <w:rPr>
          <w:rFonts w:ascii="Times New Roman" w:eastAsia="Times New Roman"/>
          <w:b w:val="false"/>
          <w:bCs w:val="false"/>
          <w:color w:val="000000"/>
          <w:sz w:val="24"/>
          <w:szCs w:val="24"/>
        </w:rPr>
        <w:t xml:space="preserve">an unauthenticated visitor gains full administrative session access with a single, well-known payload. This session is the entry point of the entire chain, and every subsequent step depends on the elevated privileges obtained here. The finding is rated </w:t>
      </w:r>
      <w:r>
        <w:rPr>
          <w:rFonts w:ascii="Times New Roman" w:eastAsia="Times New Roman"/>
          <w:b/>
          <w:bCs/>
          <w:color w:val="000000"/>
          <w:sz w:val="24"/>
          <w:szCs w:val="24"/>
        </w:rPr>
        <w:t xml:space="preserve">Critical</w:t>
      </w:r>
      <w:r>
        <w:rPr>
          <w:rFonts w:ascii="Times New Roman" w:eastAsia="Times New Roman"/>
          <w:b w:val="false"/>
          <w:bCs w:val="false"/>
          <w:color w:val="000000"/>
          <w:sz w:val="24"/>
          <w:szCs w:val="24"/>
        </w:rPr>
        <w:t xml:space="preserve"> because it requires no prior access, no user interaction, and no privileged knowledge.</w:t>
      </w:r>
    </w:p>
    <w:p>
      <w:pPr>
        <w:pStyle w:val="Heading1"/>
        <w:spacing w:after="160" w:before="360" w:line="380" w:lineRule="atLeast"/>
      </w:pPr>
      <w:bookmarkStart w:name="_Toc10" w:id="10"/>
      <w:r>
        <w:rPr>
          <w:rFonts w:ascii="Times New Roman" w:eastAsia="Times New Roman"/>
          <w:b/>
          <w:bCs/>
          <w:color w:val="1B6B7A"/>
          <w:sz w:val="32"/>
          <w:szCs w:val="32"/>
        </w:rPr>
        <w:t xml:space="preserve">4. POC 2 - Broken Access Control (Hidden Administration Panel)</w:t>
      </w:r>
      <w:bookmarkEnd w:id="10"/>
    </w:p>
    <w:p>
      <w:pPr>
        <w:pStyle w:val="Heading2"/>
        <w:spacing w:after="120" w:before="260" w:line="340" w:lineRule="atLeast"/>
      </w:pPr>
      <w:bookmarkStart w:name="_Toc11" w:id="11"/>
      <w:r>
        <w:rPr>
          <w:rFonts w:ascii="Times New Roman" w:eastAsia="Times New Roman"/>
          <w:b/>
          <w:bCs/>
          <w:color w:val="1B6B7A"/>
          <w:sz w:val="28"/>
          <w:szCs w:val="28"/>
        </w:rPr>
        <w:t xml:space="preserve">4.1 Vulnerability Details</w:t>
      </w:r>
      <w:bookmarkEnd w:id="11"/>
    </w:p>
    <w:p>
      <w:pPr>
        <w:spacing w:after="120" w:line="312"/>
        <w:jc w:val="both"/>
      </w:pPr>
      <w:r>
        <w:rPr>
          <w:rFonts w:ascii="Times New Roman" w:eastAsia="Times New Roman"/>
          <w:b w:val="false"/>
          <w:bCs w:val="false"/>
          <w:color w:val="000000"/>
          <w:sz w:val="24"/>
          <w:szCs w:val="24"/>
        </w:rPr>
        <w:t xml:space="preserve">The administration panel of the application lives behind the frontend route /#/administration. This route is not linked anywhere in the navigation menu shown to normal users, which creates the appearance of protection. In reality, once an attacker holds the administrator session obtained in POC 1, the application renders the full panel and its backing API calls without performing any additional server-side role check. Hiding a menu item is a user interface decision, not an authorization control.</w:t>
      </w:r>
    </w:p>
    <w:tbl>
      <w:tblPr>
        <w:tblW w:type="pct" w:w="5000"/>
        <w:tblBorders>
          <w:top w:val="single" w:color="C8DDE2" w:sz="4"/>
          <w:left w:val="none" w:color="FFFFFF" w:sz="0"/>
          <w:bottom w:val="single" w:color="C8DDE2" w:sz="4"/>
          <w:right w:val="none" w:color="FFFFFF" w:sz="0"/>
          <w:insideH w:val="single" w:color="C8DDE2" w:sz="2"/>
          <w:insideV w:val="none" w:color="FFFFFF" w:sz="0"/>
        </w:tblBorders>
      </w:tblPr>
      <w:tblGrid>
        <w:gridCol w:w="2461"/>
        <w:gridCol w:w="6327"/>
      </w:tblGrid>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Severity</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High</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Weakness Class</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CWE-284 - Improper Access Control</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Affected Endpoint</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/#/administration route, backed by GET /api/Users and GET /api/Feedbacks</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Main Report Evidence</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Figures 6 and 7</w:t>
            </w:r>
          </w:p>
        </w:tc>
      </w:tr>
    </w:tbl>
    <w:p>
      <w:pPr>
        <w:pStyle w:val="Heading2"/>
        <w:spacing w:after="120" w:before="260" w:line="340" w:lineRule="atLeast"/>
      </w:pPr>
      <w:bookmarkStart w:name="_Toc12" w:id="12"/>
      <w:r>
        <w:rPr>
          <w:rFonts w:ascii="Times New Roman" w:eastAsia="Times New Roman"/>
          <w:b/>
          <w:bCs/>
          <w:color w:val="1B6B7A"/>
          <w:sz w:val="28"/>
          <w:szCs w:val="28"/>
        </w:rPr>
        <w:t xml:space="preserve">4.2 Steps to Reproduce</w:t>
      </w:r>
      <w:bookmarkEnd w:id="12"/>
    </w:p>
    <w:p>
      <w:pPr>
        <w:pStyle w:val="ListParagraph"/>
        <w:numPr>
          <w:ilvl w:val="0"/>
          <w:numId w:val="3"/>
        </w:numPr>
        <w:spacing w:after="60" w:line="312"/>
        <w:jc w:val="left"/>
      </w:pPr>
      <w:r>
        <w:rPr>
          <w:rFonts w:ascii="Times New Roman" w:eastAsia="Times New Roman"/>
          <w:color w:val="000000"/>
          <w:sz w:val="24"/>
          <w:szCs w:val="24"/>
        </w:rPr>
        <w:t xml:space="preserve">With the administrator session from POC 1 active in the browser, navigate directly to http://localhost:3000/#/administration.</w:t>
      </w:r>
    </w:p>
    <w:p>
      <w:pPr>
        <w:pStyle w:val="ListParagraph"/>
        <w:numPr>
          <w:ilvl w:val="0"/>
          <w:numId w:val="3"/>
        </w:numPr>
        <w:spacing w:after="60" w:line="312"/>
        <w:jc w:val="left"/>
      </w:pPr>
      <w:r>
        <w:rPr>
          <w:rFonts w:ascii="Times New Roman" w:eastAsia="Times New Roman"/>
          <w:color w:val="000000"/>
          <w:sz w:val="24"/>
          <w:szCs w:val="24"/>
        </w:rPr>
        <w:t xml:space="preserve">Observe that the administration panel renders completely, listing every registered user account and all customer feedback, with no further authorization prompt.</w:t>
      </w:r>
    </w:p>
    <w:p>
      <w:pPr>
        <w:pStyle w:val="ListParagraph"/>
        <w:numPr>
          <w:ilvl w:val="0"/>
          <w:numId w:val="3"/>
        </w:numPr>
        <w:spacing w:after="60" w:line="312"/>
        <w:jc w:val="left"/>
      </w:pPr>
      <w:r>
        <w:rPr>
          <w:rFonts w:ascii="Times New Roman" w:eastAsia="Times New Roman"/>
          <w:color w:val="000000"/>
          <w:sz w:val="24"/>
          <w:szCs w:val="24"/>
        </w:rPr>
        <w:t xml:space="preserve">In Burp Suite, inspect the backing API calls issued by the panel: GET /api/Users and GET /api/Feedbacks, both carrying the same Bearer token.</w:t>
      </w:r>
    </w:p>
    <w:p>
      <w:pPr>
        <w:pStyle w:val="ListParagraph"/>
        <w:numPr>
          <w:ilvl w:val="0"/>
          <w:numId w:val="3"/>
        </w:numPr>
        <w:spacing w:after="60" w:line="312"/>
        <w:jc w:val="left"/>
      </w:pPr>
      <w:r>
        <w:rPr>
          <w:rFonts w:ascii="Times New Roman" w:eastAsia="Times New Roman"/>
          <w:color w:val="000000"/>
          <w:sz w:val="24"/>
          <w:szCs w:val="24"/>
        </w:rPr>
        <w:t xml:space="preserve">Open an individual user record from the panel and note the exposed email address and the account creation and update dates.</w:t>
      </w:r>
    </w:p>
    <w:p>
      <w:pPr>
        <w:pStyle w:val="Heading2"/>
        <w:spacing w:after="120" w:before="260" w:line="340" w:lineRule="atLeast"/>
      </w:pPr>
      <w:bookmarkStart w:name="_Toc13" w:id="13"/>
      <w:r>
        <w:rPr>
          <w:rFonts w:ascii="Times New Roman" w:eastAsia="Times New Roman"/>
          <w:b/>
          <w:bCs/>
          <w:color w:val="1B6B7A"/>
          <w:sz w:val="28"/>
          <w:szCs w:val="28"/>
        </w:rPr>
        <w:t xml:space="preserve">4.3 Evidence and Impact</w:t>
      </w:r>
      <w:bookmarkEnd w:id="13"/>
    </w:p>
    <w:p>
      <w:pPr>
        <w:keepNext/>
        <w:spacing w:after="80" w:before="160" w:line="312"/>
        <w:jc w:val="left"/>
      </w:pPr>
      <w:r>
        <w:rPr>
          <w:rFonts w:ascii="Times New Roman" w:eastAsia="Times New Roman"/>
          <w:b/>
          <w:bCs/>
          <w:color w:val="1B6B7A"/>
          <w:sz w:val="21"/>
          <w:szCs w:val="21"/>
        </w:rPr>
        <w:t xml:space="preserve">Listing 3: Users API request issued by the administration panel (token truncated)</w:t>
      </w:r>
    </w:p>
    <w:tbl>
      <w:tblPr>
        <w:tblW w:type="pct" w:w="5000"/>
        <w:tblBorders>
          <w:top w:val="single" w:color="C8DDE2" w:sz="4"/>
          <w:left w:val="single" w:color="C8DDE2" w:sz="4"/>
          <w:bottom w:val="single" w:color="C8DDE2" w:sz="4"/>
          <w:right w:val="single" w:color="C8DDE2" w:sz="4"/>
          <w:insideH w:val="none" w:color="FFFFFF" w:sz="0"/>
          <w:insideV w:val="none" w:color="FFFFFF" w:sz="0"/>
        </w:tblBorders>
      </w:tblPr>
      <w:tblGrid>
        <w:gridCol w:w="8788"/>
      </w:tblGrid>
      <w:tr>
        <w:trPr>
          <w:cantSplit w:val="off"/>
        </w:trPr>
        <w:tc>
          <w:tcPr>
            <w:tcW w:type="pct" w:w="5000"/>
            <w:shd w:fill="EDF3F5" w:val="clear"/>
            <w:tcMar>
              <w:top w:type="dxa" w:w="100"/>
              <w:left w:type="dxa" w:w="160"/>
              <w:bottom w:type="dxa" w:w="100"/>
              <w:right w:type="dxa" w:w="160"/>
            </w:tcMar>
          </w:tcPr>
          <w:p>
            <w:pPr>
              <w:spacing w:after="0" w:line="312"/>
              <w:jc w:val="left"/>
            </w:pPr>
            <w:r>
              <w:rPr>
                <w:rFonts w:ascii="Consolas" w:eastAsia="Consolas"/>
                <w:color w:val="000000"/>
                <w:sz w:val="18"/>
                <w:szCs w:val="18"/>
              </w:rPr>
              <w:t xml:space="preserve">GET /api/Users HTTP/1.1</w:t>
            </w:r>
          </w:p>
          <w:p>
            <w:pPr>
              <w:spacing w:after="0" w:line="312"/>
              <w:jc w:val="left"/>
            </w:pPr>
            <w:r>
              <w:rPr>
                <w:rFonts w:ascii="Consolas" w:eastAsia="Consolas"/>
                <w:color w:val="000000"/>
                <w:sz w:val="18"/>
                <w:szCs w:val="18"/>
              </w:rPr>
              <w:t xml:space="preserve">Host: localhost:3000</w:t>
            </w:r>
          </w:p>
          <w:p>
            <w:pPr>
              <w:spacing w:after="0" w:line="312"/>
              <w:jc w:val="left"/>
            </w:pPr>
            <w:r>
              <w:rPr>
                <w:rFonts w:ascii="Consolas" w:eastAsia="Consolas"/>
                <w:color w:val="000000"/>
                <w:sz w:val="18"/>
                <w:szCs w:val="18"/>
              </w:rPr>
              <w:t xml:space="preserve">Authorization: Bearer eyJhbGciOiJIUzI1NiIsInR5cCI6IkpXVCJ9.eyJkYXRhIjox...</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HTTP/1.1 200 OK</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    "id": 1,</w:t>
            </w:r>
          </w:p>
          <w:p>
            <w:pPr>
              <w:spacing w:after="0" w:line="312"/>
              <w:jc w:val="left"/>
            </w:pPr>
            <w:r>
              <w:rPr>
                <w:rFonts w:ascii="Consolas" w:eastAsia="Consolas"/>
                <w:color w:val="000000"/>
                <w:sz w:val="18"/>
                <w:szCs w:val="18"/>
              </w:rPr>
              <w:t xml:space="preserve">    "email": "admin@juice-sh.op",</w:t>
            </w:r>
          </w:p>
          <w:p>
            <w:pPr>
              <w:spacing w:after="0" w:line="312"/>
              <w:jc w:val="left"/>
            </w:pPr>
            <w:r>
              <w:rPr>
                <w:rFonts w:ascii="Consolas" w:eastAsia="Consolas"/>
                <w:color w:val="000000"/>
                <w:sz w:val="18"/>
                <w:szCs w:val="18"/>
              </w:rPr>
              <w:t xml:space="preserve">    "role": "admin",</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w:t>
            </w:r>
          </w:p>
        </w:tc>
      </w:tr>
    </w:tbl>
    <w:p>
      <w:pPr>
        <w:spacing w:after="120" w:line="312"/>
        <w:jc w:val="both"/>
      </w:pPr>
      <w:r>
        <w:rPr>
          <w:rFonts w:ascii="Times New Roman" w:eastAsia="Times New Roman"/>
          <w:b w:val="false"/>
          <w:bCs w:val="false"/>
          <w:color w:val="000000"/>
          <w:sz w:val="24"/>
          <w:szCs w:val="24"/>
        </w:rPr>
        <w:t xml:space="preserve">Observed result: the hidden route rendered a fully functional administration panel. The Users API returned the complete list of registered accounts, including the administrator's email address, and individual records exposed the email address, creation date, and update date of each account. All customer feedback entries were readable from the same panel, as captured in Figures 6 and 7 of the main report.</w:t>
      </w:r>
    </w:p>
    <w:p>
      <w:pPr>
        <w:spacing w:after="120" w:line="312"/>
        <w:jc w:val="both"/>
      </w:pPr>
      <w:r>
        <w:rPr>
          <w:rFonts w:ascii="Times New Roman" w:eastAsia="Times New Roman"/>
          <w:b/>
          <w:bCs/>
          <w:color w:val="000000"/>
          <w:sz w:val="24"/>
          <w:szCs w:val="24"/>
        </w:rPr>
        <w:t xml:space="preserve">Impact: </w:t>
      </w:r>
      <w:r>
        <w:rPr>
          <w:rFonts w:ascii="Times New Roman" w:eastAsia="Times New Roman"/>
          <w:b w:val="false"/>
          <w:bCs w:val="false"/>
          <w:color w:val="000000"/>
          <w:sz w:val="24"/>
          <w:szCs w:val="24"/>
        </w:rPr>
        <w:t xml:space="preserve">any attacker holding a valid session, whether obtained through POC 1 or through a stolen token, reaches a fully functional administrative interface, can read every customer record, and can read and delete feedback left by other users. The finding is rated </w:t>
      </w:r>
      <w:r>
        <w:rPr>
          <w:rFonts w:ascii="Times New Roman" w:eastAsia="Times New Roman"/>
          <w:b/>
          <w:bCs/>
          <w:color w:val="000000"/>
          <w:sz w:val="24"/>
          <w:szCs w:val="24"/>
        </w:rPr>
        <w:t xml:space="preserve">High</w:t>
      </w:r>
      <w:r>
        <w:rPr>
          <w:rFonts w:ascii="Times New Roman" w:eastAsia="Times New Roman"/>
          <w:b w:val="false"/>
          <w:bCs w:val="false"/>
          <w:color w:val="000000"/>
          <w:sz w:val="24"/>
          <w:szCs w:val="24"/>
        </w:rPr>
        <w:t xml:space="preserve"> because a single missing server-side check exposes the entire administrative surface.</w:t>
      </w:r>
    </w:p>
    <w:p>
      <w:pPr>
        <w:pStyle w:val="Heading1"/>
        <w:spacing w:after="160" w:before="360" w:line="380" w:lineRule="atLeast"/>
      </w:pPr>
      <w:bookmarkStart w:name="_Toc14" w:id="14"/>
      <w:r>
        <w:rPr>
          <w:rFonts w:ascii="Times New Roman" w:eastAsia="Times New Roman"/>
          <w:b/>
          <w:bCs/>
          <w:color w:val="1B6B7A"/>
          <w:sz w:val="32"/>
          <w:szCs w:val="32"/>
        </w:rPr>
        <w:t xml:space="preserve">5. POC 3 - Insecure Direct Object Reference (IDOR) on Users and Basket APIs</w:t>
      </w:r>
      <w:bookmarkEnd w:id="14"/>
    </w:p>
    <w:p>
      <w:pPr>
        <w:pStyle w:val="Heading2"/>
        <w:spacing w:after="120" w:before="260" w:line="340" w:lineRule="atLeast"/>
      </w:pPr>
      <w:bookmarkStart w:name="_Toc15" w:id="15"/>
      <w:r>
        <w:rPr>
          <w:rFonts w:ascii="Times New Roman" w:eastAsia="Times New Roman"/>
          <w:b/>
          <w:bCs/>
          <w:color w:val="1B6B7A"/>
          <w:sz w:val="28"/>
          <w:szCs w:val="28"/>
        </w:rPr>
        <w:t xml:space="preserve">5.1 Vulnerability Details</w:t>
      </w:r>
      <w:bookmarkEnd w:id="15"/>
    </w:p>
    <w:p>
      <w:pPr>
        <w:spacing w:after="120" w:line="312"/>
        <w:jc w:val="both"/>
      </w:pPr>
      <w:r>
        <w:rPr>
          <w:rFonts w:ascii="Times New Roman" w:eastAsia="Times New Roman"/>
          <w:b w:val="false"/>
          <w:bCs w:val="false"/>
          <w:color w:val="000000"/>
          <w:sz w:val="24"/>
          <w:szCs w:val="24"/>
        </w:rPr>
        <w:t xml:space="preserve">The Users API and the Basket API identify resources by a plain numeric object ID in the URL and return the requested record without verifying that the calling user actually owns it. Any authenticated session, including the administrator session from POC 1, can therefore read arbitrary user records and arbitrary customers' baskets by simply changing the number at the end of the URL. This is a textbook Insecure Direct Object Reference: the server trusts a user-controlled key without an ownership check.</w:t>
      </w:r>
    </w:p>
    <w:tbl>
      <w:tblPr>
        <w:tblW w:type="pct" w:w="5000"/>
        <w:tblBorders>
          <w:top w:val="single" w:color="C8DDE2" w:sz="4"/>
          <w:left w:val="none" w:color="FFFFFF" w:sz="0"/>
          <w:bottom w:val="single" w:color="C8DDE2" w:sz="4"/>
          <w:right w:val="none" w:color="FFFFFF" w:sz="0"/>
          <w:insideH w:val="single" w:color="C8DDE2" w:sz="2"/>
          <w:insideV w:val="none" w:color="FFFFFF" w:sz="0"/>
        </w:tblBorders>
      </w:tblPr>
      <w:tblGrid>
        <w:gridCol w:w="2461"/>
        <w:gridCol w:w="6327"/>
      </w:tblGrid>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Severity</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High</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Weakness Class</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CWE-639 - Authorization Bypass Through User-Controlled Key</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Affected Endpoints</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GET /api/Users/{id} and GET /rest/basket/{id}</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Main Report Evidence</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Figures 8 to 12</w:t>
            </w:r>
          </w:p>
        </w:tc>
      </w:tr>
    </w:tbl>
    <w:p>
      <w:pPr>
        <w:pStyle w:val="Heading2"/>
        <w:spacing w:after="120" w:before="260" w:line="340" w:lineRule="atLeast"/>
      </w:pPr>
      <w:bookmarkStart w:name="_Toc16" w:id="16"/>
      <w:r>
        <w:rPr>
          <w:rFonts w:ascii="Times New Roman" w:eastAsia="Times New Roman"/>
          <w:b/>
          <w:bCs/>
          <w:color w:val="1B6B7A"/>
          <w:sz w:val="28"/>
          <w:szCs w:val="28"/>
        </w:rPr>
        <w:t xml:space="preserve">5.2 Steps to Reproduce</w:t>
      </w:r>
      <w:bookmarkEnd w:id="16"/>
    </w:p>
    <w:p>
      <w:pPr>
        <w:pStyle w:val="ListParagraph"/>
        <w:numPr>
          <w:ilvl w:val="0"/>
          <w:numId w:val="4"/>
        </w:numPr>
        <w:spacing w:after="60" w:line="312"/>
        <w:jc w:val="left"/>
      </w:pPr>
      <w:r>
        <w:rPr>
          <w:rFonts w:ascii="Times New Roman" w:eastAsia="Times New Roman"/>
          <w:color w:val="000000"/>
          <w:sz w:val="24"/>
          <w:szCs w:val="24"/>
        </w:rPr>
        <w:t xml:space="preserve">Replay GET /api/Users/4 in Burp Repeater with the authenticated session and observe the full user record returned for that ID.</w:t>
      </w:r>
    </w:p>
    <w:p>
      <w:pPr>
        <w:pStyle w:val="ListParagraph"/>
        <w:numPr>
          <w:ilvl w:val="0"/>
          <w:numId w:val="4"/>
        </w:numPr>
        <w:spacing w:after="60" w:line="312"/>
        <w:jc w:val="left"/>
      </w:pPr>
      <w:r>
        <w:rPr>
          <w:rFonts w:ascii="Times New Roman" w:eastAsia="Times New Roman"/>
          <w:color w:val="000000"/>
          <w:sz w:val="24"/>
          <w:szCs w:val="24"/>
        </w:rPr>
        <w:t xml:space="preserve">Send GET /rest/basket/4 to Repeater and note the UserId and product contents returned for basket 4.</w:t>
      </w:r>
    </w:p>
    <w:p>
      <w:pPr>
        <w:pStyle w:val="ListParagraph"/>
        <w:numPr>
          <w:ilvl w:val="0"/>
          <w:numId w:val="4"/>
        </w:numPr>
        <w:spacing w:after="60" w:line="312"/>
        <w:jc w:val="left"/>
      </w:pPr>
      <w:r>
        <w:rPr>
          <w:rFonts w:ascii="Times New Roman" w:eastAsia="Times New Roman"/>
          <w:color w:val="000000"/>
          <w:sz w:val="24"/>
          <w:szCs w:val="24"/>
        </w:rPr>
        <w:t xml:space="preserve">Change only the numeric ID at the end of the basket URL, repeating the request for IDs 1, 2, and 3.</w:t>
      </w:r>
    </w:p>
    <w:p>
      <w:pPr>
        <w:pStyle w:val="ListParagraph"/>
        <w:numPr>
          <w:ilvl w:val="0"/>
          <w:numId w:val="4"/>
        </w:numPr>
        <w:spacing w:after="60" w:line="312"/>
        <w:jc w:val="left"/>
      </w:pPr>
      <w:r>
        <w:rPr>
          <w:rFonts w:ascii="Times New Roman" w:eastAsia="Times New Roman"/>
          <w:color w:val="000000"/>
          <w:sz w:val="24"/>
          <w:szCs w:val="24"/>
        </w:rPr>
        <w:t xml:space="preserve">Compare the responses: each basket ID maps to a different UserId, proving that any customer's basket can be read at will.</w:t>
      </w:r>
    </w:p>
    <w:p>
      <w:pPr>
        <w:pStyle w:val="Heading2"/>
        <w:spacing w:after="120" w:before="260" w:line="340" w:lineRule="atLeast"/>
      </w:pPr>
      <w:bookmarkStart w:name="_Toc17" w:id="17"/>
      <w:r>
        <w:rPr>
          <w:rFonts w:ascii="Times New Roman" w:eastAsia="Times New Roman"/>
          <w:b/>
          <w:bCs/>
          <w:color w:val="1B6B7A"/>
          <w:sz w:val="28"/>
          <w:szCs w:val="28"/>
        </w:rPr>
        <w:t xml:space="preserve">5.3 Evidence and Impact</w:t>
      </w:r>
      <w:bookmarkEnd w:id="17"/>
    </w:p>
    <w:p>
      <w:pPr>
        <w:keepNext/>
        <w:spacing w:after="80" w:before="160" w:line="312"/>
        <w:jc w:val="left"/>
      </w:pPr>
      <w:r>
        <w:rPr>
          <w:rFonts w:ascii="Times New Roman" w:eastAsia="Times New Roman"/>
          <w:b/>
          <w:bCs/>
          <w:color w:val="1B6B7A"/>
          <w:sz w:val="21"/>
          <w:szCs w:val="21"/>
        </w:rPr>
        <w:t xml:space="preserve">Listing 4: Direct request for another user's record by object ID (token truncated)</w:t>
      </w:r>
    </w:p>
    <w:tbl>
      <w:tblPr>
        <w:tblW w:type="pct" w:w="5000"/>
        <w:tblBorders>
          <w:top w:val="single" w:color="C8DDE2" w:sz="4"/>
          <w:left w:val="single" w:color="C8DDE2" w:sz="4"/>
          <w:bottom w:val="single" w:color="C8DDE2" w:sz="4"/>
          <w:right w:val="single" w:color="C8DDE2" w:sz="4"/>
          <w:insideH w:val="none" w:color="FFFFFF" w:sz="0"/>
          <w:insideV w:val="none" w:color="FFFFFF" w:sz="0"/>
        </w:tblBorders>
      </w:tblPr>
      <w:tblGrid>
        <w:gridCol w:w="8788"/>
      </w:tblGrid>
      <w:tr>
        <w:trPr>
          <w:cantSplit w:val="off"/>
        </w:trPr>
        <w:tc>
          <w:tcPr>
            <w:tcW w:type="pct" w:w="5000"/>
            <w:shd w:fill="EDF3F5" w:val="clear"/>
            <w:tcMar>
              <w:top w:type="dxa" w:w="100"/>
              <w:left w:type="dxa" w:w="160"/>
              <w:bottom w:type="dxa" w:w="100"/>
              <w:right w:type="dxa" w:w="160"/>
            </w:tcMar>
          </w:tcPr>
          <w:p>
            <w:pPr>
              <w:spacing w:after="0" w:line="312"/>
              <w:jc w:val="left"/>
            </w:pPr>
            <w:r>
              <w:rPr>
                <w:rFonts w:ascii="Consolas" w:eastAsia="Consolas"/>
                <w:color w:val="000000"/>
                <w:sz w:val="18"/>
                <w:szCs w:val="18"/>
              </w:rPr>
              <w:t xml:space="preserve">GET /api/Users/4 HTTP/1.1</w:t>
            </w:r>
          </w:p>
          <w:p>
            <w:pPr>
              <w:spacing w:after="0" w:line="312"/>
              <w:jc w:val="left"/>
            </w:pPr>
            <w:r>
              <w:rPr>
                <w:rFonts w:ascii="Consolas" w:eastAsia="Consolas"/>
                <w:color w:val="000000"/>
                <w:sz w:val="18"/>
                <w:szCs w:val="18"/>
              </w:rPr>
              <w:t xml:space="preserve">Host: localhost:3000</w:t>
            </w:r>
          </w:p>
          <w:p>
            <w:pPr>
              <w:spacing w:after="0" w:line="312"/>
              <w:jc w:val="left"/>
            </w:pPr>
            <w:r>
              <w:rPr>
                <w:rFonts w:ascii="Consolas" w:eastAsia="Consolas"/>
                <w:color w:val="000000"/>
                <w:sz w:val="18"/>
                <w:szCs w:val="18"/>
              </w:rPr>
              <w:t xml:space="preserve">Authorization: Bearer eyJhbGciOiJIUzI1NiIsInR5cCI6IkpXVCJ9.eyJkYXRhIjox...</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HTTP/1.1 200 OK</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w:t>
            </w:r>
          </w:p>
          <w:p>
            <w:pPr>
              <w:spacing w:after="0" w:line="312"/>
              <w:jc w:val="left"/>
            </w:pPr>
            <w:r>
              <w:rPr>
                <w:rFonts w:ascii="Consolas" w:eastAsia="Consolas"/>
                <w:color w:val="000000"/>
                <w:sz w:val="18"/>
                <w:szCs w:val="18"/>
              </w:rPr>
              <w:t xml:space="preserve">  "id": 4,</w:t>
            </w:r>
          </w:p>
          <w:p>
            <w:pPr>
              <w:spacing w:after="0" w:line="312"/>
              <w:jc w:val="left"/>
            </w:pPr>
            <w:r>
              <w:rPr>
                <w:rFonts w:ascii="Consolas" w:eastAsia="Consolas"/>
                <w:color w:val="000000"/>
                <w:sz w:val="18"/>
                <w:szCs w:val="18"/>
              </w:rPr>
              <w:t xml:space="preserve">  "username": "...</w:t>
            </w:r>
          </w:p>
          <w:p>
            <w:pPr>
              <w:spacing w:after="0" w:line="312"/>
              <w:jc w:val="left"/>
            </w:pPr>
            <w:r>
              <w:rPr>
                <w:rFonts w:ascii="Consolas" w:eastAsia="Consolas"/>
                <w:color w:val="000000"/>
                <w:sz w:val="18"/>
                <w:szCs w:val="18"/>
              </w:rPr>
              <w:t xml:space="preserve">  "email": "...</w:t>
            </w:r>
          </w:p>
          <w:p>
            <w:pPr>
              <w:spacing w:after="0" w:line="312"/>
              <w:jc w:val="left"/>
            </w:pPr>
            <w:r>
              <w:rPr>
                <w:rFonts w:ascii="Consolas" w:eastAsia="Consolas"/>
                <w:color w:val="000000"/>
                <w:sz w:val="18"/>
                <w:szCs w:val="18"/>
              </w:rPr>
              <w:t xml:space="preserve">  "role": "...</w:t>
            </w:r>
          </w:p>
          <w:p>
            <w:pPr>
              <w:spacing w:after="0" w:line="312"/>
              <w:jc w:val="left"/>
            </w:pPr>
            <w:r>
              <w:rPr>
                <w:rFonts w:ascii="Consolas" w:eastAsia="Consolas"/>
                <w:color w:val="000000"/>
                <w:sz w:val="18"/>
                <w:szCs w:val="18"/>
              </w:rPr>
              <w:t xml:space="preserve">  "profileImage": "...</w:t>
            </w:r>
          </w:p>
          <w:p>
            <w:pPr>
              <w:spacing w:after="0" w:line="312"/>
              <w:jc w:val="left"/>
            </w:pPr>
            <w:r>
              <w:rPr>
                <w:rFonts w:ascii="Consolas" w:eastAsia="Consolas"/>
                <w:color w:val="000000"/>
                <w:sz w:val="18"/>
                <w:szCs w:val="18"/>
              </w:rPr>
              <w:t xml:space="preserve">}</w:t>
            </w:r>
          </w:p>
        </w:tc>
      </w:tr>
    </w:tbl>
    <w:p>
      <w:pPr>
        <w:keepNext/>
        <w:spacing w:after="80" w:before="160" w:line="312"/>
        <w:jc w:val="left"/>
      </w:pPr>
      <w:r>
        <w:rPr>
          <w:rFonts w:ascii="Times New Roman" w:eastAsia="Times New Roman"/>
          <w:b/>
          <w:bCs/>
          <w:color w:val="1B6B7A"/>
          <w:sz w:val="21"/>
          <w:szCs w:val="21"/>
        </w:rPr>
        <w:t xml:space="preserve">Listing 5: Basket of a different customer read by changing one number in the URL (token truncated)</w:t>
      </w:r>
    </w:p>
    <w:tbl>
      <w:tblPr>
        <w:tblW w:type="pct" w:w="5000"/>
        <w:tblBorders>
          <w:top w:val="single" w:color="C8DDE2" w:sz="4"/>
          <w:left w:val="single" w:color="C8DDE2" w:sz="4"/>
          <w:bottom w:val="single" w:color="C8DDE2" w:sz="4"/>
          <w:right w:val="single" w:color="C8DDE2" w:sz="4"/>
          <w:insideH w:val="none" w:color="FFFFFF" w:sz="0"/>
          <w:insideV w:val="none" w:color="FFFFFF" w:sz="0"/>
        </w:tblBorders>
      </w:tblPr>
      <w:tblGrid>
        <w:gridCol w:w="8788"/>
      </w:tblGrid>
      <w:tr>
        <w:trPr>
          <w:cantSplit w:val="off"/>
        </w:trPr>
        <w:tc>
          <w:tcPr>
            <w:tcW w:type="pct" w:w="5000"/>
            <w:shd w:fill="EDF3F5" w:val="clear"/>
            <w:tcMar>
              <w:top w:type="dxa" w:w="100"/>
              <w:left w:type="dxa" w:w="160"/>
              <w:bottom w:type="dxa" w:w="100"/>
              <w:right w:type="dxa" w:w="160"/>
            </w:tcMar>
          </w:tcPr>
          <w:p>
            <w:pPr>
              <w:spacing w:after="0" w:line="312"/>
              <w:jc w:val="left"/>
            </w:pPr>
            <w:r>
              <w:rPr>
                <w:rFonts w:ascii="Consolas" w:eastAsia="Consolas"/>
                <w:color w:val="000000"/>
                <w:sz w:val="18"/>
                <w:szCs w:val="18"/>
              </w:rPr>
              <w:t xml:space="preserve">GET /rest/basket/4 HTTP/1.1</w:t>
            </w:r>
          </w:p>
          <w:p>
            <w:pPr>
              <w:spacing w:after="0" w:line="312"/>
              <w:jc w:val="left"/>
            </w:pPr>
            <w:r>
              <w:rPr>
                <w:rFonts w:ascii="Consolas" w:eastAsia="Consolas"/>
                <w:color w:val="000000"/>
                <w:sz w:val="18"/>
                <w:szCs w:val="18"/>
              </w:rPr>
              <w:t xml:space="preserve">Host: localhost:3000</w:t>
            </w:r>
          </w:p>
          <w:p>
            <w:pPr>
              <w:spacing w:after="0" w:line="312"/>
              <w:jc w:val="left"/>
            </w:pPr>
            <w:r>
              <w:rPr>
                <w:rFonts w:ascii="Consolas" w:eastAsia="Consolas"/>
                <w:color w:val="000000"/>
                <w:sz w:val="18"/>
                <w:szCs w:val="18"/>
              </w:rPr>
              <w:t xml:space="preserve">Authorization: Bearer eyJhbGciOiJIUzI1NiIsInR5cCI6IkpXVCJ9.eyJkYXRhIjox...</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HTTP/1.1 200 OK</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w:t>
            </w:r>
          </w:p>
          <w:p>
            <w:pPr>
              <w:spacing w:after="0" w:line="312"/>
              <w:jc w:val="left"/>
            </w:pPr>
            <w:r>
              <w:rPr>
                <w:rFonts w:ascii="Consolas" w:eastAsia="Consolas"/>
                <w:color w:val="000000"/>
                <w:sz w:val="18"/>
                <w:szCs w:val="18"/>
              </w:rPr>
              <w:t xml:space="preserve">  "basket": {</w:t>
            </w:r>
          </w:p>
          <w:p>
            <w:pPr>
              <w:spacing w:after="0" w:line="312"/>
              <w:jc w:val="left"/>
            </w:pPr>
            <w:r>
              <w:rPr>
                <w:rFonts w:ascii="Consolas" w:eastAsia="Consolas"/>
                <w:color w:val="000000"/>
                <w:sz w:val="18"/>
                <w:szCs w:val="18"/>
              </w:rPr>
              <w:t xml:space="preserve">    "id": 4,</w:t>
            </w:r>
          </w:p>
          <w:p>
            <w:pPr>
              <w:spacing w:after="0" w:line="312"/>
              <w:jc w:val="left"/>
            </w:pPr>
            <w:r>
              <w:rPr>
                <w:rFonts w:ascii="Consolas" w:eastAsia="Consolas"/>
                <w:color w:val="000000"/>
                <w:sz w:val="18"/>
                <w:szCs w:val="18"/>
              </w:rPr>
              <w:t xml:space="preserve">    "UserId": 11,</w:t>
            </w:r>
          </w:p>
          <w:p>
            <w:pPr>
              <w:spacing w:after="0" w:line="312"/>
              <w:jc w:val="left"/>
            </w:pPr>
            <w:r>
              <w:rPr>
                <w:rFonts w:ascii="Consolas" w:eastAsia="Consolas"/>
                <w:color w:val="000000"/>
                <w:sz w:val="18"/>
                <w:szCs w:val="18"/>
              </w:rPr>
              <w:t xml:space="preserve">    "products": [</w:t>
            </w:r>
          </w:p>
          <w:p>
            <w:pPr>
              <w:spacing w:after="0" w:line="312"/>
              <w:jc w:val="left"/>
            </w:pPr>
            <w:r>
              <w:rPr>
                <w:rFonts w:ascii="Consolas" w:eastAsia="Consolas"/>
                <w:color w:val="000000"/>
                <w:sz w:val="18"/>
                <w:szCs w:val="18"/>
              </w:rPr>
              <w:t xml:space="preserve">      { "name": "Raspberry Juice", ... }</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w:t>
            </w:r>
          </w:p>
        </w:tc>
      </w:tr>
    </w:tbl>
    <w:p>
      <w:pPr>
        <w:spacing w:after="120" w:line="312"/>
        <w:jc w:val="both"/>
      </w:pPr>
      <w:r>
        <w:rPr>
          <w:rFonts w:ascii="Times New Roman" w:eastAsia="Times New Roman"/>
          <w:b w:val="false"/>
          <w:bCs w:val="false"/>
          <w:color w:val="000000"/>
          <w:sz w:val="24"/>
          <w:szCs w:val="24"/>
        </w:rPr>
        <w:t xml:space="preserve">Observed result: each basket ID returned a different owner. Basket 4 belonged to UserId 11 and contained a Raspberry Juice order, basket 3 belonged to UserId 3, basket 2 to UserId 2, and basket 1 to UserId 1, completing a sequence of four different customers whose basket contents were exposed purely by incrementing one number (see Figures 9 to 12 of the main report). The Users API showed the same pattern: GET /api/Users/4 returned the full record of that account, including username, email, role, and profile image path (Figure 8). No ownership check was performed on any of these requests.</w:t>
      </w:r>
    </w:p>
    <w:p>
      <w:pPr>
        <w:spacing w:after="120" w:line="312"/>
        <w:jc w:val="both"/>
      </w:pPr>
      <w:r>
        <w:rPr>
          <w:rFonts w:ascii="Times New Roman" w:eastAsia="Times New Roman"/>
          <w:b/>
          <w:bCs/>
          <w:color w:val="000000"/>
          <w:sz w:val="24"/>
          <w:szCs w:val="24"/>
        </w:rPr>
        <w:t xml:space="preserve">Impact: </w:t>
      </w:r>
      <w:r>
        <w:rPr>
          <w:rFonts w:ascii="Times New Roman" w:eastAsia="Times New Roman"/>
          <w:b w:val="false"/>
          <w:bCs w:val="false"/>
          <w:color w:val="000000"/>
          <w:sz w:val="24"/>
          <w:szCs w:val="24"/>
        </w:rPr>
        <w:t xml:space="preserve">an attacker can enumerate every user and every basket in the system and read what other customers have ordered. This exposes personal data and order histories across the entire customer base with trivial effort. The finding is rated </w:t>
      </w:r>
      <w:r>
        <w:rPr>
          <w:rFonts w:ascii="Times New Roman" w:eastAsia="Times New Roman"/>
          <w:b/>
          <w:bCs/>
          <w:color w:val="000000"/>
          <w:sz w:val="24"/>
          <w:szCs w:val="24"/>
        </w:rPr>
        <w:t xml:space="preserve">High</w:t>
      </w:r>
      <w:r>
        <w:rPr>
          <w:rFonts w:ascii="Times New Roman" w:eastAsia="Times New Roman"/>
          <w:b w:val="false"/>
          <w:bCs w:val="false"/>
          <w:color w:val="000000"/>
          <w:sz w:val="24"/>
          <w:szCs w:val="24"/>
        </w:rPr>
        <w:t xml:space="preserve"> because the data exposure is complete and requires no skill beyond editing a URL.</w:t>
      </w:r>
    </w:p>
    <w:p>
      <w:pPr>
        <w:pStyle w:val="Heading1"/>
        <w:spacing w:after="160" w:before="360" w:line="380" w:lineRule="atLeast"/>
      </w:pPr>
      <w:bookmarkStart w:name="_Toc18" w:id="18"/>
      <w:r>
        <w:rPr>
          <w:rFonts w:ascii="Times New Roman" w:eastAsia="Times New Roman"/>
          <w:b/>
          <w:bCs/>
          <w:color w:val="1B6B7A"/>
          <w:sz w:val="32"/>
          <w:szCs w:val="32"/>
        </w:rPr>
        <w:t xml:space="preserve">6. POC 4 - Business Logic Flaw (Basket Quantity Parameter Tampering)</w:t>
      </w:r>
      <w:bookmarkEnd w:id="18"/>
    </w:p>
    <w:p>
      <w:pPr>
        <w:pStyle w:val="Heading2"/>
        <w:spacing w:after="120" w:before="260" w:line="340" w:lineRule="atLeast"/>
      </w:pPr>
      <w:bookmarkStart w:name="_Toc19" w:id="19"/>
      <w:r>
        <w:rPr>
          <w:rFonts w:ascii="Times New Roman" w:eastAsia="Times New Roman"/>
          <w:b/>
          <w:bCs/>
          <w:color w:val="1B6B7A"/>
          <w:sz w:val="28"/>
          <w:szCs w:val="28"/>
        </w:rPr>
        <w:t xml:space="preserve">6.1 Vulnerability Details</w:t>
      </w:r>
      <w:bookmarkEnd w:id="19"/>
    </w:p>
    <w:p>
      <w:pPr>
        <w:spacing w:after="120" w:line="312"/>
        <w:jc w:val="both"/>
      </w:pPr>
      <w:r>
        <w:rPr>
          <w:rFonts w:ascii="Times New Roman" w:eastAsia="Times New Roman"/>
          <w:b w:val="false"/>
          <w:bCs w:val="false"/>
          <w:color w:val="000000"/>
          <w:sz w:val="24"/>
          <w:szCs w:val="24"/>
        </w:rPr>
        <w:t xml:space="preserve">The request that adds an item to the basket accepts a client-supplied quantity value and performs no server-side validation on it, neither an upper limit nor a lower bound. By intercepting the request in Burp and replaying it with modified JSON, an attacker can add arbitrary quantities of a product, including negative quantities, which turn a purchase into a credit against the basket total. The application's own error handling confirms that negative values were never an anticipated input.</w:t>
      </w:r>
    </w:p>
    <w:tbl>
      <w:tblPr>
        <w:tblW w:type="pct" w:w="5000"/>
        <w:tblBorders>
          <w:top w:val="single" w:color="C8DDE2" w:sz="4"/>
          <w:left w:val="none" w:color="FFFFFF" w:sz="0"/>
          <w:bottom w:val="single" w:color="C8DDE2" w:sz="4"/>
          <w:right w:val="none" w:color="FFFFFF" w:sz="0"/>
          <w:insideH w:val="single" w:color="C8DDE2" w:sz="2"/>
          <w:insideV w:val="none" w:color="FFFFFF" w:sz="0"/>
        </w:tblBorders>
      </w:tblPr>
      <w:tblGrid>
        <w:gridCol w:w="2461"/>
        <w:gridCol w:w="6327"/>
      </w:tblGrid>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Severity</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High</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Weakness Class</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CWE-20 - Improper Input Validation (business logic)</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Affected Endpoint</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POST /api/BasketItems/</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Main Report Evidence</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Figures 13 to 16</w:t>
            </w:r>
          </w:p>
        </w:tc>
      </w:tr>
    </w:tbl>
    <w:p>
      <w:pPr>
        <w:pStyle w:val="Heading2"/>
        <w:spacing w:after="120" w:before="260" w:line="340" w:lineRule="atLeast"/>
      </w:pPr>
      <w:bookmarkStart w:name="_Toc20" w:id="20"/>
      <w:r>
        <w:rPr>
          <w:rFonts w:ascii="Times New Roman" w:eastAsia="Times New Roman"/>
          <w:b/>
          <w:bCs/>
          <w:color w:val="1B6B7A"/>
          <w:sz w:val="28"/>
          <w:szCs w:val="28"/>
        </w:rPr>
        <w:t xml:space="preserve">6.2 Steps to Reproduce</w:t>
      </w:r>
      <w:bookmarkEnd w:id="20"/>
    </w:p>
    <w:p>
      <w:pPr>
        <w:pStyle w:val="ListParagraph"/>
        <w:numPr>
          <w:ilvl w:val="0"/>
          <w:numId w:val="5"/>
        </w:numPr>
        <w:spacing w:after="60" w:line="312"/>
        <w:jc w:val="left"/>
      </w:pPr>
      <w:r>
        <w:rPr>
          <w:rFonts w:ascii="Times New Roman" w:eastAsia="Times New Roman"/>
          <w:color w:val="000000"/>
          <w:sz w:val="24"/>
          <w:szCs w:val="24"/>
        </w:rPr>
        <w:t xml:space="preserve">Add a product to the basket normally through the interface and intercept the POST /api/BasketItems/ request in Burp Proxy.</w:t>
      </w:r>
    </w:p>
    <w:p>
      <w:pPr>
        <w:pStyle w:val="ListParagraph"/>
        <w:numPr>
          <w:ilvl w:val="0"/>
          <w:numId w:val="5"/>
        </w:numPr>
        <w:spacing w:after="60" w:line="312"/>
        <w:jc w:val="left"/>
      </w:pPr>
      <w:r>
        <w:rPr>
          <w:rFonts w:ascii="Times New Roman" w:eastAsia="Times New Roman"/>
          <w:color w:val="000000"/>
          <w:sz w:val="24"/>
          <w:szCs w:val="24"/>
        </w:rPr>
        <w:t xml:space="preserve">Send the request to Repeater to establish the baseline: quantity 1, accepted with a success response.</w:t>
      </w:r>
    </w:p>
    <w:p>
      <w:pPr>
        <w:pStyle w:val="ListParagraph"/>
        <w:numPr>
          <w:ilvl w:val="0"/>
          <w:numId w:val="5"/>
        </w:numPr>
        <w:spacing w:after="60" w:line="312"/>
        <w:jc w:val="left"/>
      </w:pPr>
      <w:r>
        <w:rPr>
          <w:rFonts w:ascii="Times New Roman" w:eastAsia="Times New Roman"/>
          <w:color w:val="000000"/>
          <w:sz w:val="24"/>
          <w:szCs w:val="24"/>
        </w:rPr>
        <w:t xml:space="preserve">Increase the quantity to an arbitrarily large number and replay: the server accepts it without any limit.</w:t>
      </w:r>
    </w:p>
    <w:p>
      <w:pPr>
        <w:pStyle w:val="ListParagraph"/>
        <w:numPr>
          <w:ilvl w:val="0"/>
          <w:numId w:val="5"/>
        </w:numPr>
        <w:spacing w:after="60" w:line="312"/>
        <w:jc w:val="left"/>
      </w:pPr>
      <w:r>
        <w:rPr>
          <w:rFonts w:ascii="Times New Roman" w:eastAsia="Times New Roman"/>
          <w:color w:val="000000"/>
          <w:sz w:val="24"/>
          <w:szCs w:val="24"/>
        </w:rPr>
        <w:t xml:space="preserve">Set the quantity to -50 and replay: the server accepts the negative value as well, with no validation error.</w:t>
      </w:r>
    </w:p>
    <w:p>
      <w:pPr>
        <w:pStyle w:val="ListParagraph"/>
        <w:numPr>
          <w:ilvl w:val="0"/>
          <w:numId w:val="5"/>
        </w:numPr>
        <w:spacing w:after="60" w:line="312"/>
        <w:jc w:val="left"/>
      </w:pPr>
      <w:r>
        <w:rPr>
          <w:rFonts w:ascii="Times New Roman" w:eastAsia="Times New Roman"/>
          <w:color w:val="000000"/>
          <w:sz w:val="24"/>
          <w:szCs w:val="24"/>
        </w:rPr>
        <w:t xml:space="preserve">Return to the browser and observe the basket icon showing a negative item count as a direct result of the tampered quantities.</w:t>
      </w:r>
    </w:p>
    <w:p>
      <w:pPr>
        <w:pStyle w:val="Heading2"/>
        <w:spacing w:after="120" w:before="260" w:line="340" w:lineRule="atLeast"/>
      </w:pPr>
      <w:bookmarkStart w:name="_Toc21" w:id="21"/>
      <w:r>
        <w:rPr>
          <w:rFonts w:ascii="Times New Roman" w:eastAsia="Times New Roman"/>
          <w:b/>
          <w:bCs/>
          <w:color w:val="1B6B7A"/>
          <w:sz w:val="28"/>
          <w:szCs w:val="28"/>
        </w:rPr>
        <w:t xml:space="preserve">6.3 Evidence and Impact</w:t>
      </w:r>
      <w:bookmarkEnd w:id="21"/>
    </w:p>
    <w:p>
      <w:pPr>
        <w:keepNext/>
        <w:spacing w:after="80" w:before="160" w:line="312"/>
        <w:jc w:val="left"/>
      </w:pPr>
      <w:r>
        <w:rPr>
          <w:rFonts w:ascii="Times New Roman" w:eastAsia="Times New Roman"/>
          <w:b/>
          <w:bCs/>
          <w:color w:val="1B6B7A"/>
          <w:sz w:val="21"/>
          <w:szCs w:val="21"/>
        </w:rPr>
        <w:t xml:space="preserve">Listing 6: Tampered add-to-basket request with a negative quantity (token and identifiers truncated)</w:t>
      </w:r>
    </w:p>
    <w:tbl>
      <w:tblPr>
        <w:tblW w:type="pct" w:w="5000"/>
        <w:tblBorders>
          <w:top w:val="single" w:color="C8DDE2" w:sz="4"/>
          <w:left w:val="single" w:color="C8DDE2" w:sz="4"/>
          <w:bottom w:val="single" w:color="C8DDE2" w:sz="4"/>
          <w:right w:val="single" w:color="C8DDE2" w:sz="4"/>
          <w:insideH w:val="none" w:color="FFFFFF" w:sz="0"/>
          <w:insideV w:val="none" w:color="FFFFFF" w:sz="0"/>
        </w:tblBorders>
      </w:tblPr>
      <w:tblGrid>
        <w:gridCol w:w="8788"/>
      </w:tblGrid>
      <w:tr>
        <w:trPr>
          <w:cantSplit w:val="off"/>
        </w:trPr>
        <w:tc>
          <w:tcPr>
            <w:tcW w:type="pct" w:w="5000"/>
            <w:shd w:fill="EDF3F5" w:val="clear"/>
            <w:tcMar>
              <w:top w:type="dxa" w:w="100"/>
              <w:left w:type="dxa" w:w="160"/>
              <w:bottom w:type="dxa" w:w="100"/>
              <w:right w:type="dxa" w:w="160"/>
            </w:tcMar>
          </w:tcPr>
          <w:p>
            <w:pPr>
              <w:spacing w:after="0" w:line="312"/>
              <w:jc w:val="left"/>
            </w:pPr>
            <w:r>
              <w:rPr>
                <w:rFonts w:ascii="Consolas" w:eastAsia="Consolas"/>
                <w:color w:val="000000"/>
                <w:sz w:val="18"/>
                <w:szCs w:val="18"/>
              </w:rPr>
              <w:t xml:space="preserve">POST /api/BasketItems/ HTTP/1.1</w:t>
            </w:r>
          </w:p>
          <w:p>
            <w:pPr>
              <w:spacing w:after="0" w:line="312"/>
              <w:jc w:val="left"/>
            </w:pPr>
            <w:r>
              <w:rPr>
                <w:rFonts w:ascii="Consolas" w:eastAsia="Consolas"/>
                <w:color w:val="000000"/>
                <w:sz w:val="18"/>
                <w:szCs w:val="18"/>
              </w:rPr>
              <w:t xml:space="preserve">Host: localhost:3000</w:t>
            </w:r>
          </w:p>
          <w:p>
            <w:pPr>
              <w:spacing w:after="0" w:line="312"/>
              <w:jc w:val="left"/>
            </w:pPr>
            <w:r>
              <w:rPr>
                <w:rFonts w:ascii="Consolas" w:eastAsia="Consolas"/>
                <w:color w:val="000000"/>
                <w:sz w:val="18"/>
                <w:szCs w:val="18"/>
              </w:rPr>
              <w:t xml:space="preserve">Authorization: Bearer eyJhbGciOiJIUzI1NiIsInR5cCI6IkpXVCJ9.eyJkYXRhIjox...</w:t>
            </w:r>
          </w:p>
          <w:p>
            <w:pPr>
              <w:spacing w:after="0" w:line="312"/>
              <w:jc w:val="left"/>
            </w:pPr>
            <w:r>
              <w:rPr>
                <w:rFonts w:ascii="Consolas" w:eastAsia="Consolas"/>
                <w:color w:val="000000"/>
                <w:sz w:val="18"/>
                <w:szCs w:val="18"/>
              </w:rPr>
              <w:t xml:space="preserve">Content-Type: application/json</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w:t>
            </w:r>
          </w:p>
          <w:p>
            <w:pPr>
              <w:spacing w:after="0" w:line="312"/>
              <w:jc w:val="left"/>
            </w:pPr>
            <w:r>
              <w:rPr>
                <w:rFonts w:ascii="Consolas" w:eastAsia="Consolas"/>
                <w:color w:val="000000"/>
                <w:sz w:val="18"/>
                <w:szCs w:val="18"/>
              </w:rPr>
              <w:t xml:space="preserve">  "ProductId": 1,</w:t>
            </w:r>
          </w:p>
          <w:p>
            <w:pPr>
              <w:spacing w:after="0" w:line="312"/>
              <w:jc w:val="left"/>
            </w:pPr>
            <w:r>
              <w:rPr>
                <w:rFonts w:ascii="Consolas" w:eastAsia="Consolas"/>
                <w:color w:val="000000"/>
                <w:sz w:val="18"/>
                <w:szCs w:val="18"/>
              </w:rPr>
              <w:t xml:space="preserve">  "BasketId": 1,</w:t>
            </w:r>
          </w:p>
          <w:p>
            <w:pPr>
              <w:spacing w:after="0" w:line="312"/>
              <w:jc w:val="left"/>
            </w:pPr>
            <w:r>
              <w:rPr>
                <w:rFonts w:ascii="Consolas" w:eastAsia="Consolas"/>
                <w:color w:val="000000"/>
                <w:sz w:val="18"/>
                <w:szCs w:val="18"/>
              </w:rPr>
              <w:t xml:space="preserve">  "quantity": -50</w:t>
            </w:r>
          </w:p>
          <w:p>
            <w:pPr>
              <w:spacing w:after="0" w:line="312"/>
              <w:jc w:val="left"/>
            </w:pPr>
            <w:r>
              <w:rPr>
                <w:rFonts w:ascii="Consolas" w:eastAsia="Consolas"/>
                <w:color w:val="000000"/>
                <w:sz w:val="18"/>
                <w:szCs w:val="18"/>
              </w:rPr>
              <w:t xml:space="preserve">}</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HTTP/1.1 200 OK</w:t>
            </w:r>
          </w:p>
        </w:tc>
      </w:tr>
    </w:tbl>
    <w:p>
      <w:pPr>
        <w:spacing w:after="120" w:line="312"/>
        <w:jc w:val="both"/>
      </w:pPr>
      <w:r>
        <w:rPr>
          <w:rFonts w:ascii="Times New Roman" w:eastAsia="Times New Roman"/>
          <w:b w:val="false"/>
          <w:bCs w:val="false"/>
          <w:color w:val="000000"/>
          <w:sz w:val="24"/>
          <w:szCs w:val="24"/>
        </w:rPr>
        <w:t xml:space="preserve">Observed result: both the inflated quantity and the negative quantity of -50 were accepted by the server with success responses and no validation error (Figures 14 and 15 of the main report). The effect was visible directly in the application interface: after adding items with manipulated quantities, the basket item counter dropped to -44 (Figure 16), and the application unintentionally triggered its own Error Handling challenge, confirming that this input was never expected or handled by the developers.</w:t>
      </w:r>
    </w:p>
    <w:p>
      <w:pPr>
        <w:spacing w:after="120" w:line="312"/>
        <w:jc w:val="both"/>
      </w:pPr>
      <w:r>
        <w:rPr>
          <w:rFonts w:ascii="Times New Roman" w:eastAsia="Times New Roman"/>
          <w:b/>
          <w:bCs/>
          <w:color w:val="000000"/>
          <w:sz w:val="24"/>
          <w:szCs w:val="24"/>
        </w:rPr>
        <w:t xml:space="preserve">Impact: </w:t>
      </w:r>
      <w:r>
        <w:rPr>
          <w:rFonts w:ascii="Times New Roman" w:eastAsia="Times New Roman"/>
          <w:b w:val="false"/>
          <w:bCs w:val="false"/>
          <w:color w:val="000000"/>
          <w:sz w:val="24"/>
          <w:szCs w:val="24"/>
        </w:rPr>
        <w:t xml:space="preserve">the server fully trusts client-supplied quantity values. In a production system this class of flaw can distort basket totals and billing in the attacker's favor, and unhandled negative values can trigger application errors. The finding is rated </w:t>
      </w:r>
      <w:r>
        <w:rPr>
          <w:rFonts w:ascii="Times New Roman" w:eastAsia="Times New Roman"/>
          <w:b/>
          <w:bCs/>
          <w:color w:val="000000"/>
          <w:sz w:val="24"/>
          <w:szCs w:val="24"/>
        </w:rPr>
        <w:t xml:space="preserve">High</w:t>
      </w:r>
      <w:r>
        <w:rPr>
          <w:rFonts w:ascii="Times New Roman" w:eastAsia="Times New Roman"/>
          <w:b w:val="false"/>
          <w:bCs w:val="false"/>
          <w:color w:val="000000"/>
          <w:sz w:val="24"/>
          <w:szCs w:val="24"/>
        </w:rPr>
        <w:t xml:space="preserve"> because it breaks the core commercial logic of the application from an authenticated session.</w:t>
      </w:r>
    </w:p>
    <w:p>
      <w:pPr>
        <w:pStyle w:val="Heading1"/>
        <w:spacing w:after="160" w:before="360" w:line="380" w:lineRule="atLeast"/>
      </w:pPr>
      <w:bookmarkStart w:name="_Toc22" w:id="22"/>
      <w:r>
        <w:rPr>
          <w:rFonts w:ascii="Times New Roman" w:eastAsia="Times New Roman"/>
          <w:b/>
          <w:bCs/>
          <w:color w:val="1B6B7A"/>
          <w:sz w:val="32"/>
          <w:szCs w:val="32"/>
        </w:rPr>
        <w:t xml:space="preserve">7. POC 5 - Weak Session Management (Token Reuse After Logout)</w:t>
      </w:r>
      <w:bookmarkEnd w:id="22"/>
    </w:p>
    <w:p>
      <w:pPr>
        <w:pStyle w:val="Heading2"/>
        <w:spacing w:after="120" w:before="260" w:line="340" w:lineRule="atLeast"/>
      </w:pPr>
      <w:bookmarkStart w:name="_Toc23" w:id="23"/>
      <w:r>
        <w:rPr>
          <w:rFonts w:ascii="Times New Roman" w:eastAsia="Times New Roman"/>
          <w:b/>
          <w:bCs/>
          <w:color w:val="1B6B7A"/>
          <w:sz w:val="28"/>
          <w:szCs w:val="28"/>
        </w:rPr>
        <w:t xml:space="preserve">7.1 Vulnerability Details</w:t>
      </w:r>
      <w:bookmarkEnd w:id="23"/>
    </w:p>
    <w:p>
      <w:pPr>
        <w:spacing w:after="120" w:line="312"/>
        <w:jc w:val="both"/>
      </w:pPr>
      <w:r>
        <w:rPr>
          <w:rFonts w:ascii="Times New Roman" w:eastAsia="Times New Roman"/>
          <w:b w:val="false"/>
          <w:bCs w:val="false"/>
          <w:color w:val="000000"/>
          <w:sz w:val="24"/>
          <w:szCs w:val="24"/>
        </w:rPr>
        <w:t xml:space="preserve">Logout in the application is a purely client-side action: it clears the session state from the browser but does not invalidate the Bearer token on the server. A captured token therefore remains valid against the API indefinitely, even after the legitimate user believes they have ended their session. This removes logout as an effective containment step for any of the other findings in this chain.</w:t>
      </w:r>
    </w:p>
    <w:tbl>
      <w:tblPr>
        <w:tblW w:type="pct" w:w="5000"/>
        <w:tblBorders>
          <w:top w:val="single" w:color="C8DDE2" w:sz="4"/>
          <w:left w:val="none" w:color="FFFFFF" w:sz="0"/>
          <w:bottom w:val="single" w:color="C8DDE2" w:sz="4"/>
          <w:right w:val="none" w:color="FFFFFF" w:sz="0"/>
          <w:insideH w:val="single" w:color="C8DDE2" w:sz="2"/>
          <w:insideV w:val="none" w:color="FFFFFF" w:sz="0"/>
        </w:tblBorders>
      </w:tblPr>
      <w:tblGrid>
        <w:gridCol w:w="2461"/>
        <w:gridCol w:w="6327"/>
      </w:tblGrid>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Severity</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Medium</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Weakness Class</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CWE-613 - Insufficient Session Expiration</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Affected Endpoint</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GET /api/Challenges/ (any authenticated API endpoint)</w:t>
            </w:r>
          </w:p>
        </w:tc>
      </w:tr>
      <w:tr>
        <w:trPr>
          <w:cantSplit/>
        </w:trPr>
        <w:tc>
          <w:tcPr>
            <w:tcW w:type="pct" w:w="1400"/>
            <w:shd w:fill="EDF3F5"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Main Report Evidence</w:t>
            </w:r>
          </w:p>
        </w:tc>
        <w:tc>
          <w:tcPr>
            <w:tcW w:type="pct" w:w="3600"/>
            <w:tcMar>
              <w:top w:type="dxa" w:w="60"/>
              <w:left w:type="dxa" w:w="120"/>
              <w:bottom w:type="dxa" w:w="60"/>
              <w:right w:type="dxa" w:w="120"/>
            </w:tcMar>
          </w:tcPr>
          <w:p>
            <w:pPr>
              <w:spacing w:line="312"/>
            </w:pPr>
            <w:r>
              <w:rPr>
                <w:rFonts w:ascii="Times New Roman" w:eastAsia="Times New Roman"/>
                <w:color w:val="000000"/>
                <w:sz w:val="21"/>
                <w:szCs w:val="21"/>
              </w:rPr>
              <w:t xml:space="preserve">Figures 17 and 18</w:t>
            </w:r>
          </w:p>
        </w:tc>
      </w:tr>
    </w:tbl>
    <w:p>
      <w:pPr>
        <w:pStyle w:val="Heading2"/>
        <w:spacing w:after="120" w:before="260" w:line="340" w:lineRule="atLeast"/>
      </w:pPr>
      <w:bookmarkStart w:name="_Toc24" w:id="24"/>
      <w:r>
        <w:rPr>
          <w:rFonts w:ascii="Times New Roman" w:eastAsia="Times New Roman"/>
          <w:b/>
          <w:bCs/>
          <w:color w:val="1B6B7A"/>
          <w:sz w:val="28"/>
          <w:szCs w:val="28"/>
        </w:rPr>
        <w:t xml:space="preserve">7.2 Steps to Reproduce</w:t>
      </w:r>
      <w:bookmarkEnd w:id="24"/>
    </w:p>
    <w:p>
      <w:pPr>
        <w:pStyle w:val="ListParagraph"/>
        <w:numPr>
          <w:ilvl w:val="0"/>
          <w:numId w:val="6"/>
        </w:numPr>
        <w:spacing w:after="60" w:line="312"/>
        <w:jc w:val="left"/>
      </w:pPr>
      <w:r>
        <w:rPr>
          <w:rFonts w:ascii="Times New Roman" w:eastAsia="Times New Roman"/>
          <w:color w:val="000000"/>
          <w:sz w:val="24"/>
          <w:szCs w:val="24"/>
        </w:rPr>
        <w:t xml:space="preserve">Replay GET /api/Challenges/ in Burp Repeater with the current Bearer token and confirm a successful response with full challenge data.</w:t>
      </w:r>
    </w:p>
    <w:p>
      <w:pPr>
        <w:pStyle w:val="ListParagraph"/>
        <w:numPr>
          <w:ilvl w:val="0"/>
          <w:numId w:val="6"/>
        </w:numPr>
        <w:spacing w:after="60" w:line="312"/>
        <w:jc w:val="left"/>
      </w:pPr>
      <w:r>
        <w:rPr>
          <w:rFonts w:ascii="Times New Roman" w:eastAsia="Times New Roman"/>
          <w:color w:val="000000"/>
          <w:sz w:val="24"/>
          <w:szCs w:val="24"/>
        </w:rPr>
        <w:t xml:space="preserve">Log out of the application normally through the logout control in the interface.</w:t>
      </w:r>
    </w:p>
    <w:p>
      <w:pPr>
        <w:pStyle w:val="ListParagraph"/>
        <w:numPr>
          <w:ilvl w:val="0"/>
          <w:numId w:val="6"/>
        </w:numPr>
        <w:spacing w:after="60" w:line="312"/>
        <w:jc w:val="left"/>
      </w:pPr>
      <w:r>
        <w:rPr>
          <w:rFonts w:ascii="Times New Roman" w:eastAsia="Times New Roman"/>
          <w:color w:val="000000"/>
          <w:sz w:val="24"/>
          <w:szCs w:val="24"/>
        </w:rPr>
        <w:t xml:space="preserve">Replay the identical request in Repeater without changing a single character, including the Authorization header.</w:t>
      </w:r>
    </w:p>
    <w:p>
      <w:pPr>
        <w:pStyle w:val="ListParagraph"/>
        <w:numPr>
          <w:ilvl w:val="0"/>
          <w:numId w:val="6"/>
        </w:numPr>
        <w:spacing w:after="60" w:line="312"/>
        <w:jc w:val="left"/>
      </w:pPr>
      <w:r>
        <w:rPr>
          <w:rFonts w:ascii="Times New Roman" w:eastAsia="Times New Roman"/>
          <w:color w:val="000000"/>
          <w:sz w:val="24"/>
          <w:szCs w:val="24"/>
        </w:rPr>
        <w:t xml:space="preserve">Observe that the response is again HTTP 200 with the full data payload, proving the token was never invalidated server-side.</w:t>
      </w:r>
    </w:p>
    <w:p>
      <w:pPr>
        <w:pStyle w:val="Heading2"/>
        <w:spacing w:after="120" w:before="260" w:line="340" w:lineRule="atLeast"/>
      </w:pPr>
      <w:bookmarkStart w:name="_Toc25" w:id="25"/>
      <w:r>
        <w:rPr>
          <w:rFonts w:ascii="Times New Roman" w:eastAsia="Times New Roman"/>
          <w:b/>
          <w:bCs/>
          <w:color w:val="1B6B7A"/>
          <w:sz w:val="28"/>
          <w:szCs w:val="28"/>
        </w:rPr>
        <w:t xml:space="preserve">7.3 Evidence and Impact</w:t>
      </w:r>
      <w:bookmarkEnd w:id="25"/>
    </w:p>
    <w:p>
      <w:pPr>
        <w:keepNext/>
        <w:spacing w:after="80" w:before="160" w:line="312"/>
        <w:jc w:val="left"/>
      </w:pPr>
      <w:r>
        <w:rPr>
          <w:rFonts w:ascii="Times New Roman" w:eastAsia="Times New Roman"/>
          <w:b/>
          <w:bCs/>
          <w:color w:val="1B6B7A"/>
          <w:sz w:val="21"/>
          <w:szCs w:val="21"/>
        </w:rPr>
        <w:t xml:space="preserve">Listing 7: Identical authenticated request before and after logout (token truncated)</w:t>
      </w:r>
    </w:p>
    <w:tbl>
      <w:tblPr>
        <w:tblW w:type="pct" w:w="5000"/>
        <w:tblBorders>
          <w:top w:val="single" w:color="C8DDE2" w:sz="4"/>
          <w:left w:val="single" w:color="C8DDE2" w:sz="4"/>
          <w:bottom w:val="single" w:color="C8DDE2" w:sz="4"/>
          <w:right w:val="single" w:color="C8DDE2" w:sz="4"/>
          <w:insideH w:val="none" w:color="FFFFFF" w:sz="0"/>
          <w:insideV w:val="none" w:color="FFFFFF" w:sz="0"/>
        </w:tblBorders>
      </w:tblPr>
      <w:tblGrid>
        <w:gridCol w:w="8788"/>
      </w:tblGrid>
      <w:tr>
        <w:trPr>
          <w:cantSplit w:val="off"/>
        </w:trPr>
        <w:tc>
          <w:tcPr>
            <w:tcW w:type="pct" w:w="5000"/>
            <w:shd w:fill="EDF3F5" w:val="clear"/>
            <w:tcMar>
              <w:top w:type="dxa" w:w="100"/>
              <w:left w:type="dxa" w:w="160"/>
              <w:bottom w:type="dxa" w:w="100"/>
              <w:right w:type="dxa" w:w="160"/>
            </w:tcMar>
          </w:tcPr>
          <w:p>
            <w:pPr>
              <w:spacing w:after="0" w:line="312"/>
              <w:jc w:val="left"/>
            </w:pPr>
            <w:r>
              <w:rPr>
                <w:rFonts w:ascii="Consolas" w:eastAsia="Consolas"/>
                <w:color w:val="000000"/>
                <w:sz w:val="18"/>
                <w:szCs w:val="18"/>
              </w:rPr>
              <w:t xml:space="preserve">GET /api/Challenges/ HTTP/1.1</w:t>
            </w:r>
          </w:p>
          <w:p>
            <w:pPr>
              <w:spacing w:after="0" w:line="312"/>
              <w:jc w:val="left"/>
            </w:pPr>
            <w:r>
              <w:rPr>
                <w:rFonts w:ascii="Consolas" w:eastAsia="Consolas"/>
                <w:color w:val="000000"/>
                <w:sz w:val="18"/>
                <w:szCs w:val="18"/>
              </w:rPr>
              <w:t xml:space="preserve">Host: localhost:3000</w:t>
            </w:r>
          </w:p>
          <w:p>
            <w:pPr>
              <w:spacing w:after="0" w:line="312"/>
              <w:jc w:val="left"/>
            </w:pPr>
            <w:r>
              <w:rPr>
                <w:rFonts w:ascii="Consolas" w:eastAsia="Consolas"/>
                <w:color w:val="000000"/>
                <w:sz w:val="18"/>
                <w:szCs w:val="18"/>
              </w:rPr>
              <w:t xml:space="preserve">Authorization: Bearer eyJhbGciOiJIUzI1NiIsInR5cCI6IkpXVCJ9.eyJkYXRhIjox...</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 before logout:  HTTP/1.1 200 OK (full challenge data returned)</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 request replayed unchanged after logout:</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GET /api/Challenges/ HTTP/1.1</w:t>
            </w:r>
          </w:p>
          <w:p>
            <w:pPr>
              <w:spacing w:after="0" w:line="312"/>
              <w:jc w:val="left"/>
            </w:pPr>
            <w:r>
              <w:rPr>
                <w:rFonts w:ascii="Consolas" w:eastAsia="Consolas"/>
                <w:color w:val="000000"/>
                <w:sz w:val="18"/>
                <w:szCs w:val="18"/>
              </w:rPr>
              <w:t xml:space="preserve">Host: localhost:3000</w:t>
            </w:r>
          </w:p>
          <w:p>
            <w:pPr>
              <w:spacing w:after="0" w:line="312"/>
              <w:jc w:val="left"/>
            </w:pPr>
            <w:r>
              <w:rPr>
                <w:rFonts w:ascii="Consolas" w:eastAsia="Consolas"/>
                <w:color w:val="000000"/>
                <w:sz w:val="18"/>
                <w:szCs w:val="18"/>
              </w:rPr>
              <w:t xml:space="preserve">Authorization: Bearer eyJhbGciOiJIUzI1NiIsInR5cCI6IkpXVCJ9.eyJkYXRhIjox...</w:t>
            </w:r>
          </w:p>
          <w:p>
            <w:pPr>
              <w:spacing w:after="0" w:line="312"/>
              <w:jc w:val="left"/>
            </w:pPr>
            <w:r>
              <w:rPr>
                <w:rFonts w:ascii="Consolas" w:eastAsia="Consolas"/>
                <w:color w:val="000000"/>
                <w:sz w:val="18"/>
                <w:szCs w:val="18"/>
              </w:rPr>
              <w:t xml:space="preserve"> </w:t>
            </w:r>
          </w:p>
          <w:p>
            <w:pPr>
              <w:spacing w:after="0" w:line="312"/>
              <w:jc w:val="left"/>
            </w:pPr>
            <w:r>
              <w:rPr>
                <w:rFonts w:ascii="Consolas" w:eastAsia="Consolas"/>
                <w:color w:val="000000"/>
                <w:sz w:val="18"/>
                <w:szCs w:val="18"/>
              </w:rPr>
              <w:t xml:space="preserve"># after logout:   HTTP/1.1 200 OK (full challenge data returned)</w:t>
            </w:r>
          </w:p>
        </w:tc>
      </w:tr>
    </w:tbl>
    <w:p>
      <w:pPr>
        <w:spacing w:after="120" w:line="312"/>
        <w:jc w:val="both"/>
      </w:pPr>
      <w:r>
        <w:rPr>
          <w:rFonts w:ascii="Times New Roman" w:eastAsia="Times New Roman"/>
          <w:b w:val="false"/>
          <w:bCs w:val="false"/>
          <w:color w:val="000000"/>
          <w:sz w:val="24"/>
          <w:szCs w:val="24"/>
        </w:rPr>
        <w:t xml:space="preserve">Observed result: the identical request carrying the same Bearer token succeeded both before and after the account was logged out through the application interface (Figures 17 and 18 of the main report). Logging out had cleared only the browser's local state; the token itself was never invalidated on the server side, so the captured value remained a fully functional key to the API.</w:t>
      </w:r>
    </w:p>
    <w:p>
      <w:pPr>
        <w:spacing w:after="120" w:line="312"/>
        <w:jc w:val="both"/>
      </w:pPr>
      <w:r>
        <w:rPr>
          <w:rFonts w:ascii="Times New Roman" w:eastAsia="Times New Roman"/>
          <w:b/>
          <w:bCs/>
          <w:color w:val="000000"/>
          <w:sz w:val="24"/>
          <w:szCs w:val="24"/>
        </w:rPr>
        <w:t xml:space="preserve">Impact: </w:t>
      </w:r>
      <w:r>
        <w:rPr>
          <w:rFonts w:ascii="Times New Roman" w:eastAsia="Times New Roman"/>
          <w:b w:val="false"/>
          <w:bCs w:val="false"/>
          <w:color w:val="000000"/>
          <w:sz w:val="24"/>
          <w:szCs w:val="24"/>
        </w:rPr>
        <w:t xml:space="preserve">logging out provides no real protection against a token that has been captured, for example through a shared device, a proxy log, or a man-in-the-middle position. The captured token remains usable indefinitely, which extends the impact of every other finding in this chain. The finding is rated </w:t>
      </w:r>
      <w:r>
        <w:rPr>
          <w:rFonts w:ascii="Times New Roman" w:eastAsia="Times New Roman"/>
          <w:b/>
          <w:bCs/>
          <w:color w:val="000000"/>
          <w:sz w:val="24"/>
          <w:szCs w:val="24"/>
        </w:rPr>
        <w:t xml:space="preserve">Medium</w:t>
      </w:r>
      <w:r>
        <w:rPr>
          <w:rFonts w:ascii="Times New Roman" w:eastAsia="Times New Roman"/>
          <w:b w:val="false"/>
          <w:bCs w:val="false"/>
          <w:color w:val="000000"/>
          <w:sz w:val="24"/>
          <w:szCs w:val="24"/>
        </w:rPr>
        <w:t xml:space="preserve"> because it presupposes that the token was captured by some other means, but it meaningfully amplifies the overall damage.</w:t>
      </w:r>
    </w:p>
    <w:p>
      <w:pPr>
        <w:pStyle w:val="Heading1"/>
        <w:spacing w:after="160" w:before="360" w:line="380" w:lineRule="atLeast"/>
      </w:pPr>
      <w:bookmarkStart w:name="_Toc26" w:id="26"/>
      <w:r>
        <w:rPr>
          <w:rFonts w:ascii="Times New Roman" w:eastAsia="Times New Roman"/>
          <w:b/>
          <w:bCs/>
          <w:color w:val="1B6B7A"/>
          <w:sz w:val="32"/>
          <w:szCs w:val="32"/>
        </w:rPr>
        <w:t xml:space="preserve">8. Consolidated Findings Summary</w:t>
      </w:r>
      <w:bookmarkEnd w:id="26"/>
    </w:p>
    <w:p>
      <w:pPr>
        <w:spacing w:after="120" w:line="312"/>
        <w:jc w:val="both"/>
      </w:pPr>
      <w:r>
        <w:rPr>
          <w:rFonts w:ascii="Times New Roman" w:eastAsia="Times New Roman"/>
          <w:b w:val="false"/>
          <w:bCs w:val="false"/>
          <w:color w:val="000000"/>
          <w:sz w:val="24"/>
          <w:szCs w:val="24"/>
        </w:rPr>
        <w:t xml:space="preserve">The table below consolidates the five proof-of-concept findings of this engagement. Each row lists the weakness class, the primary endpoint used for exploitation, and the severity rating assigned on the standard Low, Medium, High, Critical scale. Together they form one continuous attack path from an anonymous visitor to a persistent, full compromise of the application.</w:t>
      </w:r>
    </w:p>
    <w:p>
      <w:pPr>
        <w:keepNext/>
        <w:spacing w:after="80" w:before="160" w:line="312"/>
        <w:jc w:val="left"/>
      </w:pPr>
      <w:r>
        <w:rPr>
          <w:rFonts w:ascii="Times New Roman" w:eastAsia="Times New Roman"/>
          <w:b/>
          <w:bCs/>
          <w:color w:val="1B6B7A"/>
          <w:sz w:val="21"/>
          <w:szCs w:val="21"/>
        </w:rPr>
        <w:t xml:space="preserve">Table 1: Summary of POC findings</w:t>
      </w:r>
    </w:p>
    <w:tbl>
      <w:tblPr>
        <w:tblW w:type="pct" w:w="5000"/>
        <w:tblBorders>
          <w:top w:val="single" w:color="C8DDE2" w:sz="4"/>
          <w:left w:val="none" w:color="FFFFFF" w:sz="0"/>
          <w:bottom w:val="single" w:color="C8DDE2" w:sz="4"/>
          <w:right w:val="none" w:color="FFFFFF" w:sz="0"/>
          <w:insideH w:val="single" w:color="C8DDE2" w:sz="2"/>
          <w:insideV w:val="none" w:color="FFFFFF" w:sz="0"/>
        </w:tblBorders>
      </w:tblPr>
      <w:tblGrid>
        <w:gridCol w:w="879"/>
        <w:gridCol w:w="3164"/>
        <w:gridCol w:w="2461"/>
        <w:gridCol w:w="1055"/>
        <w:gridCol w:w="1230"/>
      </w:tblGrid>
      <w:tr>
        <w:trPr>
          <w:cantSplit/>
          <w:tblHeader/>
        </w:trPr>
        <w:tc>
          <w:tcPr>
            <w:tcW w:type="pct" w:w="500"/>
            <w:shd w:fill="1B6B7A" w:val="clear"/>
            <w:tcMar>
              <w:top w:type="dxa" w:w="60"/>
              <w:left w:type="dxa" w:w="120"/>
              <w:bottom w:type="dxa" w:w="60"/>
              <w:right w:type="dxa" w:w="120"/>
            </w:tcMar>
          </w:tcPr>
          <w:p>
            <w:pPr>
              <w:spacing w:line="312"/>
            </w:pPr>
            <w:r>
              <w:rPr>
                <w:rFonts w:ascii="Times New Roman" w:eastAsia="Times New Roman"/>
                <w:b/>
                <w:bCs/>
                <w:color w:val="FFFFFF"/>
                <w:sz w:val="21"/>
                <w:szCs w:val="21"/>
              </w:rPr>
              <w:t xml:space="preserve">POC</w:t>
            </w:r>
          </w:p>
        </w:tc>
        <w:tc>
          <w:tcPr>
            <w:tcW w:type="pct" w:w="1800"/>
            <w:shd w:fill="1B6B7A" w:val="clear"/>
            <w:tcMar>
              <w:top w:type="dxa" w:w="60"/>
              <w:left w:type="dxa" w:w="120"/>
              <w:bottom w:type="dxa" w:w="60"/>
              <w:right w:type="dxa" w:w="120"/>
            </w:tcMar>
          </w:tcPr>
          <w:p>
            <w:pPr>
              <w:spacing w:line="312"/>
            </w:pPr>
            <w:r>
              <w:rPr>
                <w:rFonts w:ascii="Times New Roman" w:eastAsia="Times New Roman"/>
                <w:b/>
                <w:bCs/>
                <w:color w:val="FFFFFF"/>
                <w:sz w:val="21"/>
                <w:szCs w:val="21"/>
              </w:rPr>
              <w:t xml:space="preserve">Vulnerability</w:t>
            </w:r>
          </w:p>
        </w:tc>
        <w:tc>
          <w:tcPr>
            <w:tcW w:type="pct" w:w="1400"/>
            <w:shd w:fill="1B6B7A" w:val="clear"/>
            <w:tcMar>
              <w:top w:type="dxa" w:w="60"/>
              <w:left w:type="dxa" w:w="120"/>
              <w:bottom w:type="dxa" w:w="60"/>
              <w:right w:type="dxa" w:w="120"/>
            </w:tcMar>
          </w:tcPr>
          <w:p>
            <w:pPr>
              <w:spacing w:line="312"/>
            </w:pPr>
            <w:r>
              <w:rPr>
                <w:rFonts w:ascii="Times New Roman" w:eastAsia="Times New Roman"/>
                <w:b/>
                <w:bCs/>
                <w:color w:val="FFFFFF"/>
                <w:sz w:val="21"/>
                <w:szCs w:val="21"/>
              </w:rPr>
              <w:t xml:space="preserve">Primary Endpoint</w:t>
            </w:r>
          </w:p>
        </w:tc>
        <w:tc>
          <w:tcPr>
            <w:tcW w:type="pct" w:w="600"/>
            <w:shd w:fill="1B6B7A" w:val="clear"/>
            <w:tcMar>
              <w:top w:type="dxa" w:w="60"/>
              <w:left w:type="dxa" w:w="120"/>
              <w:bottom w:type="dxa" w:w="60"/>
              <w:right w:type="dxa" w:w="120"/>
            </w:tcMar>
          </w:tcPr>
          <w:p>
            <w:pPr>
              <w:spacing w:line="312"/>
            </w:pPr>
            <w:r>
              <w:rPr>
                <w:rFonts w:ascii="Times New Roman" w:eastAsia="Times New Roman"/>
                <w:b/>
                <w:bCs/>
                <w:color w:val="FFFFFF"/>
                <w:sz w:val="21"/>
                <w:szCs w:val="21"/>
              </w:rPr>
              <w:t xml:space="preserve">Severity</w:t>
            </w:r>
          </w:p>
        </w:tc>
        <w:tc>
          <w:tcPr>
            <w:tcW w:type="pct" w:w="700"/>
            <w:shd w:fill="1B6B7A" w:val="clear"/>
            <w:tcMar>
              <w:top w:type="dxa" w:w="60"/>
              <w:left w:type="dxa" w:w="120"/>
              <w:bottom w:type="dxa" w:w="60"/>
              <w:right w:type="dxa" w:w="120"/>
            </w:tcMar>
          </w:tcPr>
          <w:p>
            <w:pPr>
              <w:spacing w:line="312"/>
            </w:pPr>
            <w:r>
              <w:rPr>
                <w:rFonts w:ascii="Times New Roman" w:eastAsia="Times New Roman"/>
                <w:b/>
                <w:bCs/>
                <w:color w:val="FFFFFF"/>
                <w:sz w:val="21"/>
                <w:szCs w:val="21"/>
              </w:rPr>
              <w:t xml:space="preserve">CWE</w:t>
            </w:r>
          </w:p>
        </w:tc>
      </w:tr>
      <w:tr>
        <w:trPr>
          <w:cantSplit/>
        </w:trPr>
        <w:tc>
          <w:tcPr>
            <w:tcW w:type="pct" w:w="5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POC 1</w:t>
            </w:r>
          </w:p>
        </w:tc>
        <w:tc>
          <w:tcPr>
            <w:tcW w:type="pct" w:w="18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Authentication Bypass via SQL Injection</w:t>
            </w:r>
          </w:p>
        </w:tc>
        <w:tc>
          <w:tcPr>
            <w:tcW w:type="pct" w:w="14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POST /rest/user/login</w:t>
            </w:r>
          </w:p>
        </w:tc>
        <w:tc>
          <w:tcPr>
            <w:tcW w:type="pct" w:w="600"/>
            <w:tcMar>
              <w:top w:type="dxa" w:w="60"/>
              <w:left w:type="dxa" w:w="120"/>
              <w:bottom w:type="dxa" w:w="60"/>
              <w:right w:type="dxa" w:w="120"/>
            </w:tcMar>
          </w:tcPr>
          <w:p>
            <w:pPr>
              <w:spacing w:line="312"/>
            </w:pPr>
            <w:r>
              <w:rPr>
                <w:rFonts w:ascii="Times New Roman" w:eastAsia="Times New Roman"/>
                <w:b/>
                <w:bCs/>
                <w:color w:val="000000"/>
                <w:sz w:val="21"/>
                <w:szCs w:val="21"/>
              </w:rPr>
              <w:t xml:space="preserve">Critical</w:t>
            </w:r>
          </w:p>
        </w:tc>
        <w:tc>
          <w:tcPr>
            <w:tcW w:type="pct" w:w="7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CWE-89</w:t>
            </w:r>
          </w:p>
        </w:tc>
      </w:tr>
      <w:tr>
        <w:trPr>
          <w:cantSplit/>
        </w:trPr>
        <w:tc>
          <w:tcPr>
            <w:tcW w:type="pct" w:w="5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POC 2</w:t>
            </w:r>
          </w:p>
        </w:tc>
        <w:tc>
          <w:tcPr>
            <w:tcW w:type="pct" w:w="18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Broken Access Control (Hidden Admin Panel)</w:t>
            </w:r>
          </w:p>
        </w:tc>
        <w:tc>
          <w:tcPr>
            <w:tcW w:type="pct" w:w="14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/#/administration + GET /api/Users</w:t>
            </w:r>
          </w:p>
        </w:tc>
        <w:tc>
          <w:tcPr>
            <w:tcW w:type="pct" w:w="600"/>
            <w:tcMar>
              <w:top w:type="dxa" w:w="60"/>
              <w:left w:type="dxa" w:w="120"/>
              <w:bottom w:type="dxa" w:w="60"/>
              <w:right w:type="dxa" w:w="120"/>
            </w:tcMar>
          </w:tcPr>
          <w:p>
            <w:pPr>
              <w:spacing w:line="312"/>
            </w:pPr>
            <w:r>
              <w:rPr>
                <w:rFonts w:ascii="Times New Roman" w:eastAsia="Times New Roman"/>
                <w:b/>
                <w:bCs/>
                <w:color w:val="000000"/>
                <w:sz w:val="21"/>
                <w:szCs w:val="21"/>
              </w:rPr>
              <w:t xml:space="preserve">High</w:t>
            </w:r>
          </w:p>
        </w:tc>
        <w:tc>
          <w:tcPr>
            <w:tcW w:type="pct" w:w="7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CWE-284</w:t>
            </w:r>
          </w:p>
        </w:tc>
      </w:tr>
      <w:tr>
        <w:trPr>
          <w:cantSplit/>
        </w:trPr>
        <w:tc>
          <w:tcPr>
            <w:tcW w:type="pct" w:w="5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POC 3</w:t>
            </w:r>
          </w:p>
        </w:tc>
        <w:tc>
          <w:tcPr>
            <w:tcW w:type="pct" w:w="18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IDOR on Users and Basket APIs</w:t>
            </w:r>
          </w:p>
        </w:tc>
        <w:tc>
          <w:tcPr>
            <w:tcW w:type="pct" w:w="14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GET /api/Users/{id}, GET /rest/basket/{id}</w:t>
            </w:r>
          </w:p>
        </w:tc>
        <w:tc>
          <w:tcPr>
            <w:tcW w:type="pct" w:w="600"/>
            <w:tcMar>
              <w:top w:type="dxa" w:w="60"/>
              <w:left w:type="dxa" w:w="120"/>
              <w:bottom w:type="dxa" w:w="60"/>
              <w:right w:type="dxa" w:w="120"/>
            </w:tcMar>
          </w:tcPr>
          <w:p>
            <w:pPr>
              <w:spacing w:line="312"/>
            </w:pPr>
            <w:r>
              <w:rPr>
                <w:rFonts w:ascii="Times New Roman" w:eastAsia="Times New Roman"/>
                <w:b/>
                <w:bCs/>
                <w:color w:val="000000"/>
                <w:sz w:val="21"/>
                <w:szCs w:val="21"/>
              </w:rPr>
              <w:t xml:space="preserve">High</w:t>
            </w:r>
          </w:p>
        </w:tc>
        <w:tc>
          <w:tcPr>
            <w:tcW w:type="pct" w:w="7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CWE-639</w:t>
            </w:r>
          </w:p>
        </w:tc>
      </w:tr>
      <w:tr>
        <w:trPr>
          <w:cantSplit/>
        </w:trPr>
        <w:tc>
          <w:tcPr>
            <w:tcW w:type="pct" w:w="5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POC 4</w:t>
            </w:r>
          </w:p>
        </w:tc>
        <w:tc>
          <w:tcPr>
            <w:tcW w:type="pct" w:w="18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Basket Quantity Parameter Tampering</w:t>
            </w:r>
          </w:p>
        </w:tc>
        <w:tc>
          <w:tcPr>
            <w:tcW w:type="pct" w:w="14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POST /api/BasketItems/</w:t>
            </w:r>
          </w:p>
        </w:tc>
        <w:tc>
          <w:tcPr>
            <w:tcW w:type="pct" w:w="600"/>
            <w:tcMar>
              <w:top w:type="dxa" w:w="60"/>
              <w:left w:type="dxa" w:w="120"/>
              <w:bottom w:type="dxa" w:w="60"/>
              <w:right w:type="dxa" w:w="120"/>
            </w:tcMar>
          </w:tcPr>
          <w:p>
            <w:pPr>
              <w:spacing w:line="312"/>
            </w:pPr>
            <w:r>
              <w:rPr>
                <w:rFonts w:ascii="Times New Roman" w:eastAsia="Times New Roman"/>
                <w:b/>
                <w:bCs/>
                <w:color w:val="000000"/>
                <w:sz w:val="21"/>
                <w:szCs w:val="21"/>
              </w:rPr>
              <w:t xml:space="preserve">High</w:t>
            </w:r>
          </w:p>
        </w:tc>
        <w:tc>
          <w:tcPr>
            <w:tcW w:type="pct" w:w="7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CWE-20</w:t>
            </w:r>
          </w:p>
        </w:tc>
      </w:tr>
      <w:tr>
        <w:trPr>
          <w:cantSplit/>
        </w:trPr>
        <w:tc>
          <w:tcPr>
            <w:tcW w:type="pct" w:w="5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POC 5</w:t>
            </w:r>
          </w:p>
        </w:tc>
        <w:tc>
          <w:tcPr>
            <w:tcW w:type="pct" w:w="18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Token Reuse After Logout</w:t>
            </w:r>
          </w:p>
        </w:tc>
        <w:tc>
          <w:tcPr>
            <w:tcW w:type="pct" w:w="14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GET /api/Challenges/</w:t>
            </w:r>
          </w:p>
        </w:tc>
        <w:tc>
          <w:tcPr>
            <w:tcW w:type="pct" w:w="600"/>
            <w:tcMar>
              <w:top w:type="dxa" w:w="60"/>
              <w:left w:type="dxa" w:w="120"/>
              <w:bottom w:type="dxa" w:w="60"/>
              <w:right w:type="dxa" w:w="120"/>
            </w:tcMar>
          </w:tcPr>
          <w:p>
            <w:pPr>
              <w:spacing w:line="312"/>
            </w:pPr>
            <w:r>
              <w:rPr>
                <w:rFonts w:ascii="Times New Roman" w:eastAsia="Times New Roman"/>
                <w:b/>
                <w:bCs/>
                <w:color w:val="000000"/>
                <w:sz w:val="21"/>
                <w:szCs w:val="21"/>
              </w:rPr>
              <w:t xml:space="preserve">Medium</w:t>
            </w:r>
          </w:p>
        </w:tc>
        <w:tc>
          <w:tcPr>
            <w:tcW w:type="pct" w:w="700"/>
            <w:tcMar>
              <w:top w:type="dxa" w:w="60"/>
              <w:left w:type="dxa" w:w="120"/>
              <w:bottom w:type="dxa" w:w="60"/>
              <w:right w:type="dxa" w:w="120"/>
            </w:tcMar>
          </w:tcPr>
          <w:p>
            <w:pPr>
              <w:spacing w:line="312"/>
            </w:pPr>
            <w:r>
              <w:rPr>
                <w:rFonts w:ascii="Times New Roman" w:eastAsia="Times New Roman"/>
                <w:b w:val="false"/>
                <w:bCs w:val="false"/>
                <w:color w:val="000000"/>
                <w:sz w:val="21"/>
                <w:szCs w:val="21"/>
              </w:rPr>
              <w:t xml:space="preserve">CWE-613</w:t>
            </w:r>
          </w:p>
        </w:tc>
      </w:tr>
    </w:tbl>
    <w:p>
      <w:pPr>
        <w:spacing w:after="120"/>
      </w:pPr>
    </w:p>
    <w:p>
      <w:pPr>
        <w:spacing w:after="120" w:line="312"/>
        <w:jc w:val="both"/>
      </w:pPr>
      <w:r>
        <w:rPr>
          <w:rFonts w:ascii="Times New Roman" w:eastAsia="Times New Roman"/>
          <w:b w:val="false"/>
          <w:bCs w:val="false"/>
          <w:color w:val="000000"/>
          <w:sz w:val="24"/>
          <w:szCs w:val="24"/>
        </w:rPr>
        <w:t xml:space="preserve">No single finding in this chain requires the others to exist, but their combination is what makes the outcome severe. The SQL injection grants the administrator session, the session unlocks the hidden administration panel, the panel's APIs leak every customer record and basket, the basket API accepts manipulated quantities, and the surviving token keeps the entire access alive beyond logout. As established in the remediation strategy of the main report, fixing the SQL injection first removes the entry point the whole chain depends on, while server-side role checks, object ownership checks, quantity validation, and true server-side token invalidation provide the defense in depth that keeps a single weakness from cascading.</w:t>
      </w:r>
    </w:p>
    <w:p>
      <w:pPr>
        <w:pStyle w:val="Heading1"/>
        <w:spacing w:after="160" w:before="360" w:line="380" w:lineRule="atLeast"/>
      </w:pPr>
      <w:bookmarkStart w:name="_Toc27" w:id="27"/>
      <w:r>
        <w:rPr>
          <w:rFonts w:ascii="Times New Roman" w:eastAsia="Times New Roman"/>
          <w:b/>
          <w:bCs/>
          <w:color w:val="1B6B7A"/>
          <w:sz w:val="32"/>
          <w:szCs w:val="32"/>
        </w:rPr>
        <w:t xml:space="preserve">9. Conclusion</w:t>
      </w:r>
      <w:bookmarkEnd w:id="27"/>
    </w:p>
    <w:p>
      <w:pPr>
        <w:spacing w:after="120" w:line="312"/>
        <w:jc w:val="both"/>
      </w:pPr>
      <w:r>
        <w:rPr>
          <w:rFonts w:ascii="Times New Roman" w:eastAsia="Times New Roman"/>
          <w:b w:val="false"/>
          <w:bCs w:val="false"/>
          <w:color w:val="000000"/>
          <w:sz w:val="24"/>
          <w:szCs w:val="24"/>
        </w:rPr>
        <w:t xml:space="preserve">This Proof of Concept demonstrates that a single SQL injection payload is sufficient to bootstrap a complete compromise of the target application: administrative access without credentials, exposure of every customer record and basket through IDOR, manipulation of order quantities into negative values, and persistence of that access even after a formal logout. Each listing in this document corresponds to requests captured in Burp Suite during the engagement, and each observed result is cross-referenced to the numbered screenshot figures of the main Week 8 report, so every claim made here can be independently verified against the recorded evidence.</w:t>
      </w:r>
    </w:p>
    <w:p>
      <w:pPr>
        <w:spacing w:after="120" w:line="312"/>
        <w:jc w:val="both"/>
      </w:pPr>
      <w:r>
        <w:rPr>
          <w:rFonts w:ascii="Times New Roman" w:eastAsia="Times New Roman"/>
          <w:b w:val="false"/>
          <w:bCs w:val="false"/>
          <w:color w:val="000000"/>
          <w:sz w:val="24"/>
          <w:szCs w:val="24"/>
        </w:rPr>
        <w:t xml:space="preserve">The five weaknesses were reproducible on demand, required no privileged prior knowledge, and exploited only the publicly reachable surface of the application. The overall verdict of the assessment is that the target fails the Week 8 objective of resisting a chained, logic-driven attack. Implementing the remediation measures of the main report - parameterized queries on the login path, server-side role and ownership checks on every administrative and object-based route, server-side validation of quantities with defined bounds, and genuine server-side token invalidation at logout - would close this chain at multiple points simultaneously and raise the effort required for any similar attack to succeed in the future.</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Times New Roman" w:eastAsia="Times New Roman"/>
        <w:color w:val="808080"/>
        <w:sz w:val="18"/>
        <w:szCs w:val="18"/>
      </w:rPr>
      <w:t xml:space="preserve">Week 8 Advanced VAPT - Proof of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Times New Roman"/>
      <w:b/>
      <w:bCs/>
      <w:color w:val="1B6B7A"/>
      <w:sz w:val="32"/>
      <w:szCs w:val="32"/>
    </w:rPr>
  </w:style>
  <w:style w:type="paragraph" w:styleId="Heading2">
    <w:name w:val="Heading 2"/>
    <w:basedOn w:val="Normal"/>
    <w:next w:val="Normal"/>
    <w:qFormat/>
    <w:pPr>
      <w:spacing w:after="120" w:before="260" w:line="340"/>
      <w:outlineLvl w:val="1"/>
    </w:pPr>
    <w:rPr>
      <w:rFonts w:ascii="Times New Roman" w:eastAsia="Times New Roman"/>
      <w:b/>
      <w:bCs/>
      <w:color w:val="1B6B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2026-10-14T13:35:23.605Z</dcterms:created>
  <dcterms:modified xsi:type="dcterms:W3CDTF">2026-10-14T13:35:23.605Z</dcterms:modified>
</cp:coreProperties>
</file>

<file path=docProps/custom.xml><?xml version="1.0" encoding="utf-8"?>
<Properties xmlns="http://schemas.openxmlformats.org/officeDocument/2006/custom-properties" xmlns:vt="http://schemas.openxmlformats.org/officeDocument/2006/docPropsVTypes"/>
</file>