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color w:val="E35B78"/>
          <w:sz w:val="24"/>
          <w:szCs w:val="24"/>
        </w:rPr>
        <w:t xml:space="preserve">INFORME TÉCNICO · IHC · REQUISITOS</w:t>
      </w:r>
    </w:p>
    <w:p>
      <w:pPr>
        <w:spacing w:after="180" w:before="120"/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Logo WIKSAYUQ" descr="Logo WIKSAYUQ" title="Logo WIKSAYU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F2F31"/>
          <w:sz w:val="54"/>
          <w:szCs w:val="54"/>
        </w:rPr>
        <w:t xml:space="preserve">WIKSAYUQ</w:t>
      </w:r>
    </w:p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color w:val="E35B78"/>
          <w:sz w:val="34"/>
          <w:szCs w:val="34"/>
        </w:rPr>
        <w:t xml:space="preserve">Informe integral del sistema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7D6A6D"/>
          <w:sz w:val="24"/>
          <w:szCs w:val="24"/>
        </w:rPr>
        <w:t xml:space="preserve">Problema, objetivos, funcionamiento del código, requisitos funcionales y no funcionales, arquitectura, experiencia de usuario, paleta visual, capturas y wireframes.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F2F31"/>
          <w:sz w:val="22"/>
          <w:szCs w:val="22"/>
        </w:rPr>
        <w:t xml:space="preserve">Fecha de corte: 29 de julio de 2026</w:t>
      </w:r>
    </w:p>
    <w:p>
      <w:pPr>
        <w:spacing w:after="130" w:before="0"/>
        <w:jc w:val="center"/>
      </w:pPr>
      <w:r>
        <w:rPr>
          <w:rFonts w:ascii="Arial" w:cs="Arial" w:eastAsia="Arial" w:hAnsi="Arial"/>
          <w:i/>
          <w:iCs/>
          <w:color w:val="7D6A6D"/>
          <w:sz w:val="20"/>
          <w:szCs w:val="20"/>
        </w:rPr>
        <w:t xml:space="preserve">Documento de línea base para evaluación y futuras implementaciones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shd w:fill="3F2F31" w:val="clear"/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Diagnóstico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8"/>
                <w:szCs w:val="18"/>
              </w:rPr>
              <w:t xml:space="preserve">WIKSAYUQ es un MVP funcional centrado en la gestante. Permite acceso, seguimiento básico, calendario, historial, educación, contactos y operación offline parcial. Aún no está listo para producción clínica: el rol de personal de salud no tiene interfaz, SOS/autoevaluación no están integrados de extremo a extremo, la sincronización requiere idempotencia y faltan pruebas automatizadas.</w:t>
            </w:r>
          </w:p>
        </w:tc>
      </w:tr>
    </w:tbl>
    <w:p>
      <w:pPr>
        <w:pStyle w:val="Heading1"/>
      </w:pPr>
      <w:r>
        <w:t xml:space="preserve">1. Problema</w:t>
      </w:r>
    </w:p>
    <w:p>
      <w:pPr>
        <w:spacing w:after="130" w:before="0"/>
      </w:pPr>
      <w:r>
        <w:rPr>
          <w:rFonts w:ascii="Arial" w:cs="Arial" w:eastAsia="Arial" w:hAnsi="Arial"/>
          <w:color w:val="3F2F31"/>
          <w:sz w:val="22"/>
          <w:szCs w:val="22"/>
        </w:rPr>
        <w:t xml:space="preserve">Las gestantes de zonas altoandinas pueden enfrentar distancia geográfica, conectividad intermitente, barreras lingüísticas y fragmentación de la información prenatal. Esto dificulta recordar controles, reconocer signos de alarma, localizar atención y mantener continuidad entre la gestante y el establecimiento de salud. WIKSAYUQ busca concentrar ese acompañamiento en una aplicación móvil culturalmente contextualizada y capaz de degradarse cuando no hay Internet.</w:t>
      </w:r>
    </w:p>
    <w:p>
      <w:pPr>
        <w:pStyle w:val="Heading1"/>
      </w:pPr>
      <w:r>
        <w:t xml:space="preserve">2. Objetivos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Desarrollar una aplicación móvil para el seguimiento prenatal de gestantes en zonas altoandinas del Perú.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Centralizar controles, citas, vacunas, peso e historial del embarazo.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Reducir barreras lingüísticas mediante español y Runasimi.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Mantener funciones esenciales cuando la conectividad es intermitente.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Detectar signos de alarma y facilitar el contacto con servicios de salud.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Preparar la coordinación futura entre gestante, personal de salud y administración.</w:t>
      </w:r>
    </w:p>
    <w:p>
      <w:pPr>
        <w:pStyle w:val="Heading1"/>
      </w:pPr>
      <w:r>
        <w:t xml:space="preserve">3. Alcance y actores</w:t>
      </w:r>
    </w:p>
    <w:p>
      <w:pPr>
        <w:spacing w:after="130" w:before="0"/>
      </w:pPr>
      <w:r>
        <w:rPr>
          <w:rFonts w:ascii="Arial" w:cs="Arial" w:eastAsia="Arial" w:hAnsi="Arial"/>
          <w:color w:val="3F2F31"/>
          <w:sz w:val="22"/>
          <w:szCs w:val="22"/>
        </w:rPr>
        <w:t xml:space="preserve">El alcance actual cubre el flujo de la gestante. El personal de salud, la administración, las alertas operativas, los exámenes, las notificaciones push y la resolución de conflictos forman parte del alcance futuro o parcial.</w:t>
      </w:r>
    </w:p>
    <w:p>
      <w:pPr>
        <w:spacing w:after="180" w:before="120"/>
        <w:jc w:val="center"/>
      </w:pPr>
      <w:r>
        <w:drawing>
          <wp:inline distT="0" distB="0" distL="0" distR="0">
            <wp:extent cx="6191250" cy="3981450"/>
            <wp:effectExtent t="0" r="0" b="0" l="0"/>
            <wp:docPr id="1" name="Mapa funcional" descr="Mapa funcional" title="Mapa fun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750"/>
        <w:gridCol w:w="5400"/>
        <w:gridCol w:w="2210"/>
      </w:tblGrid>
      <w:tr>
        <w:trPr>
          <w:tblHeader/>
        </w:trPr>
        <w:tc>
          <w:tcPr>
            <w:tcW w:type="dxa" w:w="17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shd w:fill="3F2F31" w:val="clear"/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54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shd w:fill="3F2F31" w:val="clear"/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221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shd w:fill="3F2F31" w:val="clear"/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Gestante</w:t>
            </w:r>
          </w:p>
        </w:tc>
        <w:tc>
          <w:tcPr>
            <w:tcW w:type="dxa" w:w="54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Seguimiento, educación, emergencia y configuración.</w:t>
            </w:r>
          </w:p>
        </w:tc>
        <w:tc>
          <w:tcPr>
            <w:tcW w:type="dxa" w:w="221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8"/>
                <w:szCs w:val="18"/>
              </w:rPr>
              <w:t xml:space="preserve">MVP funcional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Personal de salud</w:t>
            </w:r>
          </w:p>
        </w:tc>
        <w:tc>
          <w:tcPr>
            <w:tcW w:type="dxa" w:w="54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Asignadas, alertas y atención prenatal.</w:t>
            </w:r>
          </w:p>
        </w:tc>
        <w:tc>
          <w:tcPr>
            <w:tcW w:type="dxa" w:w="221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Sin UI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54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Catálogos, usuarios y auditoría.</w:t>
            </w:r>
          </w:p>
        </w:tc>
        <w:tc>
          <w:tcPr>
            <w:tcW w:type="dxa" w:w="221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Solo modelos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Servicios externos</w:t>
            </w:r>
          </w:p>
        </w:tc>
        <w:tc>
          <w:tcPr>
            <w:tcW w:type="dxa" w:w="54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DNI, mapas, videos y base cloud.</w:t>
            </w:r>
          </w:p>
        </w:tc>
        <w:tc>
          <w:tcPr>
            <w:tcW w:type="dxa" w:w="221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8"/>
                <w:szCs w:val="18"/>
              </w:rPr>
              <w:t xml:space="preserve">Parcial</w:t>
            </w:r>
          </w:p>
        </w:tc>
      </w:tr>
    </w:tbl>
    <w:p>
      <w:pPr>
        <w:pStyle w:val="Heading1"/>
        <w:pageBreakBefore/>
      </w:pPr>
      <w:r>
        <w:t xml:space="preserve">4. Arquitectura y funcionamiento del código</w:t>
      </w:r>
    </w:p>
    <w:p>
      <w:pPr>
        <w:spacing w:after="180" w:before="120"/>
        <w:jc w:val="center"/>
      </w:pPr>
      <w:r>
        <w:drawing>
          <wp:inline distT="0" distB="0" distL="0" distR="0">
            <wp:extent cx="6191250" cy="3629025"/>
            <wp:effectExtent t="0" r="0" b="0" l="0"/>
            <wp:docPr id="1" name="Arquitectura de WIKSAYUQ" descr="Arquitectura de WIKSAYUQ" title="Arquitectura de WIKSAYU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4.1 Inicio y navegación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frontend/app/_layout.tsx inicializa SQLite y SyncService.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NetInfo observa conectividad y sincroniza al volver Internet.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frontend/app/index.tsx decide idioma, sesión y rol.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Expo Router abre bienvenida, login o Inicio.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La ruta de personal de salud aún no existe.</w:t>
      </w:r>
    </w:p>
    <w:p>
      <w:pPr>
        <w:pStyle w:val="Heading2"/>
      </w:pPr>
      <w:r>
        <w:t xml:space="preserve">4.2 Autenticación</w:t>
      </w:r>
    </w:p>
    <w:p>
      <w:pPr>
        <w:spacing w:after="130" w:before="0"/>
      </w:pPr>
      <w:r>
        <w:rPr>
          <w:rFonts w:ascii="Arial" w:cs="Arial" w:eastAsia="Arial" w:hAnsi="Arial"/>
          <w:color w:val="3F2F31"/>
          <w:sz w:val="22"/>
          <w:szCs w:val="22"/>
        </w:rPr>
        <w:t xml:space="preserve">DNI y PIN se envían al backend; Prisma busca el perfil, bcrypt compara el hash y JWT firma la sesión. SecureStore protege el token en móvil y localStorage lo conserva en web. Faltan refresh, revocación y limpieza completa al cerrar sesión.</w:t>
      </w:r>
    </w:p>
    <w:p>
      <w:pPr>
        <w:pStyle w:val="Heading2"/>
      </w:pPr>
      <w:r>
        <w:t xml:space="preserve">4.3 API y base de datos</w:t>
      </w:r>
    </w:p>
    <w:p>
      <w:pPr>
        <w:spacing w:after="130" w:before="0"/>
      </w:pPr>
      <w:r>
        <w:rPr>
          <w:rFonts w:ascii="Arial" w:cs="Arial" w:eastAsia="Arial" w:hAnsi="Arial"/>
          <w:color w:val="3F2F31"/>
          <w:sz w:val="22"/>
          <w:szCs w:val="22"/>
        </w:rPr>
        <w:t xml:space="preserve">Express aplica Helmet, CORS, parseo JSON, Morgan y rate limits. Los controladores usan Prisma contra PostgreSQL. El esquema reúne 34 modelos agrupados en identidad, embarazo, clínica, emergencia, mensajería, catálogos y operación.</w:t>
      </w:r>
    </w:p>
    <w:p>
      <w:pPr>
        <w:pStyle w:val="Heading2"/>
      </w:pPr>
      <w:r>
        <w:t xml:space="preserve">4.4 Operación offline</w:t>
      </w:r>
    </w:p>
    <w:p>
      <w:pPr>
        <w:spacing w:after="180" w:before="120"/>
        <w:jc w:val="center"/>
      </w:pPr>
      <w:r>
        <w:drawing>
          <wp:inline distT="0" distB="0" distL="0" distR="0">
            <wp:extent cx="6191250" cy="3543300"/>
            <wp:effectExtent t="0" r="0" b="0" l="0"/>
            <wp:docPr id="1" name="Flujo offline y sincronización" descr="Flujo offline y sincronización" title="Flujo offline y sincroniz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</w:pPr>
      <w:r>
        <w:rPr>
          <w:rFonts w:ascii="Arial" w:cs="Arial" w:eastAsia="Arial" w:hAnsi="Arial"/>
          <w:color w:val="3F2F31"/>
          <w:sz w:val="22"/>
          <w:szCs w:val="22"/>
        </w:rPr>
        <w:t xml:space="preserve">SyncService.saveOrQueue guarda PENDING local y encola. Al reconectar se realiza push y luego pull. Se debe eliminar la cola tras éxito inmediato, garantizar idempotencia por offline_id y aislar datos por usuaria.</w:t>
      </w:r>
    </w:p>
    <w:p>
      <w:pPr>
        <w:pStyle w:val="Heading1"/>
        <w:pageBreakBefore/>
      </w:pPr>
      <w:r>
        <w:t xml:space="preserve">5. Requisitos funcionales</w:t>
      </w:r>
    </w:p>
    <w:p>
      <w:pPr>
        <w:spacing w:after="130" w:before="0"/>
      </w:pPr>
      <w:r>
        <w:rPr>
          <w:rFonts w:ascii="Arial" w:cs="Arial" w:eastAsia="Arial" w:hAnsi="Arial"/>
          <w:color w:val="3F2F31"/>
          <w:sz w:val="22"/>
          <w:szCs w:val="22"/>
        </w:rPr>
        <w:t xml:space="preserve">Estado: Implementado significa que existe un flujo coherente observable; Parcial indica integración o validación incompleta; No evidenciado significa que solo existe intención, pantalla vacía o modelo de datos.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3300"/>
        <w:gridCol w:w="4100"/>
        <w:gridCol w:w="1260"/>
      </w:tblGrid>
      <w:tr>
        <w:trPr>
          <w:tblHeader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shd w:fill="3F2F31" w:val="clear"/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shd w:fill="3F2F31" w:val="clear"/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Requisito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shd w:fill="3F2F31" w:val="clear"/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Evidencia / aceptación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shd w:fill="3F2F31" w:val="clear"/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RF-01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Permitir elegir y recordar español o quechua.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Selector inicial, cambio desde configuración y persistencia de idioma.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RF-02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Registrar una gestante con DNI, PIN, nombres, edad, FUM y consentimientos.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El flujo crea usuario, perfil, gestante y embarazo; la UI indica 1/4 sin pasos posteriores y el backend no obliga consentimientos.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RF-03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Consultar datos personales mediante un DNI de 8 dígitos.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Se usan dos servicios externos, caché y entrada manual de respaldo.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RF-04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Registrar ubicación y centro de salud de la gestante.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La UI carga ubigeo de Apurímac; parte de la selección queda solo local.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RF-05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Seleccionar una foto de perfil opcional.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Registro con recorte y Base64; la edición posterior no se sincroniza.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RF-06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Iniciar sesión con DNI y PIN y conservar la sesión.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JWT de 30 días, hash bcrypt y almacenamiento local seguro en móvil.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RF-07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Mostrar funciones según rol: gestante, personal de salud o administrador.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Los roles existen; la interfaz de personal y administrador no está implementada.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RF-08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Cambiar el PIN de acceso.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La UI exige cuatro dígitos coincidentes y el backend actualiza el hash.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RF-09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Consultar datos personales y cerrar sesión.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Los datos se muestran; el cierre no limpia completamente token y datos locales.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RF-10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Calcular semanas y trimestre desde la FUM.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Cálculo implementado y usado en resumen, perfil e hitos.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RF-11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Mantener embarazo activo, FUM y fecha probable de parto.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La FPP se calcula como FUM + 280 días; algunos flujos crean embarazo automáticamente.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RF-12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Mostrar saludo, semana, trimestre, consejo y próxima cita en Inicio.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Todos los elementos están presentes.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RF-13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Registrar un control prenatal con fecha, centro, peso y presión arterial.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UI, API y almacenamiento local existen; faltan rangos clínicos e idempotencia robusta.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RF-14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Programar una cita con motivo, fecha, hora y centro.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Creación online/offline; no hay edición, cancelación ni reprogramación.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RF-15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Registrar una vacuna aplicada o programada.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Guarda nombre, estado, fecha y centro; no gestiona esquemas de dosis.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RF-16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Unificar controles, citas y vacunas en un calendario.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Vista implementada con marcas; hay una brecha con fechas de vacunas pendientes.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RF-17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Consultar historial de controles, exámenes y vacunas.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Controles y vacunas visibles; exámenes no están conectados.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RF-18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Visualizar evolución del peso.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Gráfica con controles recientes y filtro de valores.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RF-19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Consultar hitos del embarazo por semana y trimestre.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Línea temporal de semanas 4 a 38.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RF-20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Mostrar seguimiento específico del desarrollo del bebé.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Pantalla oculta y marcada Próximamente.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No evidenciado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RF-21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Responder una autoevaluación secuencial de signos de alarma.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Siete preguntas obligatorias Sí/No.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RF-22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Persistir la autoevaluación y generar alerta ante signos positivos.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El backend existe, pero la pantalla no llama al endpoint.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RF-23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Orientar a centro cercano o llamada en un resultado de riesgo.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Los botones de resultado no tienen acción.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RF-24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Disponer de una pantalla SOS.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Hay llamada y SMS secundarios; el botón SOS central es inerte.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RF-25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Registrar ubicación/evento SOS y crear alerta crítica.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Endpoint disponible, sin integración desde la app.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RF-26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Listar, crear, eliminar y definir contacto principal.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Flujo básico disponible; ownership y operaciones offline están incompletos.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RF-27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Llamar a números nacionales de emergencia.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SAMU 106, Policía 105 y Bomberos 116.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RF-28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Consultar centros cercanos, llamar y abrir indicaciones.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Mapa/lista, llamadas y Google Maps; depende de geolocalización e Internet.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RF-29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Buscar servicios sanitarios por coordenadas y radio.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Endpoint Overpass con cálculo y orden por distancia.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RF-30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Acceder a educación y consejos prenatales.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Videos, categorías y consejo diario bilingüe.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RF-31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Gestionar contenido educativo por semana y utilidad.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Modelos Prisma presentes, sin UI ni API de gestión.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No evidenciado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RF-32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Configurar idioma y tamaño de letra.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Cambio visible; el tamaño no se rehidrata completamente.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RF-33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Configurar consejos diarios y recordatorios.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Interruptores visuales sin persistencia ni programación.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No evidenciado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RF-34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Mostrar estado offline y conservar información esencial.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Aviso y cachés disponibles; varias vistas aún dependen de red.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RF-35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Sincronizar controles, citas, vacunas y contactos al reconectar.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Cola SQLite y reintento automático; falta idempotencia y aislamiento.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RF-36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Permitir al personal consultar gestantes asignadas y detalle.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Rutas backend disponibles; UI ausente y autorización inconsistente.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RF-37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Permitir conversaciones y envío de mensajes.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Modelos y endpoints básicos; sin creación de conversación ni UI.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RF-38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Gestionar alertas hasta atención, descarte o referencia.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Ciclo modelado en Prisma; sin flujo operativo.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No evidenciado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RF-39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Administrar ciclo completo de citas y recordatorios.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Estados modelados; API actual solo crea y lista.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No evidenciado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RF-40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Gestionar controles clínicos completos, exámenes y riesgos.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Esquema amplio; UI/API cubren solo un subconjunto.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No evidenciado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RF-41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Asignar gestantes a personal de salud.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Entidad disponible sin operaciones de administración.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No evidenciado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RF-42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Manejar catálogo, dosis e intervalos de vacunas.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Catálogo en backend; registro usa nombre libre y dosis 1.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RF-43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Proveer catálogos jerárquicos de ubigeo y centros.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Endpoints y semilla de Apurímac.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RF-44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Ofrecer una lista de tareas.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Existe una pantalla vacía sin acceso principal.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No evidenciado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RF-45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Administrar dispositivos, auditoría y conflictos de sync.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Modelos presentes, sin rutas ni lógica.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No evidenciado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RF-46</w:t>
            </w:r>
          </w:p>
        </w:tc>
        <w:tc>
          <w:tcPr>
            <w:tcW w:type="dxa" w:w="33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Aceptar y consultar términos y política de privacidad.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Checks y enlaces externos; validación backend incompleta.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</w:tbl>
    <w:p>
      <w:pPr>
        <w:pStyle w:val="Heading1"/>
        <w:pageBreakBefore/>
      </w:pPr>
      <w:r>
        <w:t xml:space="preserve">6. Requisitos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3200"/>
        <w:gridCol w:w="4100"/>
        <w:gridCol w:w="1260"/>
      </w:tblGrid>
      <w:tr>
        <w:trPr>
          <w:tblHeader/>
        </w:trPr>
        <w:tc>
          <w:tcPr>
            <w:tcW w:type="dxa" w:w="8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shd w:fill="3F2F31" w:val="clear"/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2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shd w:fill="3F2F31" w:val="clear"/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Requisito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shd w:fill="3F2F31" w:val="clear"/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Evidencia / aceptación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shd w:fill="3F2F31" w:val="clear"/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RNF-01</w:t>
            </w:r>
          </w:p>
        </w:tc>
        <w:tc>
          <w:tcPr>
            <w:tcW w:type="dxa" w:w="32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Adecuación al contexto altoandino peruano.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Marca andina, Apurímac, español/quechua; faltan pruebas con usuarias.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RNF-02</w:t>
            </w:r>
          </w:p>
        </w:tc>
        <w:tc>
          <w:tcPr>
            <w:tcW w:type="dxa" w:w="32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Interfaz bilingüe español–quechua.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Catálogos i18n extensos; permanecen textos fijos en español.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RNF-03</w:t>
            </w:r>
          </w:p>
        </w:tc>
        <w:tc>
          <w:tcPr>
            <w:tcW w:type="dxa" w:w="32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Tolerancia a conectividad intermitente.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SQLite, caché, aviso y cola; cobertura incompleta.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RNF-04</w:t>
            </w:r>
          </w:p>
        </w:tc>
        <w:tc>
          <w:tcPr>
            <w:tcW w:type="dxa" w:w="32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Compatibilidad Android, iOS y web en retrato.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Configuración Expo multiplataforma; no se verificaron builds nativos en este informe.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Configurado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RNF-05</w:t>
            </w:r>
          </w:p>
        </w:tc>
        <w:tc>
          <w:tcPr>
            <w:tcW w:type="dxa" w:w="32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Autenticación y autorización para endpoints privados.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JWT existe; roles y ownership presentan brechas.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RNF-06</w:t>
            </w:r>
          </w:p>
        </w:tc>
        <w:tc>
          <w:tcPr>
            <w:tcW w:type="dxa" w:w="32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PIN almacenado de forma no reversible.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bcrypt con factor 10.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RNF-07</w:t>
            </w:r>
          </w:p>
        </w:tc>
        <w:tc>
          <w:tcPr>
            <w:tcW w:type="dxa" w:w="32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Almacenamiento seguro de token y sesión.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SecureStore en móvil, localStorage en web; logout incompleto.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RNF-08</w:t>
            </w:r>
          </w:p>
        </w:tc>
        <w:tc>
          <w:tcPr>
            <w:tcW w:type="dxa" w:w="32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Consentimiento para tratamiento de datos.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UI y modelo disponibles; backend no lo fuerza.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RNF-09</w:t>
            </w:r>
          </w:p>
        </w:tc>
        <w:tc>
          <w:tcPr>
            <w:tcW w:type="dxa" w:w="32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Transporte cifrado HTTPS.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La configuración actual usa HTTP e IP privada.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No evidenciado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RNF-10</w:t>
            </w:r>
          </w:p>
        </w:tc>
        <w:tc>
          <w:tcPr>
            <w:tcW w:type="dxa" w:w="32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Controles básicos contra abuso.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Helmet, CORS, límites generales y de autenticación.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RNF-11</w:t>
            </w:r>
          </w:p>
        </w:tc>
        <w:tc>
          <w:tcPr>
            <w:tcW w:type="dxa" w:w="32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Manejo de indisponibilidad externa.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Timeouts, reintentos y fallback en algunos servicios.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RNF-12</w:t>
            </w:r>
          </w:p>
        </w:tc>
        <w:tc>
          <w:tcPr>
            <w:tcW w:type="dxa" w:w="32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Eficiencia en consultas frecuentes.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Índices, cachés y repositorios; caché RENIEC sin TTL.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RNF-13</w:t>
            </w:r>
          </w:p>
        </w:tc>
        <w:tc>
          <w:tcPr>
            <w:tcW w:type="dxa" w:w="32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Integridad y prevención de duplicados.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Transacciones y claves únicas; sync no idempotente.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RNF-14</w:t>
            </w:r>
          </w:p>
        </w:tc>
        <w:tc>
          <w:tcPr>
            <w:tcW w:type="dxa" w:w="32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Accesibilidad de tamaño de texto.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Escalas disponibles; persistencia y cobertura incompletas.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RNF-15</w:t>
            </w:r>
          </w:p>
        </w:tc>
        <w:tc>
          <w:tcPr>
            <w:tcW w:type="dxa" w:w="32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Arquitectura modular y tipado.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TypeScript y capas separadas; duplicación de auth.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RNF-16</w:t>
            </w:r>
          </w:p>
        </w:tc>
        <w:tc>
          <w:tcPr>
            <w:tcW w:type="dxa" w:w="32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Errores y monitoreo consistentes.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404/global y Morgan; health check no valida BD.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RNF-17</w:t>
            </w:r>
          </w:p>
        </w:tc>
        <w:tc>
          <w:tcPr>
            <w:tcW w:type="dxa" w:w="32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Configuración externa y despliegue cloud.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Variables y Supabase previstos; backend actual depende de red local.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RNF-18</w:t>
            </w:r>
          </w:p>
        </w:tc>
        <w:tc>
          <w:tcPr>
            <w:tcW w:type="dxa" w:w="32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Límite y compresión de imágenes.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Compresión cliente; límite declarado no aplicado por completo.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RNF-19</w:t>
            </w:r>
          </w:p>
        </w:tc>
        <w:tc>
          <w:tcPr>
            <w:tcW w:type="dxa" w:w="32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Navegación y feedback comprensibles.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Toasts, cargas y confirmaciones; existen botones sin acción.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RNF-20</w:t>
            </w:r>
          </w:p>
        </w:tc>
        <w:tc>
          <w:tcPr>
            <w:tcW w:type="dxa" w:w="32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Pruebas automatizadas para funciones críticas.</w:t>
            </w:r>
          </w:p>
        </w:tc>
        <w:tc>
          <w:tcPr>
            <w:tcW w:type="dxa" w:w="4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6"/>
                <w:szCs w:val="16"/>
              </w:rPr>
              <w:t xml:space="preserve">No se encontraron pruebas unitarias, integración o E2E.</w:t>
            </w:r>
          </w:p>
        </w:tc>
        <w:tc>
          <w:tcPr>
            <w:tcW w:type="dxa" w:w="1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6"/>
                <w:szCs w:val="16"/>
              </w:rPr>
              <w:t xml:space="preserve">No evidenciado</w:t>
            </w:r>
          </w:p>
        </w:tc>
      </w:tr>
    </w:tbl>
    <w:p>
      <w:pPr>
        <w:pStyle w:val="Heading1"/>
      </w:pPr>
      <w:r>
        <w:t xml:space="preserve">7. Reglas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shd w:fill="3F2F31" w:val="clear"/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shd w:fill="3F2F31" w:val="clear"/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RN-01</w:t>
            </w:r>
          </w:p>
        </w:tc>
        <w:tc>
          <w:tcPr>
            <w:tcW w:type="dxa" w:w="8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El DNI del perfil debe ser único.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RN-02</w:t>
            </w:r>
          </w:p>
        </w:tc>
        <w:tc>
          <w:tcPr>
            <w:tcW w:type="dxa" w:w="8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La FPP se calcula como FUM + 280 días.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RN-03</w:t>
            </w:r>
          </w:p>
        </w:tc>
        <w:tc>
          <w:tcPr>
            <w:tcW w:type="dxa" w:w="8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Solo un embarazo ACTIVO se usa para el seguimiento actual.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RN-04</w:t>
            </w:r>
          </w:p>
        </w:tc>
        <w:tc>
          <w:tcPr>
            <w:tcW w:type="dxa" w:w="8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Registrar un control crea una cita realizada asociada.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RN-05</w:t>
            </w:r>
          </w:p>
        </w:tc>
        <w:tc>
          <w:tcPr>
            <w:tcW w:type="dxa" w:w="8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La próxima cita excluye las canceladas.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RN-06</w:t>
            </w:r>
          </w:p>
        </w:tc>
        <w:tc>
          <w:tcPr>
            <w:tcW w:type="dxa" w:w="8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Cualquier respuesta positiva en autoevaluación representa signo de alarma.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RN-07</w:t>
            </w:r>
          </w:p>
        </w:tc>
        <w:tc>
          <w:tcPr>
            <w:tcW w:type="dxa" w:w="8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El primer contacto activo se convierte en principal.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RN-08</w:t>
            </w:r>
          </w:p>
        </w:tc>
        <w:tc>
          <w:tcPr>
            <w:tcW w:type="dxa" w:w="8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Seleccionar un nuevo contacto principal desmarca a los demás.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RN-09</w:t>
            </w:r>
          </w:p>
        </w:tc>
        <w:tc>
          <w:tcPr>
            <w:tcW w:type="dxa" w:w="8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La eliminación de contactos es lógica.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RN-10</w:t>
            </w:r>
          </w:p>
        </w:tc>
        <w:tc>
          <w:tcPr>
            <w:tcW w:type="dxa" w:w="8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Los registros offline nacen con estado PENDING.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RN-11</w:t>
            </w:r>
          </w:p>
        </w:tc>
        <w:tc>
          <w:tcPr>
            <w:tcW w:type="dxa" w:w="8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Al recuperar conectividad se envía la cola y luego se descargan datos.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RN-12</w:t>
            </w:r>
          </w:p>
        </w:tc>
        <w:tc>
          <w:tcPr>
            <w:tcW w:type="dxa" w:w="82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Los niveles de alerta son informativa, preventiva, urgente y crítica.</w:t>
            </w:r>
          </w:p>
        </w:tc>
      </w:tr>
    </w:tbl>
    <w:p>
      <w:pPr>
        <w:pStyle w:val="Heading1"/>
      </w:pPr>
      <w:r>
        <w:t xml:space="preserve">8. API disponible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450"/>
        <w:gridCol w:w="4850"/>
        <w:gridCol w:w="2060"/>
      </w:tblGrid>
      <w:tr>
        <w:trPr>
          <w:tblHeader/>
        </w:trPr>
        <w:tc>
          <w:tcPr>
            <w:tcW w:type="dxa" w:w="24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shd w:fill="3F2F31" w:val="clear"/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48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shd w:fill="3F2F31" w:val="clear"/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20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shd w:fill="3F2F31" w:val="clear"/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Protección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/api/auth</w:t>
            </w:r>
          </w:p>
        </w:tc>
        <w:tc>
          <w:tcPr>
            <w:tcW w:type="dxa" w:w="48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Registro, login y cambio de PIN</w:t>
            </w:r>
          </w:p>
        </w:tc>
        <w:tc>
          <w:tcPr>
            <w:tcW w:type="dxa" w:w="20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Mixto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/api/gestantes</w:t>
            </w:r>
          </w:p>
        </w:tc>
        <w:tc>
          <w:tcPr>
            <w:tcW w:type="dxa" w:w="48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Perfil propio, asignadas y detalle</w:t>
            </w:r>
          </w:p>
        </w:tc>
        <w:tc>
          <w:tcPr>
            <w:tcW w:type="dxa" w:w="20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JWT + roles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/api/controles</w:t>
            </w:r>
          </w:p>
        </w:tc>
        <w:tc>
          <w:tcPr>
            <w:tcW w:type="dxa" w:w="48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Listar y crear controles</w:t>
            </w:r>
          </w:p>
        </w:tc>
        <w:tc>
          <w:tcPr>
            <w:tcW w:type="dxa" w:w="20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/api/citas</w:t>
            </w:r>
          </w:p>
        </w:tc>
        <w:tc>
          <w:tcPr>
            <w:tcW w:type="dxa" w:w="48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Listar, próxima cita y crear</w:t>
            </w:r>
          </w:p>
        </w:tc>
        <w:tc>
          <w:tcPr>
            <w:tcW w:type="dxa" w:w="20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/api/vacunas</w:t>
            </w:r>
          </w:p>
        </w:tc>
        <w:tc>
          <w:tcPr>
            <w:tcW w:type="dxa" w:w="48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Catálogo y vacunas de gestante</w:t>
            </w:r>
          </w:p>
        </w:tc>
        <w:tc>
          <w:tcPr>
            <w:tcW w:type="dxa" w:w="20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/api/contactos</w:t>
            </w:r>
          </w:p>
        </w:tc>
        <w:tc>
          <w:tcPr>
            <w:tcW w:type="dxa" w:w="48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Listar, crear, eliminar y principal</w:t>
            </w:r>
          </w:p>
        </w:tc>
        <w:tc>
          <w:tcPr>
            <w:tcW w:type="dxa" w:w="20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/api/autoevaluacion</w:t>
            </w:r>
          </w:p>
        </w:tc>
        <w:tc>
          <w:tcPr>
            <w:tcW w:type="dxa" w:w="48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Registrar evaluación y alerta</w:t>
            </w:r>
          </w:p>
        </w:tc>
        <w:tc>
          <w:tcPr>
            <w:tcW w:type="dxa" w:w="20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/api/sos</w:t>
            </w:r>
          </w:p>
        </w:tc>
        <w:tc>
          <w:tcPr>
            <w:tcW w:type="dxa" w:w="48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Registrar SOS y alerta crítica</w:t>
            </w:r>
          </w:p>
        </w:tc>
        <w:tc>
          <w:tcPr>
            <w:tcW w:type="dxa" w:w="20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/api/conversaciones</w:t>
            </w:r>
          </w:p>
        </w:tc>
        <w:tc>
          <w:tcPr>
            <w:tcW w:type="dxa" w:w="48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Listar y enviar mensajes</w:t>
            </w:r>
          </w:p>
        </w:tc>
        <w:tc>
          <w:tcPr>
            <w:tcW w:type="dxa" w:w="20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JWT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/api/ubigeo</w:t>
            </w:r>
          </w:p>
        </w:tc>
        <w:tc>
          <w:tcPr>
            <w:tcW w:type="dxa" w:w="48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Departamentos, provincias, distritos y centros</w:t>
            </w:r>
          </w:p>
        </w:tc>
        <w:tc>
          <w:tcPr>
            <w:tcW w:type="dxa" w:w="20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Público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/api/reniec</w:t>
            </w:r>
          </w:p>
        </w:tc>
        <w:tc>
          <w:tcPr>
            <w:tcW w:type="dxa" w:w="48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Consulta de DNI</w:t>
            </w:r>
          </w:p>
        </w:tc>
        <w:tc>
          <w:tcPr>
            <w:tcW w:type="dxa" w:w="20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Público</w:t>
            </w:r>
          </w:p>
        </w:tc>
      </w:tr>
      <w:tr>
        <w:trPr>
          <w:cantSplit/>
        </w:trPr>
        <w:tc>
          <w:tcPr>
            <w:tcW w:type="dxa" w:w="24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/api/nearby-health-centers</w:t>
            </w:r>
          </w:p>
        </w:tc>
        <w:tc>
          <w:tcPr>
            <w:tcW w:type="dxa" w:w="48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Centros cercanos mediante Overpass</w:t>
            </w:r>
          </w:p>
        </w:tc>
        <w:tc>
          <w:tcPr>
            <w:tcW w:type="dxa" w:w="20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Público</w:t>
            </w:r>
          </w:p>
        </w:tc>
      </w:tr>
    </w:tbl>
    <w:p>
      <w:pPr>
        <w:pStyle w:val="Heading1"/>
        <w:pageBreakBefore/>
      </w:pPr>
      <w:r>
        <w:t xml:space="preserve">9. IHC, identidad y accesibilidad</w:t>
      </w:r>
    </w:p>
    <w:p>
      <w:pPr>
        <w:spacing w:after="180" w:before="120"/>
        <w:jc w:val="center"/>
      </w:pPr>
      <w:r>
        <w:drawing>
          <wp:inline distT="0" distB="0" distL="0" distR="0">
            <wp:extent cx="6191250" cy="3543300"/>
            <wp:effectExtent t="0" r="0" b="0" l="0"/>
            <wp:docPr id="1" name="Paleta visual e IHC" descr="Paleta visual e IHC" title="Paleta visual e IH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</w:pPr>
      <w:r>
        <w:rPr>
          <w:rFonts w:ascii="Arial" w:cs="Arial" w:eastAsia="Arial" w:hAnsi="Arial"/>
          <w:color w:val="3F2F31"/>
          <w:sz w:val="22"/>
          <w:szCs w:val="22"/>
        </w:rPr>
        <w:t xml:space="preserve">La interfaz usa una identidad maternal y andina mediante ilustraciones, rosados cálidos, fondos crema, tarjetas redondeadas e iconos familiares. La navegación principal incluye Inicio, Calendario, SOS, Historial y Perfil.</w:t>
      </w:r>
    </w:p>
    <w:p>
      <w:pPr>
        <w:pStyle w:val="Heading2"/>
      </w:pPr>
      <w:r>
        <w:t xml:space="preserve">9.1 Principios observados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Contextualización cultural andina.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Diseño mobile-first en orientación vertical.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Bilingüismo español/Runasimi, todavía incompleto.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Feedback visual para carga, error, éxito y desconexión.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Acciones principales grandes y tarjetas redondeadas.</w:t>
      </w:r>
    </w:p>
    <w:p>
      <w:pPr>
        <w:pStyle w:val="Heading2"/>
      </w:pPr>
      <w:r>
        <w:t xml:space="preserve">9.2 Brechas de accesibilidad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Contraste AA incompleto.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Faltan labels y descripciones para lectores de pantalla.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Inputs dependen demasiado de placeholders.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Modales sin gestión explícita de foco.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Tamaño de texto no se restaura completamente.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Animaciones sin movimiento reducido.</w:t>
      </w:r>
    </w:p>
    <w:p>
      <w:pPr>
        <w:pStyle w:val="Heading1"/>
        <w:pageBreakBefore/>
      </w:pPr>
      <w:r>
        <w:t xml:space="preserve">10. Capturas reales</w:t>
      </w:r>
    </w:p>
    <w:p>
      <w:pPr>
        <w:spacing w:after="130" w:before="0"/>
      </w:pPr>
      <w:r>
        <w:rPr>
          <w:rFonts w:ascii="Arial" w:cs="Arial" w:eastAsia="Arial" w:hAnsi="Arial"/>
          <w:color w:val="3F2F31"/>
          <w:sz w:val="22"/>
          <w:szCs w:val="22"/>
        </w:rPr>
        <w:t xml:space="preserve">Capturas generadas desde la exportación web del código analizado. El registro muestra la degradación cuando el backend local no está disponible.</w:t>
      </w:r>
    </w:p>
    <w:p>
      <w:pPr>
        <w:spacing w:after="180" w:before="120"/>
        <w:jc w:val="center"/>
      </w:pPr>
      <w:r>
        <w:drawing>
          <wp:inline distT="0" distB="0" distL="0" distR="0">
            <wp:extent cx="2286000" cy="4953000"/>
            <wp:effectExtent t="0" r="0" b="0" l="0"/>
            <wp:docPr id="1" name="Pantalla de bienvenida" descr="Pantalla de bienvenida" title="Pantalla de bienven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  <w:jc w:val="center"/>
      </w:pPr>
      <w:r>
        <w:rPr>
          <w:rFonts w:ascii="Arial" w:cs="Arial" w:eastAsia="Arial" w:hAnsi="Arial"/>
          <w:i/>
          <w:iCs/>
          <w:color w:val="7D6A6D"/>
          <w:sz w:val="18"/>
          <w:szCs w:val="18"/>
        </w:rPr>
        <w:t xml:space="preserve">Figura 1. Bienvenida y selección de idioma.</w:t>
      </w:r>
    </w:p>
    <w:p>
      <w:pPr>
        <w:spacing w:after="180" w:before="120"/>
        <w:jc w:val="center"/>
      </w:pPr>
      <w:r>
        <w:drawing>
          <wp:inline distT="0" distB="0" distL="0" distR="0">
            <wp:extent cx="2286000" cy="4953000"/>
            <wp:effectExtent t="0" r="0" b="0" l="0"/>
            <wp:docPr id="1" name="Pantalla de login" descr="Pantalla de login" title="Pantalla d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  <w:jc w:val="center"/>
      </w:pPr>
      <w:r>
        <w:rPr>
          <w:rFonts w:ascii="Arial" w:cs="Arial" w:eastAsia="Arial" w:hAnsi="Arial"/>
          <w:i/>
          <w:iCs/>
          <w:color w:val="7D6A6D"/>
          <w:sz w:val="18"/>
          <w:szCs w:val="18"/>
        </w:rPr>
        <w:t xml:space="preserve">Figura 2. Inicio de sesión con identidad visual WIKSAYUQ.</w:t>
      </w:r>
    </w:p>
    <w:p>
      <w:pPr>
        <w:spacing w:after="180" w:before="120"/>
        <w:jc w:val="center"/>
      </w:pPr>
      <w:r>
        <w:drawing>
          <wp:inline distT="0" distB="0" distL="0" distR="0">
            <wp:extent cx="2286000" cy="4953000"/>
            <wp:effectExtent t="0" r="0" b="0" l="0"/>
            <wp:docPr id="1" name="Pantalla de registro" descr="Pantalla de registro" title="Pantalla de regis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  <w:jc w:val="center"/>
      </w:pPr>
      <w:r>
        <w:rPr>
          <w:rFonts w:ascii="Arial" w:cs="Arial" w:eastAsia="Arial" w:hAnsi="Arial"/>
          <w:i/>
          <w:iCs/>
          <w:color w:val="7D6A6D"/>
          <w:sz w:val="18"/>
          <w:szCs w:val="18"/>
        </w:rPr>
        <w:t xml:space="preserve">Figura 3. Registro; evidencia de manejo de error cuando no responde el backend local.</w:t>
      </w:r>
    </w:p>
    <w:p>
      <w:pPr>
        <w:pStyle w:val="Heading1"/>
        <w:pageBreakBefore/>
      </w:pPr>
      <w:r>
        <w:t xml:space="preserve">11. Wireframes propuestos</w:t>
      </w:r>
    </w:p>
    <w:p>
      <w:pPr>
        <w:spacing w:after="130" w:before="0"/>
      </w:pPr>
      <w:r>
        <w:rPr>
          <w:rFonts w:ascii="Arial" w:cs="Arial" w:eastAsia="Arial" w:hAnsi="Arial"/>
          <w:color w:val="3F2F31"/>
          <w:sz w:val="22"/>
          <w:szCs w:val="22"/>
        </w:rPr>
        <w:t xml:space="preserve">Los wireframes siguientes constituyen requisitos visuales para futuras implementaciones. No representan funcionalidad ya terminada.</w:t>
      </w:r>
    </w:p>
    <w:p>
      <w:pPr>
        <w:spacing w:after="180" w:before="120"/>
        <w:jc w:val="center"/>
      </w:pPr>
      <w:r>
        <w:drawing>
          <wp:inline distT="0" distB="0" distL="0" distR="0">
            <wp:extent cx="6143625" cy="4095750"/>
            <wp:effectExtent t="0" r="0" b="0" l="0"/>
            <wp:docPr id="1" name="Wireframes de gestante" descr="Wireframes de gestante" title="Wireframes de gest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  <w:jc w:val="center"/>
      </w:pPr>
      <w:r>
        <w:rPr>
          <w:rFonts w:ascii="Arial" w:cs="Arial" w:eastAsia="Arial" w:hAnsi="Arial"/>
          <w:i/>
          <w:iCs/>
          <w:color w:val="7D6A6D"/>
          <w:sz w:val="18"/>
          <w:szCs w:val="18"/>
        </w:rPr>
        <w:t xml:space="preserve">Figura 4. Inicio, autoevaluación y SOS seguro para la gestante.</w:t>
      </w:r>
    </w:p>
    <w:p>
      <w:pPr>
        <w:spacing w:after="180" w:before="120"/>
        <w:jc w:val="center"/>
      </w:pPr>
      <w:r>
        <w:drawing>
          <wp:inline distT="0" distB="0" distL="0" distR="0">
            <wp:extent cx="6143625" cy="4095750"/>
            <wp:effectExtent t="0" r="0" b="0" l="0"/>
            <wp:docPr id="1" name="Wireframes de personal de salud" descr="Wireframes de personal de salud" title="Wireframes de personal de sal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0"/>
        <w:jc w:val="center"/>
      </w:pPr>
      <w:r>
        <w:rPr>
          <w:rFonts w:ascii="Arial" w:cs="Arial" w:eastAsia="Arial" w:hAnsi="Arial"/>
          <w:i/>
          <w:iCs/>
          <w:color w:val="7D6A6D"/>
          <w:sz w:val="18"/>
          <w:szCs w:val="18"/>
        </w:rPr>
        <w:t xml:space="preserve">Figura 5. Propuesta futura de dashboard, lista de gestantes y gestión de alertas.</w:t>
      </w:r>
    </w:p>
    <w:p>
      <w:pPr>
        <w:pStyle w:val="Heading1"/>
        <w:pageBreakBefore/>
      </w:pPr>
      <w:r>
        <w:t xml:space="preserve">12. Qué funciona y qué falta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shd w:fill="3F2F31" w:val="clear"/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46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shd w:fill="3F2F31" w:val="clear"/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Infraestructura monorepo</w:t>
            </w:r>
          </w:p>
        </w:tc>
        <w:tc>
          <w:tcPr>
            <w:tcW w:type="dxa" w:w="46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Implementada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Backend REST básico</w:t>
            </w:r>
          </w:p>
        </w:tc>
        <w:tc>
          <w:tcPr>
            <w:tcW w:type="dxa" w:w="46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PostgreSQL/Prisma</w:t>
            </w:r>
          </w:p>
        </w:tc>
        <w:tc>
          <w:tcPr>
            <w:tcW w:type="dxa" w:w="46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Esquema amplio, persistencia parcial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Autenticación DNI/PIN</w:t>
            </w:r>
          </w:p>
        </w:tc>
        <w:tc>
          <w:tcPr>
            <w:tcW w:type="dxa" w:w="46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Funcional con seguridad incompleta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Aplicación de gestante</w:t>
            </w:r>
          </w:p>
        </w:tc>
        <w:tc>
          <w:tcPr>
            <w:tcW w:type="dxa" w:w="46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8"/>
                <w:szCs w:val="18"/>
              </w:rPr>
              <w:t xml:space="preserve">MVP funcional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Aplicación de personal de salud</w:t>
            </w:r>
          </w:p>
        </w:tc>
        <w:tc>
          <w:tcPr>
            <w:tcW w:type="dxa" w:w="46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No implementada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Controles, citas y vacunas</w:t>
            </w:r>
          </w:p>
        </w:tc>
        <w:tc>
          <w:tcPr>
            <w:tcW w:type="dxa" w:w="46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8"/>
                <w:szCs w:val="18"/>
              </w:rPr>
              <w:t xml:space="preserve">Parcial con soporte offline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SOS y autoevaluación</w:t>
            </w:r>
          </w:p>
        </w:tc>
        <w:tc>
          <w:tcPr>
            <w:tcW w:type="dxa" w:w="46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Interfaz parcial, integración crítica pendiente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Mensajería y alertas</w:t>
            </w:r>
          </w:p>
        </w:tc>
        <w:tc>
          <w:tcPr>
            <w:tcW w:type="dxa" w:w="46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Backend/esquema parcial, sin UI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Pruebas automatizadas</w:t>
            </w:r>
          </w:p>
        </w:tc>
        <w:tc>
          <w:tcPr>
            <w:tcW w:type="dxa" w:w="46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8"/>
                <w:szCs w:val="18"/>
              </w:rPr>
              <w:t xml:space="preserve">Ausentes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Producción pública</w:t>
            </w:r>
          </w:p>
        </w:tc>
        <w:tc>
          <w:tcPr>
            <w:tcW w:type="dxa" w:w="46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3F2F31"/>
                <w:sz w:val="18"/>
                <w:szCs w:val="18"/>
              </w:rPr>
              <w:t xml:space="preserve">No lista</w:t>
            </w:r>
          </w:p>
        </w:tc>
      </w:tr>
    </w:tbl>
    <w:p>
      <w:pPr>
        <w:pStyle w:val="Heading1"/>
      </w:pPr>
      <w:r>
        <w:t xml:space="preserve">13. Requisitos de ejecución</w:t>
      </w:r>
    </w:p>
    <w:p>
      <w:pPr>
        <w:pStyle w:val="Heading2"/>
      </w:pPr>
      <w:r>
        <w:t xml:space="preserve">13.1 Software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Node.js 20.x, npm y dependencias de ambos workspaces.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Expo Go o emulador Android/iOS.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PostgreSQL/Supabase accesible.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PC y móvil en la misma red WiFi para la arquitectura local actual.</w:t>
      </w:r>
    </w:p>
    <w:p>
      <w:pPr>
        <w:pStyle w:val="Heading2"/>
      </w:pPr>
      <w:r>
        <w:t xml:space="preserve">13.2 Configuración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Backend: DATABASE_URL, DIRECT_URL, JWT_ACCESS_SECRET, CORS y claves opcionales.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Frontend: EXPO_PUBLIC_API_URL=http://IP_DEL_PC:3000/api.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Desarrollo: npm run dev --workspace=backend y npm run start --workspace=frontend.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APK interno: npx eas build --profile preview --platform android.</w:t>
      </w:r>
    </w:p>
    <w:p>
      <w:pPr>
        <w:pStyle w:val="Heading1"/>
      </w:pPr>
      <w:r>
        <w:t xml:space="preserve">14. Hoja de ruta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100"/>
        <w:gridCol w:w="2500"/>
        <w:gridCol w:w="5760"/>
      </w:tblGrid>
      <w:tr>
        <w:trPr>
          <w:tblHeader/>
        </w:trPr>
        <w:tc>
          <w:tcPr>
            <w:tcW w:type="dxa" w:w="1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shd w:fill="3F2F31" w:val="clear"/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25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shd w:fill="3F2F31" w:val="clear"/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Frente</w:t>
            </w:r>
          </w:p>
        </w:tc>
        <w:tc>
          <w:tcPr>
            <w:tcW w:type="dxa" w:w="57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shd w:fill="3F2F31" w:val="clear"/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Seguridad y funciones críticas</w:t>
            </w:r>
          </w:p>
        </w:tc>
        <w:tc>
          <w:tcPr>
            <w:tcW w:type="dxa" w:w="57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Corregir autorización role/rol, ownership, registro de roles, HTTPS, botón SOS y CTA de riesgo.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Sincronización confiable</w:t>
            </w:r>
          </w:p>
        </w:tc>
        <w:tc>
          <w:tcPr>
            <w:tcW w:type="dxa" w:w="57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Eliminar cola tras éxito inmediato, usar offline_id idempotente y aislar datos por usuaria.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Personal de salud</w:t>
            </w:r>
          </w:p>
        </w:tc>
        <w:tc>
          <w:tcPr>
            <w:tcW w:type="dxa" w:w="57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Dashboard, gestantes asignadas, alertas, ficha prenatal y registro de atención.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Calidad clínica</w:t>
            </w:r>
          </w:p>
        </w:tc>
        <w:tc>
          <w:tcPr>
            <w:tcW w:type="dxa" w:w="57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Validaciones de rangos, exámenes, factores de riesgo, referencias y revisión de contenido.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Accesibilidad e idioma</w:t>
            </w:r>
          </w:p>
        </w:tc>
        <w:tc>
          <w:tcPr>
            <w:tcW w:type="dxa" w:w="57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WCAG AA, etiquetas, foco, tamaño persistente y traducción integral a Runasimi.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Operación y producto</w:t>
            </w:r>
          </w:p>
        </w:tc>
        <w:tc>
          <w:tcPr>
            <w:tcW w:type="dxa" w:w="576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Notificaciones, administración, auditoría, pruebas E2E, observabilidad y despliegue público.</w:t>
            </w:r>
          </w:p>
        </w:tc>
      </w:tr>
    </w:tbl>
    <w:p>
      <w:pPr>
        <w:pStyle w:val="Heading1"/>
      </w:pPr>
      <w:r>
        <w:t xml:space="preserve">15. Validación y limitaciones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Exportación web Expo completada correctamente.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TypeScript frontend y backend sin errores durante el levantamiento.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No existen pruebas automatizadas; Vitest no encuentra archivos.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Las capturas públicas fueron generadas a 2x.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F2F31"/>
          <w:sz w:val="21"/>
          <w:szCs w:val="21"/>
        </w:rPr>
        <w:t xml:space="preserve">La revisión es estática y no certifica seguridad ni validez clínica.</w:t>
      </w:r>
    </w:p>
    <w:p>
      <w:pPr>
        <w:pStyle w:val="Heading1"/>
      </w:pPr>
      <w:r>
        <w:t xml:space="preserve">16. Archivos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shd w:fill="3F2F31" w:val="clear"/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571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shd w:fill="3F2F31" w:val="clear"/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36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README.md</w:t>
            </w:r>
          </w:p>
        </w:tc>
        <w:tc>
          <w:tcPr>
            <w:tcW w:type="dxa" w:w="571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Arquitectura local, instalación y red WiFi.</w:t>
            </w:r>
          </w:p>
        </w:tc>
      </w:tr>
      <w:tr>
        <w:trPr>
          <w:cantSplit/>
        </w:trPr>
        <w:tc>
          <w:tcPr>
            <w:tcW w:type="dxa" w:w="36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frontend/app/_layout.tsx</w:t>
            </w:r>
          </w:p>
        </w:tc>
        <w:tc>
          <w:tcPr>
            <w:tcW w:type="dxa" w:w="571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Inicialización SQLite, sincronización y listener de conectividad.</w:t>
            </w:r>
          </w:p>
        </w:tc>
      </w:tr>
      <w:tr>
        <w:trPr>
          <w:cantSplit/>
        </w:trPr>
        <w:tc>
          <w:tcPr>
            <w:tcW w:type="dxa" w:w="36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frontend/app/index.tsx</w:t>
            </w:r>
          </w:p>
        </w:tc>
        <w:tc>
          <w:tcPr>
            <w:tcW w:type="dxa" w:w="571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Decisión de idioma, sesión y rol.</w:t>
            </w:r>
          </w:p>
        </w:tc>
      </w:tr>
      <w:tr>
        <w:trPr>
          <w:cantSplit/>
        </w:trPr>
        <w:tc>
          <w:tcPr>
            <w:tcW w:type="dxa" w:w="36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frontend/src/database/index.ts</w:t>
            </w:r>
          </w:p>
        </w:tc>
        <w:tc>
          <w:tcPr>
            <w:tcW w:type="dxa" w:w="571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Base SQLite y caché local.</w:t>
            </w:r>
          </w:p>
        </w:tc>
      </w:tr>
      <w:tr>
        <w:trPr>
          <w:cantSplit/>
        </w:trPr>
        <w:tc>
          <w:tcPr>
            <w:tcW w:type="dxa" w:w="36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frontend/src/database/storage.ts</w:t>
            </w:r>
          </w:p>
        </w:tc>
        <w:tc>
          <w:tcPr>
            <w:tcW w:type="dxa" w:w="571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Repositorio base para persistencia local.</w:t>
            </w:r>
          </w:p>
        </w:tc>
      </w:tr>
      <w:tr>
        <w:trPr>
          <w:cantSplit/>
        </w:trPr>
        <w:tc>
          <w:tcPr>
            <w:tcW w:type="dxa" w:w="36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frontend/src/services/sync/sync.service.ts</w:t>
            </w:r>
          </w:p>
        </w:tc>
        <w:tc>
          <w:tcPr>
            <w:tcW w:type="dxa" w:w="571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Push/pull de cambios offline.</w:t>
            </w:r>
          </w:p>
        </w:tc>
      </w:tr>
      <w:tr>
        <w:trPr>
          <w:cantSplit/>
        </w:trPr>
        <w:tc>
          <w:tcPr>
            <w:tcW w:type="dxa" w:w="36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backend/src/app.ts</w:t>
            </w:r>
          </w:p>
        </w:tc>
        <w:tc>
          <w:tcPr>
            <w:tcW w:type="dxa" w:w="571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Middlewares y montaje de rutas REST.</w:t>
            </w:r>
          </w:p>
        </w:tc>
      </w:tr>
      <w:tr>
        <w:trPr>
          <w:cantSplit/>
        </w:trPr>
        <w:tc>
          <w:tcPr>
            <w:tcW w:type="dxa" w:w="36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backend/prisma/schema.prisma</w:t>
            </w:r>
          </w:p>
        </w:tc>
        <w:tc>
          <w:tcPr>
            <w:tcW w:type="dxa" w:w="571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Modelo de datos central.</w:t>
            </w:r>
          </w:p>
        </w:tc>
      </w:tr>
      <w:tr>
        <w:trPr>
          <w:cantSplit/>
        </w:trPr>
        <w:tc>
          <w:tcPr>
            <w:tcW w:type="dxa" w:w="36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backend/src/controllers/*.ts</w:t>
            </w:r>
          </w:p>
        </w:tc>
        <w:tc>
          <w:tcPr>
            <w:tcW w:type="dxa" w:w="571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Reglas de cada caso de uso.</w:t>
            </w:r>
          </w:p>
        </w:tc>
      </w:tr>
      <w:tr>
        <w:trPr>
          <w:cantSplit/>
        </w:trPr>
        <w:tc>
          <w:tcPr>
            <w:tcW w:type="dxa" w:w="365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frontend/src/theme/*.ts</w:t>
            </w:r>
          </w:p>
        </w:tc>
        <w:tc>
          <w:tcPr>
            <w:tcW w:type="dxa" w:w="5710"/>
            <w:tcBorders>
              <w:top w:val="single" w:color="E1A5AA" w:sz="1"/>
              <w:left w:val="single" w:color="E1A5AA" w:sz="1"/>
              <w:bottom w:val="single" w:color="E1A5AA" w:sz="1"/>
              <w:right w:val="single" w:color="E1A5AA" w:sz="1"/>
            </w:tcBorders>
            <w:vAlign w:val="center"/>
          </w:tcPr>
          <w:p>
            <w:pPr>
              <w:spacing w:after="45" w:before="45"/>
            </w:pPr>
            <w:r>
              <w:rPr>
                <w:rFonts w:ascii="Arial" w:cs="Arial" w:eastAsia="Arial" w:hAnsi="Arial"/>
                <w:b w:val="false"/>
                <w:bCs w:val="false"/>
                <w:color w:val="3F2F31"/>
                <w:sz w:val="18"/>
                <w:szCs w:val="18"/>
              </w:rPr>
              <w:t xml:space="preserve">Colores, tipografía y espaciado.</w:t>
            </w:r>
          </w:p>
        </w:tc>
      </w:tr>
    </w:tbl>
    <w:p>
      <w:pPr>
        <w:pStyle w:val="Heading1"/>
      </w:pPr>
      <w:r>
        <w:t xml:space="preserve">17. Conclusión</w:t>
      </w:r>
    </w:p>
    <w:p>
      <w:pPr>
        <w:spacing w:after="130" w:before="0"/>
      </w:pPr>
      <w:r>
        <w:rPr>
          <w:rFonts w:ascii="Arial" w:cs="Arial" w:eastAsia="Arial" w:hAnsi="Arial"/>
          <w:color w:val="3F2F31"/>
          <w:sz w:val="22"/>
          <w:szCs w:val="22"/>
        </w:rPr>
        <w:t xml:space="preserve">WIKSAYUQ posee una base sólida para demostración y validación con gestantes: identidad cultural diferenciada, seguimiento prenatal básico y estrategia offline. Para convertirse en un sistema clínico confiable debe cerrar primero seguridad, funciones de emergencia, sincronización, personal de salud y pruebas. Este documento debe mantenerse como línea base: todo requisito nuevo deberá incluir responsable, prioridad, criterio de aceptación y evidencia de prueba.</w:t>
      </w:r>
    </w:p>
    <w:sectPr>
      <w:headerReference w:type="default" r:id="rId7"/>
      <w:footerReference w:type="default" r:id="rId8"/>
      <w:pgSz w:w="11906" w:h="16838" w:orient="portrait"/>
      <w:pgMar w:top="950" w:right="900" w:bottom="950" w:left="90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D6A6D"/>
        <w:sz w:val="17"/>
        <w:szCs w:val="17"/>
      </w:rPr>
      <w:t xml:space="preserve">Página </w:t>
    </w:r>
    <w:r>
      <w:rPr>
        <w:color w:val="7D6A6D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7D6A6D"/>
        <w:sz w:val="17"/>
        <w:szCs w:val="17"/>
      </w:rPr>
      <w:t xml:space="preserve"> de </w:t>
    </w:r>
    <w:r>
      <w:rPr>
        <w:color w:val="7D6A6D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D6A6D"/>
        <w:sz w:val="17"/>
        <w:szCs w:val="17"/>
      </w:rPr>
      <w:t xml:space="preserve">WIKSAYUQ · Informe integral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F2F31"/>
        <w:sz w:val="22"/>
        <w:szCs w:val="22"/>
      </w:rPr>
    </w:rPrDefault>
    <w:pPrDefault>
      <w:pPr>
        <w:spacing w:after="1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80" w:before="180"/>
      <w:jc w:val="center"/>
    </w:pPr>
    <w:rPr>
      <w:rFonts w:ascii="Arial" w:cs="Arial" w:eastAsia="Arial" w:hAnsi="Arial"/>
      <w:b/>
      <w:bCs/>
      <w:color w:val="3F2F31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E35B78" w:sz="16"/>
      </w:pBdr>
      <w:spacing w:after="170" w:before="300"/>
      <w:outlineLvl w:val="0"/>
    </w:pPr>
    <w:rPr>
      <w:rFonts w:ascii="Arial" w:cs="Arial" w:eastAsia="Arial" w:hAnsi="Arial"/>
      <w:b/>
      <w:bCs/>
      <w:color w:val="3F2F3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20"/>
      <w:outlineLvl w:val="1"/>
    </w:pPr>
    <w:rPr>
      <w:rFonts w:ascii="Arial" w:cs="Arial" w:eastAsia="Arial" w:hAnsi="Arial"/>
      <w:b/>
      <w:bCs/>
      <w:color w:val="935450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180"/>
      <w:outlineLvl w:val="2"/>
    </w:pPr>
    <w:rPr>
      <w:rFonts w:ascii="Arial" w:cs="Arial" w:eastAsia="Arial" w:hAnsi="Arial"/>
      <w:b/>
      <w:bCs/>
      <w:color w:val="E35B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3fe52e34aba68af3320cb8a4543a33941bff6e4.png"/><Relationship Id="rId10" Type="http://schemas.openxmlformats.org/officeDocument/2006/relationships/image" Target="media/9b9550118caea5e04da9893318e3d03093f3decd.png"/><Relationship Id="rId11" Type="http://schemas.openxmlformats.org/officeDocument/2006/relationships/image" Target="media/944b4c04fcea80c97e2c86b3c99edf1c807bcdc1.png"/><Relationship Id="rId12" Type="http://schemas.openxmlformats.org/officeDocument/2006/relationships/image" Target="media/8c21dcb2ec6869e699b2e9aedf2ab5c65a21b393.png"/><Relationship Id="rId13" Type="http://schemas.openxmlformats.org/officeDocument/2006/relationships/image" Target="media/a851d1df6c0c41bccc2f03b04f4b60e25a3d2572.png"/><Relationship Id="rId14" Type="http://schemas.openxmlformats.org/officeDocument/2006/relationships/image" Target="media/b71d6a1790c74f386103db790eb9d036e393c8b3.png"/><Relationship Id="rId15" Type="http://schemas.openxmlformats.org/officeDocument/2006/relationships/image" Target="media/4eb20a1a59f1cb5c33e13b73dade49807ef106e7.png"/><Relationship Id="rId16" Type="http://schemas.openxmlformats.org/officeDocument/2006/relationships/image" Target="media/d292248adb81feb65a1339b1cb79129fc0582b05.png"/><Relationship Id="rId17" Type="http://schemas.openxmlformats.org/officeDocument/2006/relationships/image" Target="media/75697f613fd66da65c18fbd406f6515dcef666ea.png"/><Relationship Id="rId18" Type="http://schemas.openxmlformats.org/officeDocument/2006/relationships/image" Target="media/e0e6d19b6b60c1e6431d6810c1290bfc411a1422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WIKSAYUQ</dc:title>
  <dc:creator>OpenCode</dc:creator>
  <dc:description>Informe integral del sistema, requisitos e IHC</dc:description>
  <cp:lastModifiedBy>Un-named</cp:lastModifiedBy>
  <cp:revision>1</cp:revision>
  <dcterms:created xsi:type="dcterms:W3CDTF">2026-07-29T19:09:27.531Z</dcterms:created>
  <dcterms:modified xsi:type="dcterms:W3CDTF">2026-07-29T19:09:27.531Z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