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FBC" w:rsidRDefault="00CD4FBC" w:rsidP="00142BDA">
      <w:pPr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t xml:space="preserve">Chapter 5. </w:t>
      </w:r>
      <w:r w:rsidRPr="00CD4FBC">
        <w:rPr>
          <w:rFonts w:ascii="Times New Roman" w:eastAsia="標楷體" w:hAnsi="Times New Roman" w:cs="Times New Roman" w:hint="eastAsia"/>
        </w:rPr>
        <w:t>線性黏性阻尼器</w:t>
      </w:r>
      <w:r w:rsidRPr="00CD4FBC">
        <w:rPr>
          <w:rFonts w:ascii="Times New Roman" w:eastAsia="標楷體" w:hAnsi="Times New Roman" w:cs="Times New Roman" w:hint="eastAsia"/>
        </w:rPr>
        <w:t>(LVD)</w:t>
      </w:r>
    </w:p>
    <w:p w:rsidR="00CD4FBC" w:rsidRPr="00CD4FBC" w:rsidRDefault="00CD4FBC" w:rsidP="00CD4FBC">
      <w:pPr>
        <w:rPr>
          <w:rFonts w:ascii="Times New Roman" w:eastAsia="標楷體" w:hAnsi="Times New Roman" w:cs="Times New Roman" w:hint="eastAsia"/>
        </w:rPr>
      </w:pPr>
      <w:r w:rsidRPr="00CD4FBC">
        <w:rPr>
          <w:rFonts w:ascii="Times New Roman" w:eastAsia="標楷體" w:hAnsi="Times New Roman" w:cs="Times New Roman" w:hint="eastAsia"/>
        </w:rPr>
        <w:t>5.1</w:t>
      </w:r>
      <w:r w:rsidRPr="00CD4FBC">
        <w:rPr>
          <w:rFonts w:ascii="Times New Roman" w:eastAsia="標楷體" w:hAnsi="Times New Roman" w:cs="Times New Roman" w:hint="eastAsia"/>
        </w:rPr>
        <w:t>阻尼係數計算</w:t>
      </w:r>
    </w:p>
    <w:p w:rsidR="00CD4FBC" w:rsidRDefault="00CD4FBC" w:rsidP="00CD4FBC">
      <w:pPr>
        <w:ind w:firstLine="480"/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t>含線性黏性阻尼器結構物的有效阻尼比計算公式如下：</w:t>
      </w:r>
    </w:p>
    <w:p w:rsidR="00CD4FBC" w:rsidRPr="00CD4FBC" w:rsidRDefault="00CD4FBC" w:rsidP="00CD4FBC">
      <w:pPr>
        <w:rPr>
          <w:rFonts w:ascii="Times New Roman" w:eastAsia="標楷體" w:hAnsi="Times New Roman" w:cs="Times New Roman"/>
          <w:szCs w:val="24"/>
        </w:rPr>
      </w:pPr>
      <m:oMathPara>
        <m:oMath>
          <m:r>
            <w:rPr>
              <w:rFonts w:ascii="Cambria Math" w:eastAsia="標楷體" w:hAnsi="Cambria Math" w:cs="Times New Roman"/>
              <w:szCs w:val="24"/>
            </w:rPr>
            <m:t>ξ</m:t>
          </m:r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viscous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T∑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r,j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標楷體" w:hAnsi="Cambria Math" w:cs="Times New Roman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4π∑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:rsidR="00CD4FBC" w:rsidRDefault="00CD4FBC" w:rsidP="00CD4FBC">
      <w:pPr>
        <w:ind w:firstLine="480"/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t>其中，</w:t>
      </w:r>
      <w:r w:rsidRPr="00CD4FBC">
        <w:rPr>
          <w:rFonts w:ascii="Times New Roman" w:eastAsia="標楷體" w:hAnsi="Times New Roman" w:cs="Times New Roman"/>
        </w:rPr>
        <w:t>T</w:t>
      </w:r>
      <w:r w:rsidRPr="00CD4FBC">
        <w:rPr>
          <w:rFonts w:ascii="Times New Roman" w:eastAsia="標楷體" w:hAnsi="Times New Roman" w:cs="Times New Roman" w:hint="eastAsia"/>
        </w:rPr>
        <w:t>為週期，</w:t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r,j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2</m:t>
            </m:r>
          </m:sup>
        </m:sSubSup>
      </m:oMath>
      <w:r>
        <w:rPr>
          <w:rFonts w:ascii="Times New Roman" w:eastAsia="標楷體" w:hAnsi="Times New Roman" w:cs="Times New Roman" w:hint="eastAsia"/>
        </w:rPr>
        <w:t xml:space="preserve"> </w:t>
      </w:r>
      <w:r w:rsidRPr="00CD4FBC">
        <w:rPr>
          <w:rFonts w:ascii="Times New Roman" w:eastAsia="標楷體" w:hAnsi="Times New Roman" w:cs="Times New Roman" w:hint="eastAsia"/>
        </w:rPr>
        <w:t>表示第</w:t>
      </w:r>
      <w:r w:rsidRPr="00CD4FBC">
        <w:rPr>
          <w:rFonts w:ascii="Times New Roman" w:eastAsia="標楷體" w:hAnsi="Times New Roman" w:cs="Times New Roman"/>
        </w:rPr>
        <w:t>j</w:t>
      </w:r>
      <w:proofErr w:type="gramStart"/>
      <w:r w:rsidRPr="00CD4FBC">
        <w:rPr>
          <w:rFonts w:ascii="Times New Roman" w:eastAsia="標楷體" w:hAnsi="Times New Roman" w:cs="Times New Roman" w:hint="eastAsia"/>
        </w:rPr>
        <w:t>個</w:t>
      </w:r>
      <w:proofErr w:type="gramEnd"/>
      <w:r w:rsidRPr="00CD4FBC">
        <w:rPr>
          <w:rFonts w:ascii="Times New Roman" w:eastAsia="標楷體" w:hAnsi="Times New Roman" w:cs="Times New Roman" w:hint="eastAsia"/>
        </w:rPr>
        <w:t>阻尼器的相對模態</w:t>
      </w:r>
      <w:proofErr w:type="gramStart"/>
      <w:r w:rsidRPr="00CD4FBC">
        <w:rPr>
          <w:rFonts w:ascii="Times New Roman" w:eastAsia="標楷體" w:hAnsi="Times New Roman" w:cs="Times New Roman" w:hint="eastAsia"/>
        </w:rPr>
        <w:t>平方，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θ</m:t>
            </m:r>
            <m:ctrlPr>
              <w:rPr>
                <w:rFonts w:ascii="Cambria Math" w:eastAsia="標楷體" w:hAnsi="Cambria Math" w:cs="Times New Roman" w:hint="eastAsia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j</m:t>
            </m:r>
          </m:sub>
        </m:sSub>
      </m:oMath>
      <w:r>
        <w:rPr>
          <w:rFonts w:ascii="Times New Roman" w:eastAsia="標楷體" w:hAnsi="Times New Roman" w:cs="Times New Roman" w:hint="eastAsia"/>
        </w:rPr>
        <w:t xml:space="preserve"> </w:t>
      </w:r>
      <w:r w:rsidRPr="00CD4FBC">
        <w:rPr>
          <w:rFonts w:ascii="Times New Roman" w:eastAsia="標楷體" w:hAnsi="Times New Roman" w:cs="Times New Roman" w:hint="eastAsia"/>
        </w:rPr>
        <w:t>表示第</w:t>
      </w:r>
      <w:r w:rsidRPr="00CD4FBC">
        <w:rPr>
          <w:rFonts w:ascii="Times New Roman" w:eastAsia="標楷體" w:hAnsi="Times New Roman" w:cs="Times New Roman"/>
        </w:rPr>
        <w:t>j</w:t>
      </w:r>
      <w:proofErr w:type="gramStart"/>
      <w:r w:rsidRPr="00CD4FBC">
        <w:rPr>
          <w:rFonts w:ascii="Times New Roman" w:eastAsia="標楷體" w:hAnsi="Times New Roman" w:cs="Times New Roman" w:hint="eastAsia"/>
        </w:rPr>
        <w:t>個</w:t>
      </w:r>
      <w:proofErr w:type="gramEnd"/>
      <w:r w:rsidRPr="00CD4FBC">
        <w:rPr>
          <w:rFonts w:ascii="Times New Roman" w:eastAsia="標楷體" w:hAnsi="Times New Roman" w:cs="Times New Roman" w:hint="eastAsia"/>
        </w:rPr>
        <w:t>阻尼器的傾角，</w:t>
      </w:r>
      <m:oMath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i</m:t>
            </m:r>
          </m:sub>
        </m:sSub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2</m:t>
            </m:r>
          </m:sup>
        </m:sSubSup>
      </m:oMath>
      <w:r w:rsidRPr="00CD4FBC">
        <w:rPr>
          <w:rFonts w:ascii="Times New Roman" w:eastAsia="標楷體" w:hAnsi="Times New Roman" w:cs="Times New Roman" w:hint="eastAsia"/>
        </w:rPr>
        <w:t>則為第</w:t>
      </w:r>
      <w:r w:rsidRPr="00CD4FBC">
        <w:rPr>
          <w:rFonts w:ascii="Times New Roman" w:eastAsia="標楷體" w:hAnsi="Times New Roman" w:cs="Times New Roman"/>
        </w:rPr>
        <w:t>i</w:t>
      </w:r>
      <w:r w:rsidRPr="00CD4FBC">
        <w:rPr>
          <w:rFonts w:ascii="Times New Roman" w:eastAsia="標楷體" w:hAnsi="Times New Roman" w:cs="Times New Roman" w:hint="eastAsia"/>
        </w:rPr>
        <w:t>層的質量與模態平方的乘積，針對阻尼器所需提供的阻尼比部分，將阻尼係數</w:t>
      </w:r>
      <m:oMath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j</m:t>
            </m:r>
          </m:sub>
        </m:sSub>
      </m:oMath>
      <w:r w:rsidRPr="00CD4FBC">
        <w:rPr>
          <w:rFonts w:ascii="Times New Roman" w:eastAsia="標楷體" w:hAnsi="Times New Roman" w:cs="Times New Roman" w:hint="eastAsia"/>
        </w:rPr>
        <w:t>提出改寫成：</w:t>
      </w:r>
    </w:p>
    <w:p w:rsidR="00CD4FBC" w:rsidRPr="00CD4FBC" w:rsidRDefault="00CD4FBC" w:rsidP="00CD4FBC">
      <w:pPr>
        <w:rPr>
          <w:rFonts w:ascii="Times New Roman" w:eastAsia="標楷體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4πξ∑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T∑</m:t>
              </m:r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r,j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標楷體" w:hAnsi="Cambria Math" w:cs="Times New Roman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:rsidR="0017315E" w:rsidRDefault="0017315E" w:rsidP="0017315E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</w:rPr>
        <w:t>首先，針對空構架模態分析，獲得結構物第一模態與第二模態</w:t>
      </w:r>
      <w:r w:rsidRPr="005A0971">
        <w:rPr>
          <w:rFonts w:ascii="Times New Roman" w:eastAsia="標楷體" w:hAnsi="Times New Roman" w:cs="Times New Roman"/>
        </w:rPr>
        <w:t>(</w:t>
      </w:r>
      <w:r w:rsidRPr="005A0971">
        <w:rPr>
          <w:rFonts w:ascii="Times New Roman" w:eastAsia="標楷體" w:hAnsi="Times New Roman" w:cs="Times New Roman"/>
        </w:rPr>
        <w:t>分別對應</w:t>
      </w:r>
      <w:proofErr w:type="gramStart"/>
      <w:r w:rsidRPr="005A0971">
        <w:rPr>
          <w:rFonts w:ascii="Times New Roman" w:eastAsia="標楷體" w:hAnsi="Times New Roman" w:cs="Times New Roman"/>
        </w:rPr>
        <w:t>長項與短向</w:t>
      </w:r>
      <w:proofErr w:type="gramEnd"/>
      <w:r w:rsidRPr="005A0971">
        <w:rPr>
          <w:rFonts w:ascii="Times New Roman" w:eastAsia="標楷體" w:hAnsi="Times New Roman" w:cs="Times New Roman"/>
        </w:rPr>
        <w:t>)</w:t>
      </w:r>
      <w:r w:rsidRPr="005A0971">
        <w:rPr>
          <w:rFonts w:ascii="Times New Roman" w:eastAsia="標楷體" w:hAnsi="Times New Roman" w:cs="Times New Roman"/>
        </w:rPr>
        <w:t>的週期與模態，再將模態正規化並利用各樓層關係計算相對模態</w:t>
      </w:r>
      <w:r w:rsidRPr="005A0971">
        <w:rPr>
          <w:rFonts w:ascii="Times New Roman" w:eastAsia="標楷體" w:hAnsi="Times New Roman" w:cs="Times New Roman"/>
          <w:szCs w:val="24"/>
        </w:rPr>
        <w:t>。</w:t>
      </w:r>
      <w:bookmarkStart w:id="0" w:name="_GoBack"/>
      <w:bookmarkEnd w:id="0"/>
    </w:p>
    <w:p w:rsidR="0017315E" w:rsidRDefault="0017315E" w:rsidP="0017315E">
      <w:pPr>
        <w:rPr>
          <w:rFonts w:ascii="Times New Roman" w:eastAsia="標楷體" w:hAnsi="Times New Roman" w:cs="Times New Roman"/>
        </w:rPr>
      </w:pPr>
      <w:r w:rsidRPr="007E6B1D">
        <w:rPr>
          <w:rFonts w:hint="eastAsia"/>
        </w:rPr>
        <w:drawing>
          <wp:inline distT="0" distB="0" distL="0" distR="0" wp14:anchorId="29814B74" wp14:editId="60385C7B">
            <wp:extent cx="6645910" cy="14687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5E" w:rsidRDefault="0017315E" w:rsidP="0017315E">
      <w:pPr>
        <w:rPr>
          <w:rFonts w:ascii="Times New Roman" w:eastAsia="標楷體" w:hAnsi="Times New Roman" w:cs="Times New Roman"/>
        </w:rPr>
      </w:pPr>
      <w:r w:rsidRPr="007E6B1D">
        <w:rPr>
          <w:rFonts w:ascii="Times New Roman" w:eastAsia="標楷體" w:hAnsi="Times New Roman" w:cs="Times New Roman" w:hint="eastAsia"/>
        </w:rPr>
        <w:t xml:space="preserve">6.2 </w:t>
      </w:r>
      <w:r w:rsidRPr="007E6B1D">
        <w:rPr>
          <w:rFonts w:ascii="Times New Roman" w:eastAsia="標楷體" w:hAnsi="Times New Roman" w:cs="Times New Roman" w:hint="eastAsia"/>
        </w:rPr>
        <w:t>結構物週期與模態</w:t>
      </w:r>
    </w:p>
    <w:p w:rsidR="0017315E" w:rsidRDefault="0017315E" w:rsidP="0017315E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  <w:szCs w:val="24"/>
        </w:rPr>
        <w:t>由於非線性黏性阻尼器本身不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提供勁度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，因此可以前三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模態的週期與未加阻尼器時相同。</w:t>
      </w:r>
    </w:p>
    <w:p w:rsidR="0017315E" w:rsidRDefault="0017315E" w:rsidP="0017315E">
      <w:pPr>
        <w:jc w:val="center"/>
        <w:rPr>
          <w:rFonts w:ascii="Times New Roman" w:eastAsia="標楷體" w:hAnsi="Times New Roman" w:cs="Times New Roman"/>
        </w:rPr>
      </w:pPr>
      <w:r w:rsidRPr="007E6B1D">
        <w:rPr>
          <w:rFonts w:hint="eastAsia"/>
        </w:rPr>
        <w:drawing>
          <wp:inline distT="0" distB="0" distL="0" distR="0" wp14:anchorId="3A6B01F9" wp14:editId="3637776A">
            <wp:extent cx="4162425" cy="665480"/>
            <wp:effectExtent l="0" t="0" r="9525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5E" w:rsidRDefault="0017315E" w:rsidP="0017315E">
      <w:pPr>
        <w:ind w:firstLine="480"/>
        <w:rPr>
          <w:rFonts w:ascii="Times New Roman" w:eastAsia="標楷體" w:hAnsi="Times New Roman" w:cs="Times New Roman"/>
        </w:rPr>
      </w:pPr>
      <w:r w:rsidRPr="005A0971">
        <w:rPr>
          <w:rFonts w:ascii="Times New Roman" w:eastAsia="標楷體" w:hAnsi="Times New Roman" w:cs="Times New Roman"/>
        </w:rPr>
        <w:t>而結構物三個模態分別為長向、</w:t>
      </w:r>
      <w:proofErr w:type="gramStart"/>
      <w:r w:rsidRPr="005A0971">
        <w:rPr>
          <w:rFonts w:ascii="Times New Roman" w:eastAsia="標楷體" w:hAnsi="Times New Roman" w:cs="Times New Roman"/>
        </w:rPr>
        <w:t>短向及</w:t>
      </w:r>
      <w:proofErr w:type="gramEnd"/>
      <w:r w:rsidRPr="005A0971">
        <w:rPr>
          <w:rFonts w:ascii="Times New Roman" w:eastAsia="標楷體" w:hAnsi="Times New Roman" w:cs="Times New Roman"/>
        </w:rPr>
        <w:t>扭轉，反應情形如下</w:t>
      </w:r>
      <w:r w:rsidRPr="005A0971">
        <w:rPr>
          <w:rFonts w:ascii="Times New Roman" w:eastAsia="標楷體" w:hAnsi="Times New Roman" w:cs="Times New Roman"/>
          <w:szCs w:val="24"/>
        </w:rPr>
        <w:t>：</w:t>
      </w:r>
    </w:p>
    <w:p w:rsidR="0017315E" w:rsidRPr="007E6B1D" w:rsidRDefault="0017315E" w:rsidP="0017315E">
      <w:pPr>
        <w:rPr>
          <w:rFonts w:ascii="Times New Roman" w:eastAsia="標楷體" w:hAnsi="Times New Roman" w:cs="Times New Roman"/>
        </w:rPr>
      </w:pPr>
      <w:r w:rsidRPr="007E6B1D">
        <w:drawing>
          <wp:inline distT="0" distB="0" distL="0" distR="0" wp14:anchorId="08ECDBB4" wp14:editId="01B532BB">
            <wp:extent cx="6645910" cy="2039661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5E" w:rsidRDefault="0017315E" w:rsidP="0017315E">
      <w:pPr>
        <w:rPr>
          <w:rFonts w:ascii="Times New Roman" w:eastAsia="標楷體" w:hAnsi="Times New Roman" w:cs="Times New Roman"/>
        </w:rPr>
      </w:pPr>
    </w:p>
    <w:p w:rsidR="0017315E" w:rsidRDefault="0017315E" w:rsidP="0017315E">
      <w:pPr>
        <w:rPr>
          <w:rFonts w:ascii="Times New Roman" w:eastAsia="標楷體" w:hAnsi="Times New Roman" w:cs="Times New Roman" w:hint="eastAsia"/>
        </w:rPr>
      </w:pPr>
    </w:p>
    <w:p w:rsidR="00CD4FBC" w:rsidRDefault="00CD4FB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CD4FBC" w:rsidRDefault="00CD4FBC" w:rsidP="00CD4FBC">
      <w:pPr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lastRenderedPageBreak/>
        <w:t xml:space="preserve">Chapter 6. </w:t>
      </w:r>
      <w:r w:rsidRPr="00CD4FBC">
        <w:rPr>
          <w:rFonts w:ascii="Times New Roman" w:eastAsia="標楷體" w:hAnsi="Times New Roman" w:cs="Times New Roman" w:hint="eastAsia"/>
        </w:rPr>
        <w:t>非線性黏性阻尼器</w:t>
      </w:r>
      <w:r w:rsidRPr="00CD4FBC">
        <w:rPr>
          <w:rFonts w:ascii="Times New Roman" w:eastAsia="標楷體" w:hAnsi="Times New Roman" w:cs="Times New Roman" w:hint="eastAsia"/>
        </w:rPr>
        <w:t>(NVD)</w:t>
      </w:r>
    </w:p>
    <w:p w:rsidR="00CD4FBC" w:rsidRDefault="00CD4FBC" w:rsidP="00CD4FBC">
      <w:pPr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t xml:space="preserve">6.1 </w:t>
      </w:r>
      <w:r w:rsidRPr="00CD4FBC">
        <w:rPr>
          <w:rFonts w:ascii="Times New Roman" w:eastAsia="標楷體" w:hAnsi="Times New Roman" w:cs="Times New Roman" w:hint="eastAsia"/>
        </w:rPr>
        <w:t>阻尼係數計算</w:t>
      </w:r>
    </w:p>
    <w:p w:rsidR="00CD4FBC" w:rsidRDefault="00CD4FBC" w:rsidP="007E6B1D">
      <w:pPr>
        <w:ind w:firstLine="480"/>
        <w:rPr>
          <w:rFonts w:ascii="Times New Roman" w:eastAsia="標楷體" w:hAnsi="Times New Roman" w:cs="Times New Roman"/>
        </w:rPr>
      </w:pPr>
      <w:r w:rsidRPr="00CD4FBC">
        <w:rPr>
          <w:rFonts w:ascii="Times New Roman" w:eastAsia="標楷體" w:hAnsi="Times New Roman" w:cs="Times New Roman" w:hint="eastAsia"/>
        </w:rPr>
        <w:t>非線性黏性阻尼器結構物的有效阻尼比計算公式如下：</w:t>
      </w:r>
    </w:p>
    <w:p w:rsidR="00CD4FBC" w:rsidRPr="00CD4FBC" w:rsidRDefault="00CD4FBC" w:rsidP="00CD4FBC">
      <w:pPr>
        <w:rPr>
          <w:rFonts w:ascii="Times New Roman" w:eastAsia="標楷體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eff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viscous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ξ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r,j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1+α</m:t>
                  </m:r>
                </m:sup>
              </m:sSubSup>
              <m:r>
                <w:rPr>
                  <w:rFonts w:ascii="Cambria Math" w:eastAsia="標楷體" w:hAnsi="Cambria Math" w:cs="Times New Roman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1+α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1-α</m:t>
                  </m:r>
                </m:sup>
              </m:sSup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2-α</m:t>
                  </m:r>
                </m:sup>
              </m:sSup>
              <m:r>
                <w:rPr>
                  <w:rFonts w:ascii="Cambria Math" w:eastAsia="標楷體" w:hAnsi="Cambria Math" w:cs="Times New Roman"/>
                  <w:szCs w:val="24"/>
                </w:rPr>
                <m:t>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:rsidR="00CD4FBC" w:rsidRDefault="007E6B1D" w:rsidP="007E6B1D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  <w:szCs w:val="24"/>
        </w:rPr>
        <w:t>其中，</w:t>
      </w:r>
      <m:oMath>
        <m:r>
          <w:rPr>
            <w:rFonts w:ascii="Cambria Math" w:eastAsia="標楷體" w:hAnsi="Cambria Math" w:cs="Times New Roman"/>
            <w:szCs w:val="24"/>
          </w:rPr>
          <m:t>ω</m:t>
        </m:r>
      </m:oMath>
      <w:proofErr w:type="gramStart"/>
      <w:r w:rsidRPr="005A0971">
        <w:rPr>
          <w:rFonts w:ascii="Times New Roman" w:eastAsia="標楷體" w:hAnsi="Times New Roman" w:cs="Times New Roman"/>
          <w:szCs w:val="24"/>
        </w:rPr>
        <w:t>為角頻率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，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ϕ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r,j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5A0971">
        <w:rPr>
          <w:rFonts w:ascii="Times New Roman" w:eastAsia="標楷體" w:hAnsi="Times New Roman" w:cs="Times New Roman"/>
          <w:szCs w:val="24"/>
        </w:rPr>
        <w:t>表示第</w:t>
      </w:r>
      <w:r w:rsidRPr="005A0971">
        <w:rPr>
          <w:rFonts w:ascii="Times New Roman" w:eastAsia="標楷體" w:hAnsi="Times New Roman" w:cs="Times New Roman"/>
          <w:szCs w:val="24"/>
        </w:rPr>
        <w:t>j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阻尼器的相對模態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平方，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Pr="005A0971">
        <w:rPr>
          <w:rFonts w:ascii="Times New Roman" w:eastAsia="標楷體" w:hAnsi="Times New Roman" w:cs="Times New Roman"/>
          <w:szCs w:val="24"/>
        </w:rPr>
        <w:t>表示第</w:t>
      </w:r>
      <w:r w:rsidRPr="005A0971">
        <w:rPr>
          <w:rFonts w:ascii="Times New Roman" w:eastAsia="標楷體" w:hAnsi="Times New Roman" w:cs="Times New Roman"/>
          <w:szCs w:val="24"/>
        </w:rPr>
        <w:t>j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阻尼器的傾角，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ϕ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5A0971">
        <w:rPr>
          <w:rFonts w:ascii="Times New Roman" w:eastAsia="標楷體" w:hAnsi="Times New Roman" w:cs="Times New Roman"/>
          <w:szCs w:val="24"/>
        </w:rPr>
        <w:t>則為第</w:t>
      </w:r>
      <w:r w:rsidRPr="005A0971">
        <w:rPr>
          <w:rFonts w:ascii="Times New Roman" w:eastAsia="標楷體" w:hAnsi="Times New Roman" w:cs="Times New Roman"/>
          <w:szCs w:val="24"/>
        </w:rPr>
        <w:t>i</w:t>
      </w:r>
      <w:r w:rsidRPr="005A0971">
        <w:rPr>
          <w:rFonts w:ascii="Times New Roman" w:eastAsia="標楷體" w:hAnsi="Times New Roman" w:cs="Times New Roman"/>
          <w:szCs w:val="24"/>
        </w:rPr>
        <w:t>層的質量與模態平方的乘積，</w:t>
      </w:r>
      <w:r w:rsidRPr="005A0971">
        <w:rPr>
          <w:rFonts w:ascii="Times New Roman" w:eastAsia="標楷體" w:hAnsi="Times New Roman" w:cs="Times New Roman"/>
          <w:szCs w:val="24"/>
        </w:rPr>
        <w:t>A</w:t>
      </w:r>
      <w:r w:rsidRPr="005A0971">
        <w:rPr>
          <w:rFonts w:ascii="Times New Roman" w:eastAsia="標楷體" w:hAnsi="Times New Roman" w:cs="Times New Roman"/>
          <w:szCs w:val="24"/>
        </w:rPr>
        <w:t>為最大頂層位移，本組之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</m:t>
        </m:r>
        <m:r>
          <w:rPr>
            <w:rFonts w:ascii="Cambria Math" w:eastAsia="標楷體" w:hAnsi="Cambria Math" w:cs="Times New Roman"/>
            <w:szCs w:val="24"/>
          </w:rPr>
          <m:t xml:space="preserve">α </m:t>
        </m:r>
      </m:oMath>
      <w:r w:rsidRPr="005A0971">
        <w:rPr>
          <w:rFonts w:ascii="Times New Roman" w:eastAsia="標楷體" w:hAnsi="Times New Roman" w:cs="Times New Roman"/>
          <w:szCs w:val="24"/>
        </w:rPr>
        <w:t>為</w:t>
      </w:r>
      <w:r w:rsidRPr="005A0971">
        <w:rPr>
          <w:rFonts w:ascii="Times New Roman" w:eastAsia="標楷體" w:hAnsi="Times New Roman" w:cs="Times New Roman"/>
          <w:szCs w:val="24"/>
        </w:rPr>
        <w:t>0.6</w:t>
      </w:r>
      <w:r w:rsidRPr="005A0971">
        <w:rPr>
          <w:rFonts w:ascii="Times New Roman" w:eastAsia="標楷體" w:hAnsi="Times New Roman" w:cs="Times New Roman"/>
          <w:szCs w:val="24"/>
        </w:rPr>
        <w:t>。</w:t>
      </w:r>
    </w:p>
    <w:p w:rsidR="007E6B1D" w:rsidRPr="005A0971" w:rsidRDefault="007E6B1D" w:rsidP="007E6B1D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  <w:szCs w:val="24"/>
        </w:rPr>
        <w:t>針對阻尼器所需提供的阻尼比部分，將阻尼係數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Pr="005A0971">
        <w:rPr>
          <w:rFonts w:ascii="Times New Roman" w:eastAsia="標楷體" w:hAnsi="Times New Roman" w:cs="Times New Roman"/>
          <w:szCs w:val="24"/>
        </w:rPr>
        <w:t>提出改寫成：</w:t>
      </w:r>
      <w:r w:rsidRPr="005A0971">
        <w:rPr>
          <w:rFonts w:ascii="Times New Roman" w:eastAsia="標楷體" w:hAnsi="Times New Roman" w:cs="Times New Roman"/>
          <w:szCs w:val="24"/>
        </w:rPr>
        <w:t xml:space="preserve"> </w:t>
      </w:r>
    </w:p>
    <w:p w:rsidR="007E6B1D" w:rsidRPr="005A0971" w:rsidRDefault="007E6B1D" w:rsidP="007E6B1D">
      <w:pPr>
        <w:jc w:val="center"/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  <w:szCs w:val="24"/>
                    </w:rPr>
                    <m:t>ξ</m:t>
                  </m:r>
                  <m:r>
                    <w:rPr>
                      <w:rFonts w:ascii="Cambria Math" w:eastAsia="標楷體" w:hAnsi="Cambria Math" w:cs="Times New Roman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1-α</m:t>
                  </m:r>
                </m:sup>
              </m:sSup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2-α</m:t>
                  </m:r>
                </m:sup>
              </m:sSup>
              <m:r>
                <w:rPr>
                  <w:rFonts w:ascii="Cambria Math" w:eastAsia="標楷體" w:hAnsi="Cambria Math" w:cs="Times New Roman"/>
                  <w:szCs w:val="24"/>
                </w:rPr>
                <m:t>∑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2</m:t>
                  </m:r>
                </m:sup>
              </m:sSubSup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λ∑</m:t>
              </m:r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r,j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1+α</m:t>
                  </m:r>
                </m:sup>
              </m:sSubSup>
              <m:r>
                <w:rPr>
                  <w:rFonts w:ascii="Cambria Math" w:eastAsia="標楷體" w:hAnsi="Cambria Math" w:cs="Times New Roman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1+α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:rsidR="007E6B1D" w:rsidRDefault="007E6B1D" w:rsidP="007E6B1D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</w:rPr>
        <w:t>首先，針對空構架模態分析，獲得結構物第一模態與第二模態</w:t>
      </w:r>
      <w:r w:rsidRPr="005A0971">
        <w:rPr>
          <w:rFonts w:ascii="Times New Roman" w:eastAsia="標楷體" w:hAnsi="Times New Roman" w:cs="Times New Roman"/>
        </w:rPr>
        <w:t>(</w:t>
      </w:r>
      <w:r w:rsidRPr="005A0971">
        <w:rPr>
          <w:rFonts w:ascii="Times New Roman" w:eastAsia="標楷體" w:hAnsi="Times New Roman" w:cs="Times New Roman"/>
        </w:rPr>
        <w:t>分別對應</w:t>
      </w:r>
      <w:proofErr w:type="gramStart"/>
      <w:r w:rsidRPr="005A0971">
        <w:rPr>
          <w:rFonts w:ascii="Times New Roman" w:eastAsia="標楷體" w:hAnsi="Times New Roman" w:cs="Times New Roman"/>
        </w:rPr>
        <w:t>長項與短向</w:t>
      </w:r>
      <w:proofErr w:type="gramEnd"/>
      <w:r w:rsidRPr="005A0971">
        <w:rPr>
          <w:rFonts w:ascii="Times New Roman" w:eastAsia="標楷體" w:hAnsi="Times New Roman" w:cs="Times New Roman"/>
        </w:rPr>
        <w:t>)</w:t>
      </w:r>
      <w:r w:rsidRPr="005A0971">
        <w:rPr>
          <w:rFonts w:ascii="Times New Roman" w:eastAsia="標楷體" w:hAnsi="Times New Roman" w:cs="Times New Roman"/>
        </w:rPr>
        <w:t>的週期與模態，再將模態正規化並利用各樓層關係計算相對模態</w:t>
      </w:r>
      <w:r w:rsidRPr="005A0971">
        <w:rPr>
          <w:rFonts w:ascii="Times New Roman" w:eastAsia="標楷體" w:hAnsi="Times New Roman" w:cs="Times New Roman"/>
          <w:szCs w:val="24"/>
        </w:rPr>
        <w:t>。</w:t>
      </w:r>
    </w:p>
    <w:p w:rsidR="007E6B1D" w:rsidRDefault="007E6B1D" w:rsidP="007E6B1D">
      <w:pPr>
        <w:rPr>
          <w:rFonts w:ascii="Times New Roman" w:eastAsia="標楷體" w:hAnsi="Times New Roman" w:cs="Times New Roman"/>
        </w:rPr>
      </w:pPr>
      <w:r w:rsidRPr="007E6B1D">
        <w:rPr>
          <w:rFonts w:hint="eastAsia"/>
        </w:rPr>
        <w:drawing>
          <wp:inline distT="0" distB="0" distL="0" distR="0">
            <wp:extent cx="6645910" cy="1469276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1D" w:rsidRDefault="007E6B1D" w:rsidP="007E6B1D">
      <w:pPr>
        <w:rPr>
          <w:rFonts w:ascii="Times New Roman" w:eastAsia="標楷體" w:hAnsi="Times New Roman" w:cs="Times New Roman"/>
        </w:rPr>
      </w:pPr>
      <w:r w:rsidRPr="007E6B1D">
        <w:rPr>
          <w:rFonts w:ascii="Times New Roman" w:eastAsia="標楷體" w:hAnsi="Times New Roman" w:cs="Times New Roman" w:hint="eastAsia"/>
        </w:rPr>
        <w:t xml:space="preserve">6.2 </w:t>
      </w:r>
      <w:r w:rsidRPr="007E6B1D">
        <w:rPr>
          <w:rFonts w:ascii="Times New Roman" w:eastAsia="標楷體" w:hAnsi="Times New Roman" w:cs="Times New Roman" w:hint="eastAsia"/>
        </w:rPr>
        <w:t>結構物週期與模態</w:t>
      </w:r>
    </w:p>
    <w:p w:rsidR="007E6B1D" w:rsidRDefault="007E6B1D" w:rsidP="007E6B1D">
      <w:pPr>
        <w:ind w:firstLine="480"/>
        <w:rPr>
          <w:rFonts w:ascii="Times New Roman" w:eastAsia="標楷體" w:hAnsi="Times New Roman" w:cs="Times New Roman"/>
          <w:szCs w:val="24"/>
        </w:rPr>
      </w:pPr>
      <w:r w:rsidRPr="005A0971">
        <w:rPr>
          <w:rFonts w:ascii="Times New Roman" w:eastAsia="標楷體" w:hAnsi="Times New Roman" w:cs="Times New Roman"/>
          <w:szCs w:val="24"/>
        </w:rPr>
        <w:t>由於非線性黏性阻尼器本身不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提供勁度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，因此可以前三</w:t>
      </w:r>
      <w:proofErr w:type="gramStart"/>
      <w:r w:rsidRPr="005A0971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5A0971">
        <w:rPr>
          <w:rFonts w:ascii="Times New Roman" w:eastAsia="標楷體" w:hAnsi="Times New Roman" w:cs="Times New Roman"/>
          <w:szCs w:val="24"/>
        </w:rPr>
        <w:t>模態的週期與未加阻尼器時相同。</w:t>
      </w:r>
    </w:p>
    <w:p w:rsidR="007E6B1D" w:rsidRDefault="007E6B1D" w:rsidP="007E6B1D">
      <w:pPr>
        <w:jc w:val="center"/>
        <w:rPr>
          <w:rFonts w:ascii="Times New Roman" w:eastAsia="標楷體" w:hAnsi="Times New Roman" w:cs="Times New Roman"/>
        </w:rPr>
      </w:pPr>
      <w:r w:rsidRPr="007E6B1D">
        <w:rPr>
          <w:rFonts w:hint="eastAsia"/>
        </w:rPr>
        <w:drawing>
          <wp:inline distT="0" distB="0" distL="0" distR="0">
            <wp:extent cx="4162425" cy="665480"/>
            <wp:effectExtent l="0" t="0" r="9525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1D" w:rsidRDefault="007E6B1D" w:rsidP="007E6B1D">
      <w:pPr>
        <w:ind w:firstLine="480"/>
        <w:rPr>
          <w:rFonts w:ascii="Times New Roman" w:eastAsia="標楷體" w:hAnsi="Times New Roman" w:cs="Times New Roman"/>
        </w:rPr>
      </w:pPr>
      <w:r w:rsidRPr="005A0971">
        <w:rPr>
          <w:rFonts w:ascii="Times New Roman" w:eastAsia="標楷體" w:hAnsi="Times New Roman" w:cs="Times New Roman"/>
        </w:rPr>
        <w:t>而結構物三個模態分別為長向、</w:t>
      </w:r>
      <w:proofErr w:type="gramStart"/>
      <w:r w:rsidRPr="005A0971">
        <w:rPr>
          <w:rFonts w:ascii="Times New Roman" w:eastAsia="標楷體" w:hAnsi="Times New Roman" w:cs="Times New Roman"/>
        </w:rPr>
        <w:t>短向及</w:t>
      </w:r>
      <w:proofErr w:type="gramEnd"/>
      <w:r w:rsidRPr="005A0971">
        <w:rPr>
          <w:rFonts w:ascii="Times New Roman" w:eastAsia="標楷體" w:hAnsi="Times New Roman" w:cs="Times New Roman"/>
        </w:rPr>
        <w:t>扭轉，反應情形如下</w:t>
      </w:r>
      <w:r w:rsidRPr="005A0971">
        <w:rPr>
          <w:rFonts w:ascii="Times New Roman" w:eastAsia="標楷體" w:hAnsi="Times New Roman" w:cs="Times New Roman"/>
          <w:szCs w:val="24"/>
        </w:rPr>
        <w:t>：</w:t>
      </w:r>
    </w:p>
    <w:p w:rsidR="007E6B1D" w:rsidRPr="007E6B1D" w:rsidRDefault="007E6B1D" w:rsidP="007E6B1D">
      <w:pPr>
        <w:rPr>
          <w:rFonts w:ascii="Times New Roman" w:eastAsia="標楷體" w:hAnsi="Times New Roman" w:cs="Times New Roman"/>
        </w:rPr>
      </w:pPr>
      <w:r w:rsidRPr="007E6B1D">
        <w:drawing>
          <wp:inline distT="0" distB="0" distL="0" distR="0">
            <wp:extent cx="6645910" cy="2039661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1D" w:rsidRDefault="007E6B1D" w:rsidP="007E6B1D">
      <w:pPr>
        <w:rPr>
          <w:rFonts w:ascii="Times New Roman" w:eastAsia="標楷體" w:hAnsi="Times New Roman" w:cs="Times New Roman"/>
        </w:rPr>
      </w:pPr>
    </w:p>
    <w:p w:rsidR="007E6B1D" w:rsidRDefault="007E6B1D" w:rsidP="007E6B1D">
      <w:pPr>
        <w:rPr>
          <w:rFonts w:ascii="Times New Roman" w:eastAsia="標楷體" w:hAnsi="Times New Roman" w:cs="Times New Roman"/>
        </w:rPr>
      </w:pPr>
    </w:p>
    <w:p w:rsidR="007E6B1D" w:rsidRPr="007E6B1D" w:rsidRDefault="007E6B1D" w:rsidP="007E6B1D">
      <w:pPr>
        <w:rPr>
          <w:rFonts w:ascii="Times New Roman" w:eastAsia="標楷體" w:hAnsi="Times New Roman" w:cs="Times New Roman" w:hint="eastAsia"/>
        </w:rPr>
      </w:pPr>
    </w:p>
    <w:sectPr w:rsidR="007E6B1D" w:rsidRPr="007E6B1D" w:rsidSect="00100FD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BDA"/>
    <w:rsid w:val="00041367"/>
    <w:rsid w:val="00135166"/>
    <w:rsid w:val="00142BDA"/>
    <w:rsid w:val="0017315E"/>
    <w:rsid w:val="002D4946"/>
    <w:rsid w:val="004C7B28"/>
    <w:rsid w:val="0064144D"/>
    <w:rsid w:val="006F52DF"/>
    <w:rsid w:val="007E6B1D"/>
    <w:rsid w:val="007F63F8"/>
    <w:rsid w:val="00821354"/>
    <w:rsid w:val="008E3E78"/>
    <w:rsid w:val="00964E8A"/>
    <w:rsid w:val="00A06368"/>
    <w:rsid w:val="00A25AF3"/>
    <w:rsid w:val="00AE6A2D"/>
    <w:rsid w:val="00B1570E"/>
    <w:rsid w:val="00CD4FBC"/>
    <w:rsid w:val="00CE7F05"/>
    <w:rsid w:val="00D36C92"/>
    <w:rsid w:val="00EA6F72"/>
    <w:rsid w:val="00F665C5"/>
    <w:rsid w:val="00FD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0C995"/>
  <w15:chartTrackingRefBased/>
  <w15:docId w15:val="{9D917C51-E74B-4592-95B7-BF1E80229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2BD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D7E8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42BD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Placeholder Text"/>
    <w:basedOn w:val="a0"/>
    <w:uiPriority w:val="99"/>
    <w:semiHidden/>
    <w:rsid w:val="007F63F8"/>
    <w:rPr>
      <w:color w:val="808080"/>
    </w:rPr>
  </w:style>
  <w:style w:type="character" w:customStyle="1" w:styleId="10">
    <w:name w:val="標題 1 字元"/>
    <w:basedOn w:val="a0"/>
    <w:link w:val="1"/>
    <w:uiPriority w:val="9"/>
    <w:rsid w:val="00FD7E8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TOC Heading"/>
    <w:basedOn w:val="1"/>
    <w:next w:val="a"/>
    <w:uiPriority w:val="39"/>
    <w:unhideWhenUsed/>
    <w:qFormat/>
    <w:rsid w:val="00FD7E85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FD7E85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FD7E85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D7E85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FD7E85"/>
    <w:pPr>
      <w:ind w:leftChars="200" w:left="480"/>
    </w:pPr>
  </w:style>
  <w:style w:type="table" w:styleId="a6">
    <w:name w:val="Table Grid"/>
    <w:basedOn w:val="a1"/>
    <w:uiPriority w:val="59"/>
    <w:rsid w:val="002D49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0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F6B05-4E10-4DD3-9B6A-E3F4EADA1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</cp:revision>
  <dcterms:created xsi:type="dcterms:W3CDTF">2018-06-27T09:07:00Z</dcterms:created>
  <dcterms:modified xsi:type="dcterms:W3CDTF">2018-06-27T09:42:00Z</dcterms:modified>
</cp:coreProperties>
</file>