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2F46EE05" w:rsidR="008C39DC" w:rsidRDefault="00305836" w:rsidP="008C39DC">
      <w:pPr>
        <w:pStyle w:val="Subtitle"/>
      </w:pPr>
      <w:r>
        <w:t>TODO</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6E412CB2" w:rsidR="00AE2E49" w:rsidRDefault="00EC1D47" w:rsidP="00921365">
      <w:pPr>
        <w:pStyle w:val="BodyText"/>
      </w:pPr>
      <w:r w:rsidRPr="00EC1D47">
        <w:t>This document provides a common reference point to support consistent understanding, analysis, and system design across programmes and workstreams. It aims to clarify key concepts and structures, reduce ambiguity, and enable alignment across technical and non-technical stakeholders. The content may be reused or referenced in other documents to support coherent planning, delivery, and review.</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393FB424" w:rsidR="00921365" w:rsidRPr="00921365" w:rsidRDefault="00EC1D47" w:rsidP="00921365">
      <w:pPr>
        <w:pStyle w:val="BodyText"/>
      </w:pPr>
      <w:r w:rsidRPr="00EC1D47">
        <w:t>The document introduces a structured approach to defining and relating core elements such as domains, entities, capabilities, and functions. It includes guidance on application, worked examples, and reference definitions. While not specific to a single project, it is intended to support ongoing initiatives by providing terminology and models that improve interoperability, traceability, and reuse.</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4C498E1C" w14:textId="6B629842" w:rsidR="00EC1D47" w:rsidRPr="00EC1D47" w:rsidRDefault="00EC1D47" w:rsidP="00EC1D47">
      <w:pPr>
        <w:pStyle w:val="BodyText"/>
      </w:pPr>
      <w:r w:rsidRPr="00EC1D47">
        <w:t>This document provides structure and terminology that can be used directly or by reference in related work. It introduces concepts progressively, allowing readers to dip into relevant sections or follow a complete path from foundational principles to worked examples.</w:t>
      </w:r>
    </w:p>
    <w:p w14:paraId="4BECF4EC" w14:textId="77145B35" w:rsidR="00EC1D47" w:rsidRPr="00EC1D47" w:rsidRDefault="00EC1D47" w:rsidP="00EC1D47">
      <w:pPr>
        <w:pStyle w:val="BodyText"/>
      </w:pPr>
      <w:r w:rsidRPr="00EC1D47">
        <w:t>It is designed to assist both technical and non-technical audiences. Where appropriate, definitions and models are intended to be reused without needing to be re-explained in future documents. The appendices include cross-references, terminology, and supporting material.</w:t>
      </w:r>
    </w:p>
    <w:p w14:paraId="33C980F6" w14:textId="701BF266" w:rsidR="005432E3" w:rsidRDefault="007942F2" w:rsidP="00EC1D47">
      <w:pPr>
        <w:pStyle w:val="Heading1"/>
      </w:pPr>
      <w:bookmarkStart w:id="5" w:name="Location_DocumentIndex"/>
      <w:bookmarkStart w:id="6" w:name="_Toc195791708"/>
      <w:bookmarkEnd w:id="5"/>
      <w:r>
        <w:t xml:space="preserve">Document </w:t>
      </w:r>
      <w:r w:rsidR="00EC1D47">
        <w:t>Background</w:t>
      </w:r>
      <w:bookmarkEnd w:id="6"/>
    </w:p>
    <w:p w14:paraId="5C869CF4" w14:textId="0564EBF7" w:rsidR="00EC1D47" w:rsidRDefault="007942F2" w:rsidP="00EC1D47">
      <w:pPr>
        <w:pStyle w:val="BodyText"/>
      </w:pPr>
      <w:r w:rsidRPr="007942F2">
        <w:t xml:space="preserve">This document was developed to provide enduring reference material in support of ongoing programmes and system initiatives. It builds on prior analysis and aims to consolidate foundational </w:t>
      </w:r>
      <w:proofErr w:type="gramStart"/>
      <w:r w:rsidRPr="007942F2">
        <w:t>concepts</w:t>
      </w:r>
      <w:proofErr w:type="gramEnd"/>
      <w:r w:rsidRPr="007942F2">
        <w:t xml:space="preserve"> so they do not need to be repeated in future work.</w:t>
      </w:r>
      <w:r w:rsidRPr="007942F2">
        <w:br/>
        <w:t>While not directed by a single initiative, the document supports long-term alignment across programmes through the consistent use of terms, structures, and framing.</w:t>
      </w:r>
    </w:p>
    <w:p w14:paraId="2693ABFB" w14:textId="34134EA2" w:rsidR="00EC1D47" w:rsidRDefault="00EC1D47" w:rsidP="00EC1D47">
      <w:pPr>
        <w:pStyle w:val="Heading1"/>
      </w:pPr>
      <w:bookmarkStart w:id="7" w:name="_Toc195791709"/>
      <w:r>
        <w:t>Context</w:t>
      </w:r>
      <w:bookmarkEnd w:id="7"/>
    </w:p>
    <w:p w14:paraId="1E756B12" w14:textId="77777777" w:rsidR="00EC1D47" w:rsidRPr="00EC1D47" w:rsidRDefault="00EC1D47" w:rsidP="00EC1D47">
      <w:pPr>
        <w:pStyle w:val="BodyText"/>
      </w:pPr>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199962EA" w14:textId="77777777" w:rsidR="00EC1D47" w:rsidRPr="00EC1D47" w:rsidRDefault="00EC1D47" w:rsidP="00EC1D47">
      <w:pPr>
        <w:pStyle w:val="BodyText"/>
      </w:pPr>
      <w:r w:rsidRPr="00EC1D47">
        <w:t>The concepts introduced are informed by prior work across multiple domains, including education, social services, and operational delivery. While no single policy or programme drove its development, it reflects common patterns and recurring challenges observed across a range of initiatives.</w:t>
      </w:r>
    </w:p>
    <w:p w14:paraId="67D0F643" w14:textId="77777777" w:rsidR="00EC1D47" w:rsidRDefault="00EC1D47" w:rsidP="00EC1D47">
      <w:pPr>
        <w:pStyle w:val="Heading3"/>
      </w:pPr>
      <w:r w:rsidRPr="00EC1D47">
        <w:t>Policy and Sector Alignment</w:t>
      </w:r>
    </w:p>
    <w:p w14:paraId="3F03D00C" w14:textId="1B46023F" w:rsidR="00EC1D47" w:rsidRPr="00EC1D47" w:rsidRDefault="00EC1D47" w:rsidP="00EC1D47">
      <w:r w:rsidRPr="00EC1D47">
        <w:t>The material is designed to remain compatible with sector-specific strategies, data standards, and regulatory obligations. Where possible, it draws from accepted frameworks, while retaining flexibility to support domain-specific adaptation.</w:t>
      </w:r>
    </w:p>
    <w:p w14:paraId="0E16C909" w14:textId="77777777" w:rsidR="00EC1D47" w:rsidRDefault="00EC1D47" w:rsidP="00EC1D47">
      <w:pPr>
        <w:pStyle w:val="Heading3"/>
      </w:pPr>
      <w:r w:rsidRPr="00EC1D47">
        <w:t>Operational Drivers</w:t>
      </w:r>
    </w:p>
    <w:p w14:paraId="1051269E" w14:textId="7CC43449" w:rsidR="00EC1D47" w:rsidRPr="00EC1D47" w:rsidRDefault="00EC1D47" w:rsidP="00EC1D47">
      <w:r w:rsidRPr="00EC1D47">
        <w:t>Repeated delays, ambiguities, and rework in project delivery have highlighted the need for shared, stable reference material. This document provides a baseline that can be referred to during planning, analysis, procurement, and implementation phases.</w:t>
      </w:r>
    </w:p>
    <w:p w14:paraId="66FE9045" w14:textId="77777777" w:rsidR="00EC1D47" w:rsidRDefault="00EC1D47" w:rsidP="00EC1D47">
      <w:pPr>
        <w:pStyle w:val="Heading3"/>
      </w:pPr>
      <w:r w:rsidRPr="00EC1D47">
        <w:lastRenderedPageBreak/>
        <w:t>Intended Audience</w:t>
      </w:r>
    </w:p>
    <w:p w14:paraId="14432F1A" w14:textId="2966C775" w:rsidR="00EC1D47" w:rsidRPr="00EC1D47" w:rsidRDefault="00EC1D47" w:rsidP="00EC1D47">
      <w:r w:rsidRPr="00EC1D47">
        <w:t>This document is intended for programme leads, analysts, architects, and advisors who are shaping or delivering services involving information systems. It may also support policy staff, procurement teams, and technical leads seeking alignment and clarity in cross-functional projects.</w:t>
      </w:r>
    </w:p>
    <w:p w14:paraId="187C75B4" w14:textId="77777777" w:rsidR="007942F2" w:rsidRDefault="007942F2" w:rsidP="007942F2">
      <w:pPr>
        <w:pStyle w:val="Heading2"/>
      </w:pPr>
      <w:r>
        <w:t>Problem Background</w:t>
      </w:r>
    </w:p>
    <w:p w14:paraId="66E153F3" w14:textId="6EBB879F" w:rsidR="007942F2" w:rsidRDefault="007942F2">
      <w:r w:rsidRPr="007942F2">
        <w:t>Multiple programmes across the sector rely on similar but inconsistently described concepts. This leads to divergence in how systems are analysed, procured, and delivered, creating barriers to interoperability and reuse.</w:t>
      </w:r>
      <w:r w:rsidRPr="007942F2">
        <w:br/>
        <w:t>Fragmentation in terminology, capability modelling, and integration practices results in cost duplication, unclear responsibilities, and reduced public value.</w:t>
      </w:r>
    </w:p>
    <w:p w14:paraId="66E2A9B7" w14:textId="77777777" w:rsidR="007942F2" w:rsidRDefault="007942F2" w:rsidP="007942F2">
      <w:pPr>
        <w:pStyle w:val="Heading2"/>
      </w:pPr>
      <w:r>
        <w:t>Problem Statement</w:t>
      </w:r>
    </w:p>
    <w:p w14:paraId="45272D2F" w14:textId="7C33F9C2" w:rsidR="007942F2" w:rsidRPr="007942F2" w:rsidRDefault="007942F2" w:rsidP="007942F2">
      <w:pPr>
        <w:pStyle w:val="BodyText"/>
      </w:pPr>
      <w:r w:rsidRPr="007942F2">
        <w:t>There is no shared reference that clearly defines the entities, capabilities, and structures used across systems. As a result, programmes are unable to align or reuse prior work, reducing effectiveness and increasing delivery risk.</w:t>
      </w: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8" w:name="Location_Appendices"/>
      <w:bookmarkStart w:id="9" w:name="_Toc145049430"/>
      <w:bookmarkStart w:id="10" w:name="_Toc195791714"/>
      <w:bookmarkEnd w:id="8"/>
      <w:r>
        <w:lastRenderedPageBreak/>
        <w:t>Appendices</w:t>
      </w:r>
      <w:bookmarkEnd w:id="9"/>
      <w:bookmarkEnd w:id="10"/>
    </w:p>
    <w:p w14:paraId="2F89881E" w14:textId="1FCDE4B2" w:rsidR="000D0A25" w:rsidRDefault="005255FC" w:rsidP="005C7C13">
      <w:pPr>
        <w:pStyle w:val="Appendix"/>
      </w:pPr>
      <w:bookmarkStart w:id="11" w:name="_Toc145049431"/>
      <w:bookmarkStart w:id="12" w:name="_Toc195791715"/>
      <w:r w:rsidRPr="005C7C13">
        <w:t xml:space="preserve">Appendix A - </w:t>
      </w:r>
      <w:r w:rsidR="008C39DC" w:rsidRPr="005C7C13">
        <w:t>Document</w:t>
      </w:r>
      <w:r w:rsidR="00DA59D0" w:rsidRPr="005C7C13">
        <w:t xml:space="preserve"> Information</w:t>
      </w:r>
      <w:bookmarkEnd w:id="11"/>
      <w:bookmarkEnd w:id="1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3" w:name="_Toc195791716"/>
      <w:r>
        <w:t>Versions</w:t>
      </w:r>
      <w:bookmarkEnd w:id="1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4" w:name="_Toc195791717"/>
      <w:r>
        <w:t>Images</w:t>
      </w:r>
      <w:bookmarkEnd w:id="14"/>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5" w:name="_Toc195791718"/>
      <w:r w:rsidRPr="001E2299">
        <w:t>Tables</w:t>
      </w:r>
      <w:bookmarkEnd w:id="15"/>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6" w:name="_Toc195791719"/>
      <w:r>
        <w:t>References</w:t>
      </w:r>
      <w:bookmarkEnd w:id="1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7" w:name="_Toc195791720"/>
      <w:r>
        <w:t>Review Distribution</w:t>
      </w:r>
      <w:bookmarkEnd w:id="1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9" w:name="_Toc195791721"/>
      <w:bookmarkEnd w:id="18"/>
      <w:r>
        <w:t>Audience</w:t>
      </w:r>
      <w:bookmarkEnd w:id="1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0" w:name="_Toc195791722"/>
      <w:r>
        <w:t>Structure</w:t>
      </w:r>
      <w:bookmarkEnd w:id="2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1" w:name="_Toc195791723"/>
      <w:r>
        <w:lastRenderedPageBreak/>
        <w:t>Diagrams</w:t>
      </w:r>
      <w:bookmarkEnd w:id="21"/>
    </w:p>
    <w:p w14:paraId="65008B06" w14:textId="1507D50E" w:rsidR="00660C49" w:rsidRDefault="00660C49" w:rsidP="008C39DC">
      <w:pPr>
        <w:pStyle w:val="BodyText"/>
      </w:pPr>
      <w:bookmarkStart w:id="2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3" w:name="_Hlk174689663"/>
      <w:bookmarkStart w:id="24" w:name="_Toc195791724"/>
      <w:bookmarkEnd w:id="22"/>
      <w:r>
        <w:t>Acronyms</w:t>
      </w:r>
      <w:bookmarkEnd w:id="24"/>
    </w:p>
    <w:p w14:paraId="3FF05247" w14:textId="77777777" w:rsidR="00A8163B" w:rsidRPr="00A8163B" w:rsidRDefault="00A8163B" w:rsidP="006D133E">
      <w:pPr>
        <w:pStyle w:val="Term-Def"/>
        <w:rPr>
          <w:vanish/>
          <w:specVanish/>
        </w:rPr>
      </w:pPr>
      <w:bookmarkStart w:id="25" w:name="Acronym_API"/>
      <w:bookmarkEnd w:id="25"/>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6" w:name="Acronym_GUI"/>
      <w:bookmarkEnd w:id="26"/>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7" w:name="Acronym_UI"/>
      <w:bookmarkStart w:id="28" w:name="Acronym_ICT"/>
      <w:bookmarkEnd w:id="27"/>
      <w:bookmarkEnd w:id="28"/>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9" w:name="Acronym_IT"/>
      <w:bookmarkEnd w:id="29"/>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0" w:name="_Toc195791725"/>
      <w:r>
        <w:t>Terms</w:t>
      </w:r>
      <w:bookmarkEnd w:id="3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1" w:name="Term_ApplicationProgrammingInterface"/>
      <w:bookmarkEnd w:id="31"/>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2" w:name="Term_User"/>
      <w:bookmarkEnd w:id="32"/>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3" w:name="Term_UserInterface"/>
      <w:bookmarkEnd w:id="33"/>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4F73" w14:textId="77777777" w:rsidR="00245E6E" w:rsidRDefault="00245E6E" w:rsidP="0021141C">
      <w:pPr>
        <w:spacing w:before="0" w:after="0" w:line="240" w:lineRule="auto"/>
      </w:pPr>
      <w:r>
        <w:separator/>
      </w:r>
    </w:p>
    <w:p w14:paraId="351DEDC8" w14:textId="77777777" w:rsidR="00245E6E" w:rsidRDefault="00245E6E"/>
  </w:endnote>
  <w:endnote w:type="continuationSeparator" w:id="0">
    <w:p w14:paraId="73A5C091" w14:textId="77777777" w:rsidR="00245E6E" w:rsidRDefault="00245E6E" w:rsidP="0021141C">
      <w:pPr>
        <w:spacing w:before="0" w:after="0" w:line="240" w:lineRule="auto"/>
      </w:pPr>
      <w:r>
        <w:continuationSeparator/>
      </w:r>
    </w:p>
    <w:p w14:paraId="38D96526" w14:textId="77777777" w:rsidR="00245E6E" w:rsidRDefault="00245E6E"/>
  </w:endnote>
  <w:endnote w:type="continuationNotice" w:id="1">
    <w:p w14:paraId="2F6C101D" w14:textId="77777777" w:rsidR="00245E6E" w:rsidRDefault="00245E6E">
      <w:pPr>
        <w:spacing w:before="0" w:after="0" w:line="240" w:lineRule="auto"/>
      </w:pPr>
    </w:p>
    <w:p w14:paraId="5FB2F915" w14:textId="77777777" w:rsidR="00245E6E" w:rsidRDefault="00245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9DD3" w14:textId="77777777" w:rsidR="00245E6E" w:rsidRDefault="00245E6E" w:rsidP="0021141C">
      <w:pPr>
        <w:spacing w:before="0" w:after="0" w:line="240" w:lineRule="auto"/>
      </w:pPr>
      <w:r>
        <w:separator/>
      </w:r>
    </w:p>
    <w:p w14:paraId="351995CC" w14:textId="77777777" w:rsidR="00245E6E" w:rsidRDefault="00245E6E"/>
  </w:footnote>
  <w:footnote w:type="continuationSeparator" w:id="0">
    <w:p w14:paraId="2B01572D" w14:textId="77777777" w:rsidR="00245E6E" w:rsidRDefault="00245E6E" w:rsidP="0021141C">
      <w:pPr>
        <w:spacing w:before="0" w:after="0" w:line="240" w:lineRule="auto"/>
      </w:pPr>
      <w:r>
        <w:continuationSeparator/>
      </w:r>
    </w:p>
    <w:p w14:paraId="6D7A1A02" w14:textId="77777777" w:rsidR="00245E6E" w:rsidRDefault="00245E6E"/>
  </w:footnote>
  <w:footnote w:type="continuationNotice" w:id="1">
    <w:p w14:paraId="66F63272" w14:textId="77777777" w:rsidR="00245E6E" w:rsidRDefault="00245E6E">
      <w:pPr>
        <w:spacing w:before="0" w:after="0" w:line="240" w:lineRule="auto"/>
      </w:pPr>
    </w:p>
    <w:p w14:paraId="0DFA3728" w14:textId="77777777" w:rsidR="00245E6E" w:rsidRDefault="00245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7</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46</cp:revision>
  <cp:lastPrinted>2022-08-02T15:33:00Z</cp:lastPrinted>
  <dcterms:created xsi:type="dcterms:W3CDTF">2023-09-07T03:51:00Z</dcterms:created>
  <dcterms:modified xsi:type="dcterms:W3CDTF">2025-04-17T02:19:00Z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