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7B6B75D6" w:rsidR="008C39DC" w:rsidRDefault="00DA03E7" w:rsidP="008C39DC">
      <w:pPr>
        <w:pStyle w:val="Subtitle"/>
      </w:pPr>
      <w:r>
        <w:t>Documentation: Users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533F7659" w:rsidR="00AE2E49" w:rsidRDefault="00DA03E7" w:rsidP="00AE2E49">
      <w:pPr>
        <w:pStyle w:val="BodyText"/>
      </w:pPr>
      <w:r>
        <w:t xml:space="preserve">Following the Four Document Model, </w:t>
      </w:r>
      <w:proofErr w:type="spellStart"/>
      <w:r>
        <w:t>Tutorials,HowTos</w:t>
      </w:r>
      <w:proofErr w:type="spellEnd"/>
      <w:r>
        <w:t xml:space="preserve">, Explanation and Reference artefacts are developed for system end users. 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69E819AA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DA03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44AC264C" w:rsidR="00E8314C" w:rsidRDefault="00E8314C" w:rsidP="00DA59D0">
      <w:pPr>
        <w:pStyle w:val="BodyText"/>
      </w:pPr>
    </w:p>
    <w:p w14:paraId="1B461604" w14:textId="4DC2F174" w:rsidR="00DA03E7" w:rsidRDefault="00DA03E7" w:rsidP="00DA59D0">
      <w:pPr>
        <w:pStyle w:val="BodyText"/>
      </w:pPr>
      <w:r>
        <w:t>Four Document Model</w:t>
      </w:r>
    </w:p>
    <w:p w14:paraId="7EF2681E" w14:textId="77777777" w:rsidR="00DA03E7" w:rsidRDefault="00DA03E7" w:rsidP="00DA03E7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511AD525" wp14:editId="635D71C9">
            <wp:extent cx="3893395" cy="2190750"/>
            <wp:effectExtent l="0" t="0" r="0" b="0"/>
            <wp:docPr id="7" name="Picture 7" descr="My Problem With the Four-Documen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Problem With the Four-Document Mode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59" cy="219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BB31" w14:textId="1F59F247" w:rsidR="00DA03E7" w:rsidRDefault="00DA03E7" w:rsidP="00DA03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Four Document Model</w:t>
      </w:r>
    </w:p>
    <w:p w14:paraId="6B94BCCA" w14:textId="6742B698" w:rsidR="00DA03E7" w:rsidRDefault="00DA03E7" w:rsidP="00DA03E7">
      <w:pPr>
        <w:pStyle w:val="BodyText"/>
      </w:pPr>
      <w:r>
        <w:t>Background</w:t>
      </w:r>
    </w:p>
    <w:p w14:paraId="0563DE75" w14:textId="72309B4E" w:rsidR="00DA03E7" w:rsidRDefault="00DA03E7" w:rsidP="00DA03E7">
      <w:pPr>
        <w:pStyle w:val="BodyText"/>
      </w:pPr>
      <w:r>
        <w:t>Background documents are learning oriented.</w:t>
      </w:r>
    </w:p>
    <w:p w14:paraId="117374E0" w14:textId="441B7F61" w:rsidR="00DA03E7" w:rsidRDefault="00DA03E7" w:rsidP="00DA03E7">
      <w:pPr>
        <w:pStyle w:val="BodyText"/>
      </w:pPr>
      <w:r>
        <w:t>Tutorials</w:t>
      </w:r>
    </w:p>
    <w:p w14:paraId="6DF27896" w14:textId="676D7315" w:rsidR="00DA03E7" w:rsidRDefault="00DA03E7" w:rsidP="00DA03E7">
      <w:pPr>
        <w:pStyle w:val="BodyText"/>
      </w:pPr>
      <w:r>
        <w:t>How To Guides</w:t>
      </w:r>
    </w:p>
    <w:p w14:paraId="6CE4D5E7" w14:textId="0E40CE9B" w:rsidR="00DA03E7" w:rsidRDefault="00DA03E7" w:rsidP="00DA03E7">
      <w:pPr>
        <w:pStyle w:val="BodyText"/>
      </w:pPr>
      <w:r>
        <w:t>How To documents are problem solving oriented.</w:t>
      </w:r>
    </w:p>
    <w:p w14:paraId="25748ED1" w14:textId="77777777" w:rsidR="00DA03E7" w:rsidRDefault="00DA03E7" w:rsidP="00DA03E7">
      <w:pPr>
        <w:pStyle w:val="BodyText"/>
      </w:pPr>
      <w:r>
        <w:t xml:space="preserve">Explanation </w:t>
      </w:r>
    </w:p>
    <w:p w14:paraId="7FF1A462" w14:textId="0AD6A465" w:rsidR="00DA03E7" w:rsidRDefault="00DA03E7" w:rsidP="00DA03E7">
      <w:pPr>
        <w:pStyle w:val="BodyText"/>
      </w:pPr>
      <w:r>
        <w:t>Explanation documents are understanding oriented.</w:t>
      </w:r>
      <w:r>
        <w:br/>
        <w:t>Reference</w:t>
      </w:r>
    </w:p>
    <w:p w14:paraId="31861790" w14:textId="77663502" w:rsidR="00DA03E7" w:rsidRDefault="00DA03E7" w:rsidP="00DA03E7">
      <w:pPr>
        <w:pStyle w:val="BodyText"/>
      </w:pPr>
      <w:r>
        <w:t>Reference documents are information oriented.</w:t>
      </w:r>
    </w:p>
    <w:p w14:paraId="329712CB" w14:textId="77777777" w:rsidR="00DA03E7" w:rsidRPr="00DA59D0" w:rsidRDefault="00DA03E7" w:rsidP="00DA03E7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38CB33FE" w14:textId="25209161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AE0EA" w14:textId="77777777" w:rsidR="002B777C" w:rsidRDefault="002B777C" w:rsidP="0021141C">
      <w:pPr>
        <w:spacing w:before="0" w:after="0" w:line="240" w:lineRule="auto"/>
      </w:pPr>
      <w:r>
        <w:separator/>
      </w:r>
    </w:p>
    <w:p w14:paraId="742342AD" w14:textId="77777777" w:rsidR="002B777C" w:rsidRDefault="002B777C"/>
  </w:endnote>
  <w:endnote w:type="continuationSeparator" w:id="0">
    <w:p w14:paraId="34B8703F" w14:textId="77777777" w:rsidR="002B777C" w:rsidRDefault="002B777C" w:rsidP="0021141C">
      <w:pPr>
        <w:spacing w:before="0" w:after="0" w:line="240" w:lineRule="auto"/>
      </w:pPr>
      <w:r>
        <w:continuationSeparator/>
      </w:r>
    </w:p>
    <w:p w14:paraId="22B6F39C" w14:textId="77777777" w:rsidR="002B777C" w:rsidRDefault="002B777C"/>
  </w:endnote>
  <w:endnote w:type="continuationNotice" w:id="1">
    <w:p w14:paraId="753F6F4C" w14:textId="77777777" w:rsidR="002B777C" w:rsidRDefault="002B777C">
      <w:pPr>
        <w:spacing w:before="0" w:after="0" w:line="240" w:lineRule="auto"/>
      </w:pPr>
    </w:p>
    <w:p w14:paraId="1D9DADF9" w14:textId="77777777" w:rsidR="002B777C" w:rsidRDefault="002B77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29E3" w14:textId="77777777" w:rsidR="002B777C" w:rsidRDefault="002B777C" w:rsidP="0021141C">
      <w:pPr>
        <w:spacing w:before="0" w:after="0" w:line="240" w:lineRule="auto"/>
      </w:pPr>
      <w:r>
        <w:separator/>
      </w:r>
    </w:p>
    <w:p w14:paraId="0D51B452" w14:textId="77777777" w:rsidR="002B777C" w:rsidRDefault="002B777C"/>
  </w:footnote>
  <w:footnote w:type="continuationSeparator" w:id="0">
    <w:p w14:paraId="3E66C0FC" w14:textId="77777777" w:rsidR="002B777C" w:rsidRDefault="002B777C" w:rsidP="0021141C">
      <w:pPr>
        <w:spacing w:before="0" w:after="0" w:line="240" w:lineRule="auto"/>
      </w:pPr>
      <w:r>
        <w:continuationSeparator/>
      </w:r>
    </w:p>
    <w:p w14:paraId="07065393" w14:textId="77777777" w:rsidR="002B777C" w:rsidRDefault="002B777C"/>
  </w:footnote>
  <w:footnote w:type="continuationNotice" w:id="1">
    <w:p w14:paraId="3A9AC6EE" w14:textId="77777777" w:rsidR="002B777C" w:rsidRDefault="002B777C">
      <w:pPr>
        <w:spacing w:before="0" w:after="0" w:line="240" w:lineRule="auto"/>
      </w:pPr>
    </w:p>
    <w:p w14:paraId="5ECE5BF8" w14:textId="77777777" w:rsidR="002B777C" w:rsidRDefault="002B77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012A23"/>
    <w:multiLevelType w:val="hybridMultilevel"/>
    <w:tmpl w:val="E7761ED6"/>
    <w:lvl w:ilvl="0" w:tplc="F5DA42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  <w:num w:numId="35" w16cid:durableId="1115322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77C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03E7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