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C16B967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633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633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633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633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6335C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6335C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6335C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6335C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8732F7">
        <w:fldChar w:fldCharType="begin"/>
      </w:r>
      <w:r w:rsidR="008732F7">
        <w:instrText xml:space="preserve"> SEQ Figure \* ARABIC </w:instrText>
      </w:r>
      <w:r w:rsidR="008732F7">
        <w:fldChar w:fldCharType="separate"/>
      </w:r>
      <w:r w:rsidR="00F929E7">
        <w:rPr>
          <w:noProof/>
        </w:rPr>
        <w:t>1</w:t>
      </w:r>
      <w:r w:rsidR="008732F7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8732F7">
        <w:fldChar w:fldCharType="begin"/>
      </w:r>
      <w:r w:rsidR="008732F7">
        <w:instrText xml:space="preserve"> SEQ Table \* ARABIC </w:instrText>
      </w:r>
      <w:r w:rsidR="008732F7">
        <w:fldChar w:fldCharType="separate"/>
      </w:r>
      <w:r w:rsidR="00C559C1">
        <w:rPr>
          <w:noProof/>
        </w:rPr>
        <w:t>1</w:t>
      </w:r>
      <w:r w:rsidR="008732F7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8732F7">
        <w:fldChar w:fldCharType="begin"/>
      </w:r>
      <w:r w:rsidR="008732F7">
        <w:instrText xml:space="preserve"> SEQ Table \* ARABIC </w:instrText>
      </w:r>
      <w:r w:rsidR="008732F7">
        <w:fldChar w:fldCharType="separate"/>
      </w:r>
      <w:r>
        <w:rPr>
          <w:noProof/>
        </w:rPr>
        <w:t>2</w:t>
      </w:r>
      <w:r w:rsidR="008732F7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779D644D" w14:textId="05578854" w:rsidR="008732F7" w:rsidRDefault="008732F7" w:rsidP="00E87D24">
      <w:pPr>
        <w:pStyle w:val="Heading3"/>
      </w:pPr>
      <w:r>
        <w:t>Authors &amp; Collaborators</w:t>
      </w:r>
    </w:p>
    <w:p w14:paraId="7AA84DFB" w14:textId="128C44B9" w:rsidR="008732F7" w:rsidRPr="008732F7" w:rsidRDefault="008732F7" w:rsidP="008732F7">
      <w:pPr>
        <w:pStyle w:val="BodyText"/>
      </w:pPr>
      <w:r>
        <w:t>Sky Sigal, Solution Architect</w:t>
      </w:r>
      <w:r>
        <w:br/>
      </w:r>
    </w:p>
    <w:p w14:paraId="38CB33FE" w14:textId="404D7C1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6335CD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lastRenderedPageBreak/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6335C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20EB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35C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55A39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2F7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