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5B2BA8B" w:rsidR="008C39DC" w:rsidRDefault="008C39DC" w:rsidP="008C39DC">
      <w:pPr>
        <w:pStyle w:val="Title"/>
      </w:pPr>
      <w:r>
        <w:t>IT Project</w:t>
      </w:r>
      <w:r w:rsidR="00902E32">
        <w:t xml:space="preserve"> Guidance</w:t>
      </w:r>
    </w:p>
    <w:p w14:paraId="39614DFE" w14:textId="7CE82443" w:rsidR="008C39DC" w:rsidRDefault="00902E32" w:rsidP="008C39DC">
      <w:pPr>
        <w:pStyle w:val="Subtitle"/>
      </w:pPr>
      <w:r>
        <w:t>On Cross System User Attribute Resolution (II)</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1921408"/>
      <w:r w:rsidR="00BA5D9F">
        <w:t>Purpose</w:t>
      </w:r>
      <w:bookmarkEnd w:id="0"/>
    </w:p>
    <w:p w14:paraId="3C3008D7" w14:textId="56D5EE30" w:rsidR="00AE2E49" w:rsidRDefault="00C87630" w:rsidP="00921365">
      <w:pPr>
        <w:pStyle w:val="BodyText"/>
      </w:pPr>
      <w:r w:rsidRPr="00C87630">
        <w:t>This guidance addresses the correct handling of user identity and persona attributes during the establishment of authenticated sessions. It explains the move away from in-system authentication, outlines modern identity practices using external IdPs, and provides guidance on handling contextual information such as group memberships and roles.</w:t>
      </w:r>
    </w:p>
    <w:p w14:paraId="0F00AFD8" w14:textId="77777777" w:rsidR="00AE2E49" w:rsidRDefault="00AE2E49" w:rsidP="00AE2E49">
      <w:pPr>
        <w:pStyle w:val="Heading2"/>
      </w:pPr>
      <w:bookmarkStart w:id="1" w:name="_Toc201921409"/>
      <w:r>
        <w:t>Synopsis</w:t>
      </w:r>
      <w:bookmarkEnd w:id="1"/>
    </w:p>
    <w:p w14:paraId="491132A4" w14:textId="4B48F86A" w:rsidR="00921365" w:rsidRPr="00921365" w:rsidRDefault="00C87630" w:rsidP="00921365">
      <w:pPr>
        <w:pStyle w:val="BodyText"/>
      </w:pPr>
      <w:r w:rsidRPr="00C87630">
        <w:t>While authentication is now typically delegated to external identity providers (IdPs), application developers still face the challenge of correctly collecting, interpreting, and storing identity and context attributes. This document clarifies what should and should not be expected from an IdP, explains how to associate multiple identifiers to a single user, and presents best-practice onboarding flows to ensure both accuracy and privacy are maintained over time.</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1921410"/>
      <w:r>
        <w:lastRenderedPageBreak/>
        <w:t>Contents</w:t>
      </w:r>
      <w:bookmarkEnd w:id="2"/>
      <w:bookmarkEnd w:id="3"/>
    </w:p>
    <w:p w14:paraId="54007627" w14:textId="1FC91759" w:rsidR="006D419F"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1921408" w:history="1">
        <w:r w:rsidR="006D419F" w:rsidRPr="00007560">
          <w:rPr>
            <w:rStyle w:val="Hyperlink"/>
            <w:noProof/>
          </w:rPr>
          <w:t>Purpose</w:t>
        </w:r>
        <w:r w:rsidR="006D419F">
          <w:rPr>
            <w:noProof/>
            <w:webHidden/>
          </w:rPr>
          <w:tab/>
        </w:r>
        <w:r w:rsidR="006D419F">
          <w:rPr>
            <w:noProof/>
            <w:webHidden/>
          </w:rPr>
          <w:fldChar w:fldCharType="begin"/>
        </w:r>
        <w:r w:rsidR="006D419F">
          <w:rPr>
            <w:noProof/>
            <w:webHidden/>
          </w:rPr>
          <w:instrText xml:space="preserve"> PAGEREF _Toc201921408 \h </w:instrText>
        </w:r>
        <w:r w:rsidR="006D419F">
          <w:rPr>
            <w:noProof/>
            <w:webHidden/>
          </w:rPr>
        </w:r>
        <w:r w:rsidR="006D419F">
          <w:rPr>
            <w:noProof/>
            <w:webHidden/>
          </w:rPr>
          <w:fldChar w:fldCharType="separate"/>
        </w:r>
        <w:r w:rsidR="006D419F">
          <w:rPr>
            <w:noProof/>
            <w:webHidden/>
          </w:rPr>
          <w:t>1</w:t>
        </w:r>
        <w:r w:rsidR="006D419F">
          <w:rPr>
            <w:noProof/>
            <w:webHidden/>
          </w:rPr>
          <w:fldChar w:fldCharType="end"/>
        </w:r>
      </w:hyperlink>
    </w:p>
    <w:p w14:paraId="30C19EFE" w14:textId="4486760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09" w:history="1">
        <w:r w:rsidRPr="00007560">
          <w:rPr>
            <w:rStyle w:val="Hyperlink"/>
            <w:noProof/>
          </w:rPr>
          <w:t>Synopsis</w:t>
        </w:r>
        <w:r>
          <w:rPr>
            <w:noProof/>
            <w:webHidden/>
          </w:rPr>
          <w:tab/>
        </w:r>
        <w:r>
          <w:rPr>
            <w:noProof/>
            <w:webHidden/>
          </w:rPr>
          <w:fldChar w:fldCharType="begin"/>
        </w:r>
        <w:r>
          <w:rPr>
            <w:noProof/>
            <w:webHidden/>
          </w:rPr>
          <w:instrText xml:space="preserve"> PAGEREF _Toc201921409 \h </w:instrText>
        </w:r>
        <w:r>
          <w:rPr>
            <w:noProof/>
            <w:webHidden/>
          </w:rPr>
        </w:r>
        <w:r>
          <w:rPr>
            <w:noProof/>
            <w:webHidden/>
          </w:rPr>
          <w:fldChar w:fldCharType="separate"/>
        </w:r>
        <w:r>
          <w:rPr>
            <w:noProof/>
            <w:webHidden/>
          </w:rPr>
          <w:t>1</w:t>
        </w:r>
        <w:r>
          <w:rPr>
            <w:noProof/>
            <w:webHidden/>
          </w:rPr>
          <w:fldChar w:fldCharType="end"/>
        </w:r>
      </w:hyperlink>
    </w:p>
    <w:p w14:paraId="0EFD5489" w14:textId="77F3B21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0" w:history="1">
        <w:r w:rsidRPr="00007560">
          <w:rPr>
            <w:rStyle w:val="Hyperlink"/>
            <w:noProof/>
          </w:rPr>
          <w:t>Contents</w:t>
        </w:r>
        <w:r>
          <w:rPr>
            <w:noProof/>
            <w:webHidden/>
          </w:rPr>
          <w:tab/>
        </w:r>
        <w:r>
          <w:rPr>
            <w:noProof/>
            <w:webHidden/>
          </w:rPr>
          <w:fldChar w:fldCharType="begin"/>
        </w:r>
        <w:r>
          <w:rPr>
            <w:noProof/>
            <w:webHidden/>
          </w:rPr>
          <w:instrText xml:space="preserve"> PAGEREF _Toc201921410 \h </w:instrText>
        </w:r>
        <w:r>
          <w:rPr>
            <w:noProof/>
            <w:webHidden/>
          </w:rPr>
        </w:r>
        <w:r>
          <w:rPr>
            <w:noProof/>
            <w:webHidden/>
          </w:rPr>
          <w:fldChar w:fldCharType="separate"/>
        </w:r>
        <w:r>
          <w:rPr>
            <w:noProof/>
            <w:webHidden/>
          </w:rPr>
          <w:t>2</w:t>
        </w:r>
        <w:r>
          <w:rPr>
            <w:noProof/>
            <w:webHidden/>
          </w:rPr>
          <w:fldChar w:fldCharType="end"/>
        </w:r>
      </w:hyperlink>
    </w:p>
    <w:p w14:paraId="27A0D294" w14:textId="0291A15D"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1" w:history="1">
        <w:r w:rsidRPr="00007560">
          <w:rPr>
            <w:rStyle w:val="Hyperlink"/>
            <w:noProof/>
          </w:rPr>
          <w:t>Purpose and Audience</w:t>
        </w:r>
        <w:r>
          <w:rPr>
            <w:noProof/>
            <w:webHidden/>
          </w:rPr>
          <w:tab/>
        </w:r>
        <w:r>
          <w:rPr>
            <w:noProof/>
            <w:webHidden/>
          </w:rPr>
          <w:fldChar w:fldCharType="begin"/>
        </w:r>
        <w:r>
          <w:rPr>
            <w:noProof/>
            <w:webHidden/>
          </w:rPr>
          <w:instrText xml:space="preserve"> PAGEREF _Toc201921411 \h </w:instrText>
        </w:r>
        <w:r>
          <w:rPr>
            <w:noProof/>
            <w:webHidden/>
          </w:rPr>
        </w:r>
        <w:r>
          <w:rPr>
            <w:noProof/>
            <w:webHidden/>
          </w:rPr>
          <w:fldChar w:fldCharType="separate"/>
        </w:r>
        <w:r>
          <w:rPr>
            <w:noProof/>
            <w:webHidden/>
          </w:rPr>
          <w:t>4</w:t>
        </w:r>
        <w:r>
          <w:rPr>
            <w:noProof/>
            <w:webHidden/>
          </w:rPr>
          <w:fldChar w:fldCharType="end"/>
        </w:r>
      </w:hyperlink>
    </w:p>
    <w:p w14:paraId="5FBB4431" w14:textId="34EFE633"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2" w:history="1">
        <w:r w:rsidRPr="00007560">
          <w:rPr>
            <w:rStyle w:val="Hyperlink"/>
            <w:noProof/>
          </w:rPr>
          <w:t>Scope</w:t>
        </w:r>
        <w:r>
          <w:rPr>
            <w:noProof/>
            <w:webHidden/>
          </w:rPr>
          <w:tab/>
        </w:r>
        <w:r>
          <w:rPr>
            <w:noProof/>
            <w:webHidden/>
          </w:rPr>
          <w:fldChar w:fldCharType="begin"/>
        </w:r>
        <w:r>
          <w:rPr>
            <w:noProof/>
            <w:webHidden/>
          </w:rPr>
          <w:instrText xml:space="preserve"> PAGEREF _Toc201921412 \h </w:instrText>
        </w:r>
        <w:r>
          <w:rPr>
            <w:noProof/>
            <w:webHidden/>
          </w:rPr>
        </w:r>
        <w:r>
          <w:rPr>
            <w:noProof/>
            <w:webHidden/>
          </w:rPr>
          <w:fldChar w:fldCharType="separate"/>
        </w:r>
        <w:r>
          <w:rPr>
            <w:noProof/>
            <w:webHidden/>
          </w:rPr>
          <w:t>4</w:t>
        </w:r>
        <w:r>
          <w:rPr>
            <w:noProof/>
            <w:webHidden/>
          </w:rPr>
          <w:fldChar w:fldCharType="end"/>
        </w:r>
      </w:hyperlink>
    </w:p>
    <w:p w14:paraId="2E33F022" w14:textId="74DB9872"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3" w:history="1">
        <w:r w:rsidRPr="00007560">
          <w:rPr>
            <w:rStyle w:val="Hyperlink"/>
            <w:noProof/>
          </w:rPr>
          <w:t>Background</w:t>
        </w:r>
        <w:r>
          <w:rPr>
            <w:noProof/>
            <w:webHidden/>
          </w:rPr>
          <w:tab/>
        </w:r>
        <w:r>
          <w:rPr>
            <w:noProof/>
            <w:webHidden/>
          </w:rPr>
          <w:fldChar w:fldCharType="begin"/>
        </w:r>
        <w:r>
          <w:rPr>
            <w:noProof/>
            <w:webHidden/>
          </w:rPr>
          <w:instrText xml:space="preserve"> PAGEREF _Toc201921413 \h </w:instrText>
        </w:r>
        <w:r>
          <w:rPr>
            <w:noProof/>
            <w:webHidden/>
          </w:rPr>
        </w:r>
        <w:r>
          <w:rPr>
            <w:noProof/>
            <w:webHidden/>
          </w:rPr>
          <w:fldChar w:fldCharType="separate"/>
        </w:r>
        <w:r>
          <w:rPr>
            <w:noProof/>
            <w:webHidden/>
          </w:rPr>
          <w:t>4</w:t>
        </w:r>
        <w:r>
          <w:rPr>
            <w:noProof/>
            <w:webHidden/>
          </w:rPr>
          <w:fldChar w:fldCharType="end"/>
        </w:r>
      </w:hyperlink>
    </w:p>
    <w:p w14:paraId="19900426" w14:textId="7CE2CD88"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4" w:history="1">
        <w:r w:rsidRPr="00007560">
          <w:rPr>
            <w:rStyle w:val="Hyperlink"/>
            <w:noProof/>
          </w:rPr>
          <w:t>Historical Patterns: In-system Authentication</w:t>
        </w:r>
        <w:r>
          <w:rPr>
            <w:noProof/>
            <w:webHidden/>
          </w:rPr>
          <w:tab/>
        </w:r>
        <w:r>
          <w:rPr>
            <w:noProof/>
            <w:webHidden/>
          </w:rPr>
          <w:fldChar w:fldCharType="begin"/>
        </w:r>
        <w:r>
          <w:rPr>
            <w:noProof/>
            <w:webHidden/>
          </w:rPr>
          <w:instrText xml:space="preserve"> PAGEREF _Toc201921414 \h </w:instrText>
        </w:r>
        <w:r>
          <w:rPr>
            <w:noProof/>
            <w:webHidden/>
          </w:rPr>
        </w:r>
        <w:r>
          <w:rPr>
            <w:noProof/>
            <w:webHidden/>
          </w:rPr>
          <w:fldChar w:fldCharType="separate"/>
        </w:r>
        <w:r>
          <w:rPr>
            <w:noProof/>
            <w:webHidden/>
          </w:rPr>
          <w:t>5</w:t>
        </w:r>
        <w:r>
          <w:rPr>
            <w:noProof/>
            <w:webHidden/>
          </w:rPr>
          <w:fldChar w:fldCharType="end"/>
        </w:r>
      </w:hyperlink>
    </w:p>
    <w:p w14:paraId="44FBD755" w14:textId="1E07698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5" w:history="1">
        <w:r w:rsidRPr="00007560">
          <w:rPr>
            <w:rStyle w:val="Hyperlink"/>
            <w:noProof/>
          </w:rPr>
          <w:t>Current Authentication Patterns: Delegated Authentication</w:t>
        </w:r>
        <w:r>
          <w:rPr>
            <w:noProof/>
            <w:webHidden/>
          </w:rPr>
          <w:tab/>
        </w:r>
        <w:r>
          <w:rPr>
            <w:noProof/>
            <w:webHidden/>
          </w:rPr>
          <w:fldChar w:fldCharType="begin"/>
        </w:r>
        <w:r>
          <w:rPr>
            <w:noProof/>
            <w:webHidden/>
          </w:rPr>
          <w:instrText xml:space="preserve"> PAGEREF _Toc201921415 \h </w:instrText>
        </w:r>
        <w:r>
          <w:rPr>
            <w:noProof/>
            <w:webHidden/>
          </w:rPr>
        </w:r>
        <w:r>
          <w:rPr>
            <w:noProof/>
            <w:webHidden/>
          </w:rPr>
          <w:fldChar w:fldCharType="separate"/>
        </w:r>
        <w:r>
          <w:rPr>
            <w:noProof/>
            <w:webHidden/>
          </w:rPr>
          <w:t>5</w:t>
        </w:r>
        <w:r>
          <w:rPr>
            <w:noProof/>
            <w:webHidden/>
          </w:rPr>
          <w:fldChar w:fldCharType="end"/>
        </w:r>
      </w:hyperlink>
    </w:p>
    <w:p w14:paraId="0C80B432" w14:textId="2AA2B99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6" w:history="1">
        <w:r w:rsidRPr="00007560">
          <w:rPr>
            <w:rStyle w:val="Hyperlink"/>
            <w:noProof/>
          </w:rPr>
          <w:t>Current Authentication Patterns: Mixed Mode Authentication</w:t>
        </w:r>
        <w:r>
          <w:rPr>
            <w:noProof/>
            <w:webHidden/>
          </w:rPr>
          <w:tab/>
        </w:r>
        <w:r>
          <w:rPr>
            <w:noProof/>
            <w:webHidden/>
          </w:rPr>
          <w:fldChar w:fldCharType="begin"/>
        </w:r>
        <w:r>
          <w:rPr>
            <w:noProof/>
            <w:webHidden/>
          </w:rPr>
          <w:instrText xml:space="preserve"> PAGEREF _Toc201921416 \h </w:instrText>
        </w:r>
        <w:r>
          <w:rPr>
            <w:noProof/>
            <w:webHidden/>
          </w:rPr>
        </w:r>
        <w:r>
          <w:rPr>
            <w:noProof/>
            <w:webHidden/>
          </w:rPr>
          <w:fldChar w:fldCharType="separate"/>
        </w:r>
        <w:r>
          <w:rPr>
            <w:noProof/>
            <w:webHidden/>
          </w:rPr>
          <w:t>5</w:t>
        </w:r>
        <w:r>
          <w:rPr>
            <w:noProof/>
            <w:webHidden/>
          </w:rPr>
          <w:fldChar w:fldCharType="end"/>
        </w:r>
      </w:hyperlink>
    </w:p>
    <w:p w14:paraId="408D8D40" w14:textId="5997465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7" w:history="1">
        <w:r w:rsidRPr="00007560">
          <w:rPr>
            <w:rStyle w:val="Hyperlink"/>
            <w:noProof/>
          </w:rPr>
          <w:t>SaaS or SaaP</w:t>
        </w:r>
        <w:r>
          <w:rPr>
            <w:noProof/>
            <w:webHidden/>
          </w:rPr>
          <w:tab/>
        </w:r>
        <w:r>
          <w:rPr>
            <w:noProof/>
            <w:webHidden/>
          </w:rPr>
          <w:fldChar w:fldCharType="begin"/>
        </w:r>
        <w:r>
          <w:rPr>
            <w:noProof/>
            <w:webHidden/>
          </w:rPr>
          <w:instrText xml:space="preserve"> PAGEREF _Toc201921417 \h </w:instrText>
        </w:r>
        <w:r>
          <w:rPr>
            <w:noProof/>
            <w:webHidden/>
          </w:rPr>
        </w:r>
        <w:r>
          <w:rPr>
            <w:noProof/>
            <w:webHidden/>
          </w:rPr>
          <w:fldChar w:fldCharType="separate"/>
        </w:r>
        <w:r>
          <w:rPr>
            <w:noProof/>
            <w:webHidden/>
          </w:rPr>
          <w:t>6</w:t>
        </w:r>
        <w:r>
          <w:rPr>
            <w:noProof/>
            <w:webHidden/>
          </w:rPr>
          <w:fldChar w:fldCharType="end"/>
        </w:r>
      </w:hyperlink>
    </w:p>
    <w:p w14:paraId="117094BD" w14:textId="54D09478"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8" w:history="1">
        <w:r w:rsidRPr="00007560">
          <w:rPr>
            <w:rStyle w:val="Hyperlink"/>
            <w:noProof/>
          </w:rPr>
          <w:t>Foundational Concepts</w:t>
        </w:r>
        <w:r>
          <w:rPr>
            <w:noProof/>
            <w:webHidden/>
          </w:rPr>
          <w:tab/>
        </w:r>
        <w:r>
          <w:rPr>
            <w:noProof/>
            <w:webHidden/>
          </w:rPr>
          <w:fldChar w:fldCharType="begin"/>
        </w:r>
        <w:r>
          <w:rPr>
            <w:noProof/>
            <w:webHidden/>
          </w:rPr>
          <w:instrText xml:space="preserve"> PAGEREF _Toc201921418 \h </w:instrText>
        </w:r>
        <w:r>
          <w:rPr>
            <w:noProof/>
            <w:webHidden/>
          </w:rPr>
        </w:r>
        <w:r>
          <w:rPr>
            <w:noProof/>
            <w:webHidden/>
          </w:rPr>
          <w:fldChar w:fldCharType="separate"/>
        </w:r>
        <w:r>
          <w:rPr>
            <w:noProof/>
            <w:webHidden/>
          </w:rPr>
          <w:t>6</w:t>
        </w:r>
        <w:r>
          <w:rPr>
            <w:noProof/>
            <w:webHidden/>
          </w:rPr>
          <w:fldChar w:fldCharType="end"/>
        </w:r>
      </w:hyperlink>
    </w:p>
    <w:p w14:paraId="2706CAE3" w14:textId="005D027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9" w:history="1">
        <w:r w:rsidRPr="00007560">
          <w:rPr>
            <w:rStyle w:val="Hyperlink"/>
            <w:noProof/>
          </w:rPr>
          <w:t>Persons, Personas, Users and Identifiers</w:t>
        </w:r>
        <w:r>
          <w:rPr>
            <w:noProof/>
            <w:webHidden/>
          </w:rPr>
          <w:tab/>
        </w:r>
        <w:r>
          <w:rPr>
            <w:noProof/>
            <w:webHidden/>
          </w:rPr>
          <w:fldChar w:fldCharType="begin"/>
        </w:r>
        <w:r>
          <w:rPr>
            <w:noProof/>
            <w:webHidden/>
          </w:rPr>
          <w:instrText xml:space="preserve"> PAGEREF _Toc201921419 \h </w:instrText>
        </w:r>
        <w:r>
          <w:rPr>
            <w:noProof/>
            <w:webHidden/>
          </w:rPr>
        </w:r>
        <w:r>
          <w:rPr>
            <w:noProof/>
            <w:webHidden/>
          </w:rPr>
          <w:fldChar w:fldCharType="separate"/>
        </w:r>
        <w:r>
          <w:rPr>
            <w:noProof/>
            <w:webHidden/>
          </w:rPr>
          <w:t>7</w:t>
        </w:r>
        <w:r>
          <w:rPr>
            <w:noProof/>
            <w:webHidden/>
          </w:rPr>
          <w:fldChar w:fldCharType="end"/>
        </w:r>
      </w:hyperlink>
    </w:p>
    <w:p w14:paraId="4AA23118" w14:textId="22365B6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0" w:history="1">
        <w:r w:rsidRPr="00007560">
          <w:rPr>
            <w:rStyle w:val="Hyperlink"/>
            <w:noProof/>
          </w:rPr>
          <w:t>Attributes and Contextual Relationships</w:t>
        </w:r>
        <w:r>
          <w:rPr>
            <w:noProof/>
            <w:webHidden/>
          </w:rPr>
          <w:tab/>
        </w:r>
        <w:r>
          <w:rPr>
            <w:noProof/>
            <w:webHidden/>
          </w:rPr>
          <w:fldChar w:fldCharType="begin"/>
        </w:r>
        <w:r>
          <w:rPr>
            <w:noProof/>
            <w:webHidden/>
          </w:rPr>
          <w:instrText xml:space="preserve"> PAGEREF _Toc201921420 \h </w:instrText>
        </w:r>
        <w:r>
          <w:rPr>
            <w:noProof/>
            <w:webHidden/>
          </w:rPr>
        </w:r>
        <w:r>
          <w:rPr>
            <w:noProof/>
            <w:webHidden/>
          </w:rPr>
          <w:fldChar w:fldCharType="separate"/>
        </w:r>
        <w:r>
          <w:rPr>
            <w:noProof/>
            <w:webHidden/>
          </w:rPr>
          <w:t>9</w:t>
        </w:r>
        <w:r>
          <w:rPr>
            <w:noProof/>
            <w:webHidden/>
          </w:rPr>
          <w:fldChar w:fldCharType="end"/>
        </w:r>
      </w:hyperlink>
    </w:p>
    <w:p w14:paraId="4B423C43" w14:textId="4B40CE3E"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1" w:history="1">
        <w:r w:rsidRPr="00007560">
          <w:rPr>
            <w:rStyle w:val="Hyperlink"/>
            <w:noProof/>
          </w:rPr>
          <w:t>Entity Attributes</w:t>
        </w:r>
        <w:r>
          <w:rPr>
            <w:noProof/>
            <w:webHidden/>
          </w:rPr>
          <w:tab/>
        </w:r>
        <w:r>
          <w:rPr>
            <w:noProof/>
            <w:webHidden/>
          </w:rPr>
          <w:fldChar w:fldCharType="begin"/>
        </w:r>
        <w:r>
          <w:rPr>
            <w:noProof/>
            <w:webHidden/>
          </w:rPr>
          <w:instrText xml:space="preserve"> PAGEREF _Toc201921421 \h </w:instrText>
        </w:r>
        <w:r>
          <w:rPr>
            <w:noProof/>
            <w:webHidden/>
          </w:rPr>
        </w:r>
        <w:r>
          <w:rPr>
            <w:noProof/>
            <w:webHidden/>
          </w:rPr>
          <w:fldChar w:fldCharType="separate"/>
        </w:r>
        <w:r>
          <w:rPr>
            <w:noProof/>
            <w:webHidden/>
          </w:rPr>
          <w:t>9</w:t>
        </w:r>
        <w:r>
          <w:rPr>
            <w:noProof/>
            <w:webHidden/>
          </w:rPr>
          <w:fldChar w:fldCharType="end"/>
        </w:r>
      </w:hyperlink>
    </w:p>
    <w:p w14:paraId="470EA850" w14:textId="7402E1F1"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2" w:history="1">
        <w:r w:rsidRPr="00007560">
          <w:rPr>
            <w:rStyle w:val="Hyperlink"/>
            <w:noProof/>
          </w:rPr>
          <w:t>Relationship Attributes</w:t>
        </w:r>
        <w:r>
          <w:rPr>
            <w:noProof/>
            <w:webHidden/>
          </w:rPr>
          <w:tab/>
        </w:r>
        <w:r>
          <w:rPr>
            <w:noProof/>
            <w:webHidden/>
          </w:rPr>
          <w:fldChar w:fldCharType="begin"/>
        </w:r>
        <w:r>
          <w:rPr>
            <w:noProof/>
            <w:webHidden/>
          </w:rPr>
          <w:instrText xml:space="preserve"> PAGEREF _Toc201921422 \h </w:instrText>
        </w:r>
        <w:r>
          <w:rPr>
            <w:noProof/>
            <w:webHidden/>
          </w:rPr>
        </w:r>
        <w:r>
          <w:rPr>
            <w:noProof/>
            <w:webHidden/>
          </w:rPr>
          <w:fldChar w:fldCharType="separate"/>
        </w:r>
        <w:r>
          <w:rPr>
            <w:noProof/>
            <w:webHidden/>
          </w:rPr>
          <w:t>9</w:t>
        </w:r>
        <w:r>
          <w:rPr>
            <w:noProof/>
            <w:webHidden/>
          </w:rPr>
          <w:fldChar w:fldCharType="end"/>
        </w:r>
      </w:hyperlink>
    </w:p>
    <w:p w14:paraId="185BD3F7" w14:textId="771960D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3" w:history="1">
        <w:r w:rsidRPr="00007560">
          <w:rPr>
            <w:rStyle w:val="Hyperlink"/>
            <w:noProof/>
          </w:rPr>
          <w:t>Identity Attributes</w:t>
        </w:r>
        <w:r>
          <w:rPr>
            <w:noProof/>
            <w:webHidden/>
          </w:rPr>
          <w:tab/>
        </w:r>
        <w:r>
          <w:rPr>
            <w:noProof/>
            <w:webHidden/>
          </w:rPr>
          <w:fldChar w:fldCharType="begin"/>
        </w:r>
        <w:r>
          <w:rPr>
            <w:noProof/>
            <w:webHidden/>
          </w:rPr>
          <w:instrText xml:space="preserve"> PAGEREF _Toc201921423 \h </w:instrText>
        </w:r>
        <w:r>
          <w:rPr>
            <w:noProof/>
            <w:webHidden/>
          </w:rPr>
        </w:r>
        <w:r>
          <w:rPr>
            <w:noProof/>
            <w:webHidden/>
          </w:rPr>
          <w:fldChar w:fldCharType="separate"/>
        </w:r>
        <w:r>
          <w:rPr>
            <w:noProof/>
            <w:webHidden/>
          </w:rPr>
          <w:t>10</w:t>
        </w:r>
        <w:r>
          <w:rPr>
            <w:noProof/>
            <w:webHidden/>
          </w:rPr>
          <w:fldChar w:fldCharType="end"/>
        </w:r>
      </w:hyperlink>
    </w:p>
    <w:p w14:paraId="15DF6879" w14:textId="5B0F848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4" w:history="1">
        <w:r w:rsidRPr="00007560">
          <w:rPr>
            <w:rStyle w:val="Hyperlink"/>
            <w:noProof/>
          </w:rPr>
          <w:t>Misused Identifiers: A Note on False Universality</w:t>
        </w:r>
        <w:r>
          <w:rPr>
            <w:noProof/>
            <w:webHidden/>
          </w:rPr>
          <w:tab/>
        </w:r>
        <w:r>
          <w:rPr>
            <w:noProof/>
            <w:webHidden/>
          </w:rPr>
          <w:fldChar w:fldCharType="begin"/>
        </w:r>
        <w:r>
          <w:rPr>
            <w:noProof/>
            <w:webHidden/>
          </w:rPr>
          <w:instrText xml:space="preserve"> PAGEREF _Toc201921424 \h </w:instrText>
        </w:r>
        <w:r>
          <w:rPr>
            <w:noProof/>
            <w:webHidden/>
          </w:rPr>
        </w:r>
        <w:r>
          <w:rPr>
            <w:noProof/>
            <w:webHidden/>
          </w:rPr>
          <w:fldChar w:fldCharType="separate"/>
        </w:r>
        <w:r>
          <w:rPr>
            <w:noProof/>
            <w:webHidden/>
          </w:rPr>
          <w:t>11</w:t>
        </w:r>
        <w:r>
          <w:rPr>
            <w:noProof/>
            <w:webHidden/>
          </w:rPr>
          <w:fldChar w:fldCharType="end"/>
        </w:r>
      </w:hyperlink>
    </w:p>
    <w:p w14:paraId="36B7B736" w14:textId="7AD3655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5" w:history="1">
        <w:r w:rsidRPr="00007560">
          <w:rPr>
            <w:rStyle w:val="Hyperlink"/>
            <w:noProof/>
          </w:rPr>
          <w:t>Each System Has Its Own Users</w:t>
        </w:r>
        <w:r>
          <w:rPr>
            <w:noProof/>
            <w:webHidden/>
          </w:rPr>
          <w:tab/>
        </w:r>
        <w:r>
          <w:rPr>
            <w:noProof/>
            <w:webHidden/>
          </w:rPr>
          <w:fldChar w:fldCharType="begin"/>
        </w:r>
        <w:r>
          <w:rPr>
            <w:noProof/>
            <w:webHidden/>
          </w:rPr>
          <w:instrText xml:space="preserve"> PAGEREF _Toc201921425 \h </w:instrText>
        </w:r>
        <w:r>
          <w:rPr>
            <w:noProof/>
            <w:webHidden/>
          </w:rPr>
        </w:r>
        <w:r>
          <w:rPr>
            <w:noProof/>
            <w:webHidden/>
          </w:rPr>
          <w:fldChar w:fldCharType="separate"/>
        </w:r>
        <w:r>
          <w:rPr>
            <w:noProof/>
            <w:webHidden/>
          </w:rPr>
          <w:t>12</w:t>
        </w:r>
        <w:r>
          <w:rPr>
            <w:noProof/>
            <w:webHidden/>
          </w:rPr>
          <w:fldChar w:fldCharType="end"/>
        </w:r>
      </w:hyperlink>
    </w:p>
    <w:p w14:paraId="40FC5082" w14:textId="7E55B6F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6" w:history="1">
        <w:r w:rsidRPr="00007560">
          <w:rPr>
            <w:rStyle w:val="Hyperlink"/>
            <w:noProof/>
          </w:rPr>
          <w:t>Authorisation is Local</w:t>
        </w:r>
        <w:r>
          <w:rPr>
            <w:noProof/>
            <w:webHidden/>
          </w:rPr>
          <w:tab/>
        </w:r>
        <w:r>
          <w:rPr>
            <w:noProof/>
            <w:webHidden/>
          </w:rPr>
          <w:fldChar w:fldCharType="begin"/>
        </w:r>
        <w:r>
          <w:rPr>
            <w:noProof/>
            <w:webHidden/>
          </w:rPr>
          <w:instrText xml:space="preserve"> PAGEREF _Toc201921426 \h </w:instrText>
        </w:r>
        <w:r>
          <w:rPr>
            <w:noProof/>
            <w:webHidden/>
          </w:rPr>
        </w:r>
        <w:r>
          <w:rPr>
            <w:noProof/>
            <w:webHidden/>
          </w:rPr>
          <w:fldChar w:fldCharType="separate"/>
        </w:r>
        <w:r>
          <w:rPr>
            <w:noProof/>
            <w:webHidden/>
          </w:rPr>
          <w:t>13</w:t>
        </w:r>
        <w:r>
          <w:rPr>
            <w:noProof/>
            <w:webHidden/>
          </w:rPr>
          <w:fldChar w:fldCharType="end"/>
        </w:r>
      </w:hyperlink>
    </w:p>
    <w:p w14:paraId="2AA9666A" w14:textId="0E421EC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7" w:history="1">
        <w:r w:rsidRPr="00007560">
          <w:rPr>
            <w:rStyle w:val="Hyperlink"/>
            <w:noProof/>
          </w:rPr>
          <w:t>Identity (only) Brokering</w:t>
        </w:r>
        <w:r>
          <w:rPr>
            <w:noProof/>
            <w:webHidden/>
          </w:rPr>
          <w:tab/>
        </w:r>
        <w:r>
          <w:rPr>
            <w:noProof/>
            <w:webHidden/>
          </w:rPr>
          <w:fldChar w:fldCharType="begin"/>
        </w:r>
        <w:r>
          <w:rPr>
            <w:noProof/>
            <w:webHidden/>
          </w:rPr>
          <w:instrText xml:space="preserve"> PAGEREF _Toc201921427 \h </w:instrText>
        </w:r>
        <w:r>
          <w:rPr>
            <w:noProof/>
            <w:webHidden/>
          </w:rPr>
        </w:r>
        <w:r>
          <w:rPr>
            <w:noProof/>
            <w:webHidden/>
          </w:rPr>
          <w:fldChar w:fldCharType="separate"/>
        </w:r>
        <w:r>
          <w:rPr>
            <w:noProof/>
            <w:webHidden/>
          </w:rPr>
          <w:t>14</w:t>
        </w:r>
        <w:r>
          <w:rPr>
            <w:noProof/>
            <w:webHidden/>
          </w:rPr>
          <w:fldChar w:fldCharType="end"/>
        </w:r>
      </w:hyperlink>
    </w:p>
    <w:p w14:paraId="3FCACC85" w14:textId="3C1F7CE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8" w:history="1">
        <w:r w:rsidRPr="00007560">
          <w:rPr>
            <w:rStyle w:val="Hyperlink"/>
            <w:noProof/>
          </w:rPr>
          <w:t>Context Belongs Where It Is Created</w:t>
        </w:r>
        <w:r>
          <w:rPr>
            <w:noProof/>
            <w:webHidden/>
          </w:rPr>
          <w:tab/>
        </w:r>
        <w:r>
          <w:rPr>
            <w:noProof/>
            <w:webHidden/>
          </w:rPr>
          <w:fldChar w:fldCharType="begin"/>
        </w:r>
        <w:r>
          <w:rPr>
            <w:noProof/>
            <w:webHidden/>
          </w:rPr>
          <w:instrText xml:space="preserve"> PAGEREF _Toc201921428 \h </w:instrText>
        </w:r>
        <w:r>
          <w:rPr>
            <w:noProof/>
            <w:webHidden/>
          </w:rPr>
        </w:r>
        <w:r>
          <w:rPr>
            <w:noProof/>
            <w:webHidden/>
          </w:rPr>
          <w:fldChar w:fldCharType="separate"/>
        </w:r>
        <w:r>
          <w:rPr>
            <w:noProof/>
            <w:webHidden/>
          </w:rPr>
          <w:t>14</w:t>
        </w:r>
        <w:r>
          <w:rPr>
            <w:noProof/>
            <w:webHidden/>
          </w:rPr>
          <w:fldChar w:fldCharType="end"/>
        </w:r>
      </w:hyperlink>
    </w:p>
    <w:p w14:paraId="6214E640" w14:textId="7E687381"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29" w:history="1">
        <w:r w:rsidRPr="00007560">
          <w:rPr>
            <w:rStyle w:val="Hyperlink"/>
            <w:noProof/>
          </w:rPr>
          <w:t>Provisioning</w:t>
        </w:r>
        <w:r>
          <w:rPr>
            <w:noProof/>
            <w:webHidden/>
          </w:rPr>
          <w:tab/>
        </w:r>
        <w:r>
          <w:rPr>
            <w:noProof/>
            <w:webHidden/>
          </w:rPr>
          <w:fldChar w:fldCharType="begin"/>
        </w:r>
        <w:r>
          <w:rPr>
            <w:noProof/>
            <w:webHidden/>
          </w:rPr>
          <w:instrText xml:space="preserve"> PAGEREF _Toc201921429 \h </w:instrText>
        </w:r>
        <w:r>
          <w:rPr>
            <w:noProof/>
            <w:webHidden/>
          </w:rPr>
        </w:r>
        <w:r>
          <w:rPr>
            <w:noProof/>
            <w:webHidden/>
          </w:rPr>
          <w:fldChar w:fldCharType="separate"/>
        </w:r>
        <w:r>
          <w:rPr>
            <w:noProof/>
            <w:webHidden/>
          </w:rPr>
          <w:t>15</w:t>
        </w:r>
        <w:r>
          <w:rPr>
            <w:noProof/>
            <w:webHidden/>
          </w:rPr>
          <w:fldChar w:fldCharType="end"/>
        </w:r>
      </w:hyperlink>
    </w:p>
    <w:p w14:paraId="56D22095" w14:textId="443264D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0" w:history="1">
        <w:r w:rsidRPr="00007560">
          <w:rPr>
            <w:rStyle w:val="Hyperlink"/>
            <w:noProof/>
          </w:rPr>
          <w:t>Self-Provisioning</w:t>
        </w:r>
        <w:r>
          <w:rPr>
            <w:noProof/>
            <w:webHidden/>
          </w:rPr>
          <w:tab/>
        </w:r>
        <w:r>
          <w:rPr>
            <w:noProof/>
            <w:webHidden/>
          </w:rPr>
          <w:fldChar w:fldCharType="begin"/>
        </w:r>
        <w:r>
          <w:rPr>
            <w:noProof/>
            <w:webHidden/>
          </w:rPr>
          <w:instrText xml:space="preserve"> PAGEREF _Toc201921430 \h </w:instrText>
        </w:r>
        <w:r>
          <w:rPr>
            <w:noProof/>
            <w:webHidden/>
          </w:rPr>
        </w:r>
        <w:r>
          <w:rPr>
            <w:noProof/>
            <w:webHidden/>
          </w:rPr>
          <w:fldChar w:fldCharType="separate"/>
        </w:r>
        <w:r>
          <w:rPr>
            <w:noProof/>
            <w:webHidden/>
          </w:rPr>
          <w:t>15</w:t>
        </w:r>
        <w:r>
          <w:rPr>
            <w:noProof/>
            <w:webHidden/>
          </w:rPr>
          <w:fldChar w:fldCharType="end"/>
        </w:r>
      </w:hyperlink>
    </w:p>
    <w:p w14:paraId="5638CD38" w14:textId="2CBDE964"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1" w:history="1">
        <w:r w:rsidRPr="00007560">
          <w:rPr>
            <w:rStyle w:val="Hyperlink"/>
            <w:noProof/>
          </w:rPr>
          <w:t>Manual Provisioning</w:t>
        </w:r>
        <w:r>
          <w:rPr>
            <w:noProof/>
            <w:webHidden/>
          </w:rPr>
          <w:tab/>
        </w:r>
        <w:r>
          <w:rPr>
            <w:noProof/>
            <w:webHidden/>
          </w:rPr>
          <w:fldChar w:fldCharType="begin"/>
        </w:r>
        <w:r>
          <w:rPr>
            <w:noProof/>
            <w:webHidden/>
          </w:rPr>
          <w:instrText xml:space="preserve"> PAGEREF _Toc201921431 \h </w:instrText>
        </w:r>
        <w:r>
          <w:rPr>
            <w:noProof/>
            <w:webHidden/>
          </w:rPr>
        </w:r>
        <w:r>
          <w:rPr>
            <w:noProof/>
            <w:webHidden/>
          </w:rPr>
          <w:fldChar w:fldCharType="separate"/>
        </w:r>
        <w:r>
          <w:rPr>
            <w:noProof/>
            <w:webHidden/>
          </w:rPr>
          <w:t>16</w:t>
        </w:r>
        <w:r>
          <w:rPr>
            <w:noProof/>
            <w:webHidden/>
          </w:rPr>
          <w:fldChar w:fldCharType="end"/>
        </w:r>
      </w:hyperlink>
    </w:p>
    <w:p w14:paraId="5C25B60F" w14:textId="2B65991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2" w:history="1">
        <w:r w:rsidRPr="00007560">
          <w:rPr>
            <w:rStyle w:val="Hyperlink"/>
            <w:noProof/>
          </w:rPr>
          <w:t>Bulk Provisioning</w:t>
        </w:r>
        <w:r>
          <w:rPr>
            <w:noProof/>
            <w:webHidden/>
          </w:rPr>
          <w:tab/>
        </w:r>
        <w:r>
          <w:rPr>
            <w:noProof/>
            <w:webHidden/>
          </w:rPr>
          <w:fldChar w:fldCharType="begin"/>
        </w:r>
        <w:r>
          <w:rPr>
            <w:noProof/>
            <w:webHidden/>
          </w:rPr>
          <w:instrText xml:space="preserve"> PAGEREF _Toc201921432 \h </w:instrText>
        </w:r>
        <w:r>
          <w:rPr>
            <w:noProof/>
            <w:webHidden/>
          </w:rPr>
        </w:r>
        <w:r>
          <w:rPr>
            <w:noProof/>
            <w:webHidden/>
          </w:rPr>
          <w:fldChar w:fldCharType="separate"/>
        </w:r>
        <w:r>
          <w:rPr>
            <w:noProof/>
            <w:webHidden/>
          </w:rPr>
          <w:t>17</w:t>
        </w:r>
        <w:r>
          <w:rPr>
            <w:noProof/>
            <w:webHidden/>
          </w:rPr>
          <w:fldChar w:fldCharType="end"/>
        </w:r>
      </w:hyperlink>
    </w:p>
    <w:p w14:paraId="2DC639B0" w14:textId="6CED245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3" w:history="1">
        <w:r w:rsidRPr="00007560">
          <w:rPr>
            <w:rStyle w:val="Hyperlink"/>
            <w:noProof/>
          </w:rPr>
          <w:t>Email based Invitation Provisioning</w:t>
        </w:r>
        <w:r>
          <w:rPr>
            <w:noProof/>
            <w:webHidden/>
          </w:rPr>
          <w:tab/>
        </w:r>
        <w:r>
          <w:rPr>
            <w:noProof/>
            <w:webHidden/>
          </w:rPr>
          <w:fldChar w:fldCharType="begin"/>
        </w:r>
        <w:r>
          <w:rPr>
            <w:noProof/>
            <w:webHidden/>
          </w:rPr>
          <w:instrText xml:space="preserve"> PAGEREF _Toc201921433 \h </w:instrText>
        </w:r>
        <w:r>
          <w:rPr>
            <w:noProof/>
            <w:webHidden/>
          </w:rPr>
        </w:r>
        <w:r>
          <w:rPr>
            <w:noProof/>
            <w:webHidden/>
          </w:rPr>
          <w:fldChar w:fldCharType="separate"/>
        </w:r>
        <w:r>
          <w:rPr>
            <w:noProof/>
            <w:webHidden/>
          </w:rPr>
          <w:t>18</w:t>
        </w:r>
        <w:r>
          <w:rPr>
            <w:noProof/>
            <w:webHidden/>
          </w:rPr>
          <w:fldChar w:fldCharType="end"/>
        </w:r>
      </w:hyperlink>
    </w:p>
    <w:p w14:paraId="289FDF6B" w14:textId="61E34C2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4" w:history="1">
        <w:r w:rsidRPr="00007560">
          <w:rPr>
            <w:rStyle w:val="Hyperlink"/>
            <w:noProof/>
          </w:rPr>
          <w:t>Code Based Invitation Provisioning</w:t>
        </w:r>
        <w:r>
          <w:rPr>
            <w:noProof/>
            <w:webHidden/>
          </w:rPr>
          <w:tab/>
        </w:r>
        <w:r>
          <w:rPr>
            <w:noProof/>
            <w:webHidden/>
          </w:rPr>
          <w:fldChar w:fldCharType="begin"/>
        </w:r>
        <w:r>
          <w:rPr>
            <w:noProof/>
            <w:webHidden/>
          </w:rPr>
          <w:instrText xml:space="preserve"> PAGEREF _Toc201921434 \h </w:instrText>
        </w:r>
        <w:r>
          <w:rPr>
            <w:noProof/>
            <w:webHidden/>
          </w:rPr>
        </w:r>
        <w:r>
          <w:rPr>
            <w:noProof/>
            <w:webHidden/>
          </w:rPr>
          <w:fldChar w:fldCharType="separate"/>
        </w:r>
        <w:r>
          <w:rPr>
            <w:noProof/>
            <w:webHidden/>
          </w:rPr>
          <w:t>19</w:t>
        </w:r>
        <w:r>
          <w:rPr>
            <w:noProof/>
            <w:webHidden/>
          </w:rPr>
          <w:fldChar w:fldCharType="end"/>
        </w:r>
      </w:hyperlink>
    </w:p>
    <w:p w14:paraId="184AD47B" w14:textId="4F60529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5" w:history="1">
        <w:r w:rsidRPr="00007560">
          <w:rPr>
            <w:rStyle w:val="Hyperlink"/>
            <w:noProof/>
          </w:rPr>
          <w:t>SCIM-Based Provisioning</w:t>
        </w:r>
        <w:r>
          <w:rPr>
            <w:noProof/>
            <w:webHidden/>
          </w:rPr>
          <w:tab/>
        </w:r>
        <w:r>
          <w:rPr>
            <w:noProof/>
            <w:webHidden/>
          </w:rPr>
          <w:fldChar w:fldCharType="begin"/>
        </w:r>
        <w:r>
          <w:rPr>
            <w:noProof/>
            <w:webHidden/>
          </w:rPr>
          <w:instrText xml:space="preserve"> PAGEREF _Toc201921435 \h </w:instrText>
        </w:r>
        <w:r>
          <w:rPr>
            <w:noProof/>
            <w:webHidden/>
          </w:rPr>
        </w:r>
        <w:r>
          <w:rPr>
            <w:noProof/>
            <w:webHidden/>
          </w:rPr>
          <w:fldChar w:fldCharType="separate"/>
        </w:r>
        <w:r>
          <w:rPr>
            <w:noProof/>
            <w:webHidden/>
          </w:rPr>
          <w:t>19</w:t>
        </w:r>
        <w:r>
          <w:rPr>
            <w:noProof/>
            <w:webHidden/>
          </w:rPr>
          <w:fldChar w:fldCharType="end"/>
        </w:r>
      </w:hyperlink>
    </w:p>
    <w:p w14:paraId="09C6268A" w14:textId="0C15488C"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6" w:history="1">
        <w:r w:rsidRPr="00007560">
          <w:rPr>
            <w:rStyle w:val="Hyperlink"/>
            <w:noProof/>
          </w:rPr>
          <w:t>Considerations: Early Identity Matching via Sector Identifiers</w:t>
        </w:r>
        <w:r>
          <w:rPr>
            <w:noProof/>
            <w:webHidden/>
          </w:rPr>
          <w:tab/>
        </w:r>
        <w:r>
          <w:rPr>
            <w:noProof/>
            <w:webHidden/>
          </w:rPr>
          <w:fldChar w:fldCharType="begin"/>
        </w:r>
        <w:r>
          <w:rPr>
            <w:noProof/>
            <w:webHidden/>
          </w:rPr>
          <w:instrText xml:space="preserve"> PAGEREF _Toc201921436 \h </w:instrText>
        </w:r>
        <w:r>
          <w:rPr>
            <w:noProof/>
            <w:webHidden/>
          </w:rPr>
        </w:r>
        <w:r>
          <w:rPr>
            <w:noProof/>
            <w:webHidden/>
          </w:rPr>
          <w:fldChar w:fldCharType="separate"/>
        </w:r>
        <w:r>
          <w:rPr>
            <w:noProof/>
            <w:webHidden/>
          </w:rPr>
          <w:t>20</w:t>
        </w:r>
        <w:r>
          <w:rPr>
            <w:noProof/>
            <w:webHidden/>
          </w:rPr>
          <w:fldChar w:fldCharType="end"/>
        </w:r>
      </w:hyperlink>
    </w:p>
    <w:p w14:paraId="11C123EC" w14:textId="114A990B"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37" w:history="1">
        <w:r w:rsidRPr="00007560">
          <w:rPr>
            <w:rStyle w:val="Hyperlink"/>
            <w:noProof/>
          </w:rPr>
          <w:t>Guiding Principles</w:t>
        </w:r>
        <w:r>
          <w:rPr>
            <w:noProof/>
            <w:webHidden/>
          </w:rPr>
          <w:tab/>
        </w:r>
        <w:r>
          <w:rPr>
            <w:noProof/>
            <w:webHidden/>
          </w:rPr>
          <w:fldChar w:fldCharType="begin"/>
        </w:r>
        <w:r>
          <w:rPr>
            <w:noProof/>
            <w:webHidden/>
          </w:rPr>
          <w:instrText xml:space="preserve"> PAGEREF _Toc201921437 \h </w:instrText>
        </w:r>
        <w:r>
          <w:rPr>
            <w:noProof/>
            <w:webHidden/>
          </w:rPr>
        </w:r>
        <w:r>
          <w:rPr>
            <w:noProof/>
            <w:webHidden/>
          </w:rPr>
          <w:fldChar w:fldCharType="separate"/>
        </w:r>
        <w:r>
          <w:rPr>
            <w:noProof/>
            <w:webHidden/>
          </w:rPr>
          <w:t>21</w:t>
        </w:r>
        <w:r>
          <w:rPr>
            <w:noProof/>
            <w:webHidden/>
          </w:rPr>
          <w:fldChar w:fldCharType="end"/>
        </w:r>
      </w:hyperlink>
    </w:p>
    <w:p w14:paraId="398BD985" w14:textId="482C590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8" w:history="1">
        <w:r w:rsidRPr="00007560">
          <w:rPr>
            <w:rStyle w:val="Hyperlink"/>
            <w:noProof/>
          </w:rPr>
          <w:t>Identity is not Context</w:t>
        </w:r>
        <w:r>
          <w:rPr>
            <w:noProof/>
            <w:webHidden/>
          </w:rPr>
          <w:tab/>
        </w:r>
        <w:r>
          <w:rPr>
            <w:noProof/>
            <w:webHidden/>
          </w:rPr>
          <w:fldChar w:fldCharType="begin"/>
        </w:r>
        <w:r>
          <w:rPr>
            <w:noProof/>
            <w:webHidden/>
          </w:rPr>
          <w:instrText xml:space="preserve"> PAGEREF _Toc201921438 \h </w:instrText>
        </w:r>
        <w:r>
          <w:rPr>
            <w:noProof/>
            <w:webHidden/>
          </w:rPr>
        </w:r>
        <w:r>
          <w:rPr>
            <w:noProof/>
            <w:webHidden/>
          </w:rPr>
          <w:fldChar w:fldCharType="separate"/>
        </w:r>
        <w:r>
          <w:rPr>
            <w:noProof/>
            <w:webHidden/>
          </w:rPr>
          <w:t>21</w:t>
        </w:r>
        <w:r>
          <w:rPr>
            <w:noProof/>
            <w:webHidden/>
          </w:rPr>
          <w:fldChar w:fldCharType="end"/>
        </w:r>
      </w:hyperlink>
    </w:p>
    <w:p w14:paraId="4524936A" w14:textId="3A241C9B"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9" w:history="1">
        <w:r w:rsidRPr="00007560">
          <w:rPr>
            <w:rStyle w:val="Hyperlink"/>
            <w:noProof/>
          </w:rPr>
          <w:t>Avoid Token Enrichment by Brokers</w:t>
        </w:r>
        <w:r>
          <w:rPr>
            <w:noProof/>
            <w:webHidden/>
          </w:rPr>
          <w:tab/>
        </w:r>
        <w:r>
          <w:rPr>
            <w:noProof/>
            <w:webHidden/>
          </w:rPr>
          <w:fldChar w:fldCharType="begin"/>
        </w:r>
        <w:r>
          <w:rPr>
            <w:noProof/>
            <w:webHidden/>
          </w:rPr>
          <w:instrText xml:space="preserve"> PAGEREF _Toc201921439 \h </w:instrText>
        </w:r>
        <w:r>
          <w:rPr>
            <w:noProof/>
            <w:webHidden/>
          </w:rPr>
        </w:r>
        <w:r>
          <w:rPr>
            <w:noProof/>
            <w:webHidden/>
          </w:rPr>
          <w:fldChar w:fldCharType="separate"/>
        </w:r>
        <w:r>
          <w:rPr>
            <w:noProof/>
            <w:webHidden/>
          </w:rPr>
          <w:t>21</w:t>
        </w:r>
        <w:r>
          <w:rPr>
            <w:noProof/>
            <w:webHidden/>
          </w:rPr>
          <w:fldChar w:fldCharType="end"/>
        </w:r>
      </w:hyperlink>
    </w:p>
    <w:p w14:paraId="27382A04" w14:textId="6F8DA05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0" w:history="1">
        <w:r w:rsidRPr="00007560">
          <w:rPr>
            <w:rStyle w:val="Hyperlink"/>
            <w:noProof/>
          </w:rPr>
          <w:t>Contextual Placement Must Be System-Governed</w:t>
        </w:r>
        <w:r>
          <w:rPr>
            <w:noProof/>
            <w:webHidden/>
          </w:rPr>
          <w:tab/>
        </w:r>
        <w:r>
          <w:rPr>
            <w:noProof/>
            <w:webHidden/>
          </w:rPr>
          <w:fldChar w:fldCharType="begin"/>
        </w:r>
        <w:r>
          <w:rPr>
            <w:noProof/>
            <w:webHidden/>
          </w:rPr>
          <w:instrText xml:space="preserve"> PAGEREF _Toc201921440 \h </w:instrText>
        </w:r>
        <w:r>
          <w:rPr>
            <w:noProof/>
            <w:webHidden/>
          </w:rPr>
        </w:r>
        <w:r>
          <w:rPr>
            <w:noProof/>
            <w:webHidden/>
          </w:rPr>
          <w:fldChar w:fldCharType="separate"/>
        </w:r>
        <w:r>
          <w:rPr>
            <w:noProof/>
            <w:webHidden/>
          </w:rPr>
          <w:t>21</w:t>
        </w:r>
        <w:r>
          <w:rPr>
            <w:noProof/>
            <w:webHidden/>
          </w:rPr>
          <w:fldChar w:fldCharType="end"/>
        </w:r>
      </w:hyperlink>
    </w:p>
    <w:p w14:paraId="30B0B37F" w14:textId="51D6248F"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1" w:history="1">
        <w:r w:rsidRPr="00007560">
          <w:rPr>
            <w:rStyle w:val="Hyperlink"/>
            <w:noProof/>
          </w:rPr>
          <w:t>Sector Identifiers Belong in Sector Systems</w:t>
        </w:r>
        <w:r>
          <w:rPr>
            <w:noProof/>
            <w:webHidden/>
          </w:rPr>
          <w:tab/>
        </w:r>
        <w:r>
          <w:rPr>
            <w:noProof/>
            <w:webHidden/>
          </w:rPr>
          <w:fldChar w:fldCharType="begin"/>
        </w:r>
        <w:r>
          <w:rPr>
            <w:noProof/>
            <w:webHidden/>
          </w:rPr>
          <w:instrText xml:space="preserve"> PAGEREF _Toc201921441 \h </w:instrText>
        </w:r>
        <w:r>
          <w:rPr>
            <w:noProof/>
            <w:webHidden/>
          </w:rPr>
        </w:r>
        <w:r>
          <w:rPr>
            <w:noProof/>
            <w:webHidden/>
          </w:rPr>
          <w:fldChar w:fldCharType="separate"/>
        </w:r>
        <w:r>
          <w:rPr>
            <w:noProof/>
            <w:webHidden/>
          </w:rPr>
          <w:t>22</w:t>
        </w:r>
        <w:r>
          <w:rPr>
            <w:noProof/>
            <w:webHidden/>
          </w:rPr>
          <w:fldChar w:fldCharType="end"/>
        </w:r>
      </w:hyperlink>
    </w:p>
    <w:p w14:paraId="05E2D307" w14:textId="7F5465A4"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2" w:history="1">
        <w:r w:rsidRPr="00007560">
          <w:rPr>
            <w:rStyle w:val="Hyperlink"/>
            <w:noProof/>
          </w:rPr>
          <w:t>Design for IdP Independence</w:t>
        </w:r>
        <w:r>
          <w:rPr>
            <w:noProof/>
            <w:webHidden/>
          </w:rPr>
          <w:tab/>
        </w:r>
        <w:r>
          <w:rPr>
            <w:noProof/>
            <w:webHidden/>
          </w:rPr>
          <w:fldChar w:fldCharType="begin"/>
        </w:r>
        <w:r>
          <w:rPr>
            <w:noProof/>
            <w:webHidden/>
          </w:rPr>
          <w:instrText xml:space="preserve"> PAGEREF _Toc201921442 \h </w:instrText>
        </w:r>
        <w:r>
          <w:rPr>
            <w:noProof/>
            <w:webHidden/>
          </w:rPr>
        </w:r>
        <w:r>
          <w:rPr>
            <w:noProof/>
            <w:webHidden/>
          </w:rPr>
          <w:fldChar w:fldCharType="separate"/>
        </w:r>
        <w:r>
          <w:rPr>
            <w:noProof/>
            <w:webHidden/>
          </w:rPr>
          <w:t>22</w:t>
        </w:r>
        <w:r>
          <w:rPr>
            <w:noProof/>
            <w:webHidden/>
          </w:rPr>
          <w:fldChar w:fldCharType="end"/>
        </w:r>
      </w:hyperlink>
    </w:p>
    <w:p w14:paraId="69C65662" w14:textId="2DF1BA5F"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3" w:history="1">
        <w:r w:rsidRPr="00007560">
          <w:rPr>
            <w:rStyle w:val="Hyperlink"/>
            <w:noProof/>
          </w:rPr>
          <w:t>The Limits of OIDC Trust Patterns</w:t>
        </w:r>
        <w:r>
          <w:rPr>
            <w:noProof/>
            <w:webHidden/>
          </w:rPr>
          <w:tab/>
        </w:r>
        <w:r>
          <w:rPr>
            <w:noProof/>
            <w:webHidden/>
          </w:rPr>
          <w:fldChar w:fldCharType="begin"/>
        </w:r>
        <w:r>
          <w:rPr>
            <w:noProof/>
            <w:webHidden/>
          </w:rPr>
          <w:instrText xml:space="preserve"> PAGEREF _Toc201921443 \h </w:instrText>
        </w:r>
        <w:r>
          <w:rPr>
            <w:noProof/>
            <w:webHidden/>
          </w:rPr>
        </w:r>
        <w:r>
          <w:rPr>
            <w:noProof/>
            <w:webHidden/>
          </w:rPr>
          <w:fldChar w:fldCharType="separate"/>
        </w:r>
        <w:r>
          <w:rPr>
            <w:noProof/>
            <w:webHidden/>
          </w:rPr>
          <w:t>22</w:t>
        </w:r>
        <w:r>
          <w:rPr>
            <w:noProof/>
            <w:webHidden/>
          </w:rPr>
          <w:fldChar w:fldCharType="end"/>
        </w:r>
      </w:hyperlink>
    </w:p>
    <w:p w14:paraId="78ECD932" w14:textId="60ECC03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4" w:history="1">
        <w:r w:rsidRPr="00007560">
          <w:rPr>
            <w:rStyle w:val="Hyperlink"/>
            <w:noProof/>
          </w:rPr>
          <w:t>OIDC Incompleteness</w:t>
        </w:r>
        <w:r>
          <w:rPr>
            <w:noProof/>
            <w:webHidden/>
          </w:rPr>
          <w:tab/>
        </w:r>
        <w:r>
          <w:rPr>
            <w:noProof/>
            <w:webHidden/>
          </w:rPr>
          <w:fldChar w:fldCharType="begin"/>
        </w:r>
        <w:r>
          <w:rPr>
            <w:noProof/>
            <w:webHidden/>
          </w:rPr>
          <w:instrText xml:space="preserve"> PAGEREF _Toc201921444 \h </w:instrText>
        </w:r>
        <w:r>
          <w:rPr>
            <w:noProof/>
            <w:webHidden/>
          </w:rPr>
        </w:r>
        <w:r>
          <w:rPr>
            <w:noProof/>
            <w:webHidden/>
          </w:rPr>
          <w:fldChar w:fldCharType="separate"/>
        </w:r>
        <w:r>
          <w:rPr>
            <w:noProof/>
            <w:webHidden/>
          </w:rPr>
          <w:t>23</w:t>
        </w:r>
        <w:r>
          <w:rPr>
            <w:noProof/>
            <w:webHidden/>
          </w:rPr>
          <w:fldChar w:fldCharType="end"/>
        </w:r>
      </w:hyperlink>
    </w:p>
    <w:p w14:paraId="31554D13" w14:textId="0539E2F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5" w:history="1">
        <w:r w:rsidRPr="00007560">
          <w:rPr>
            <w:rStyle w:val="Hyperlink"/>
            <w:noProof/>
          </w:rPr>
          <w:t>OIDC Misuse</w:t>
        </w:r>
        <w:r>
          <w:rPr>
            <w:noProof/>
            <w:webHidden/>
          </w:rPr>
          <w:tab/>
        </w:r>
        <w:r>
          <w:rPr>
            <w:noProof/>
            <w:webHidden/>
          </w:rPr>
          <w:fldChar w:fldCharType="begin"/>
        </w:r>
        <w:r>
          <w:rPr>
            <w:noProof/>
            <w:webHidden/>
          </w:rPr>
          <w:instrText xml:space="preserve"> PAGEREF _Toc201921445 \h </w:instrText>
        </w:r>
        <w:r>
          <w:rPr>
            <w:noProof/>
            <w:webHidden/>
          </w:rPr>
        </w:r>
        <w:r>
          <w:rPr>
            <w:noProof/>
            <w:webHidden/>
          </w:rPr>
          <w:fldChar w:fldCharType="separate"/>
        </w:r>
        <w:r>
          <w:rPr>
            <w:noProof/>
            <w:webHidden/>
          </w:rPr>
          <w:t>23</w:t>
        </w:r>
        <w:r>
          <w:rPr>
            <w:noProof/>
            <w:webHidden/>
          </w:rPr>
          <w:fldChar w:fldCharType="end"/>
        </w:r>
      </w:hyperlink>
    </w:p>
    <w:p w14:paraId="307A99C3" w14:textId="365D9C52"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6" w:history="1">
        <w:r w:rsidRPr="00007560">
          <w:rPr>
            <w:rStyle w:val="Hyperlink"/>
            <w:noProof/>
          </w:rPr>
          <w:t>Provisioning Failure Modes and Identity Ambiguity</w:t>
        </w:r>
        <w:r>
          <w:rPr>
            <w:noProof/>
            <w:webHidden/>
          </w:rPr>
          <w:tab/>
        </w:r>
        <w:r>
          <w:rPr>
            <w:noProof/>
            <w:webHidden/>
          </w:rPr>
          <w:fldChar w:fldCharType="begin"/>
        </w:r>
        <w:r>
          <w:rPr>
            <w:noProof/>
            <w:webHidden/>
          </w:rPr>
          <w:instrText xml:space="preserve"> PAGEREF _Toc201921446 \h </w:instrText>
        </w:r>
        <w:r>
          <w:rPr>
            <w:noProof/>
            <w:webHidden/>
          </w:rPr>
        </w:r>
        <w:r>
          <w:rPr>
            <w:noProof/>
            <w:webHidden/>
          </w:rPr>
          <w:fldChar w:fldCharType="separate"/>
        </w:r>
        <w:r>
          <w:rPr>
            <w:noProof/>
            <w:webHidden/>
          </w:rPr>
          <w:t>24</w:t>
        </w:r>
        <w:r>
          <w:rPr>
            <w:noProof/>
            <w:webHidden/>
          </w:rPr>
          <w:fldChar w:fldCharType="end"/>
        </w:r>
      </w:hyperlink>
    </w:p>
    <w:p w14:paraId="6A6988BB" w14:textId="74BDE5FF"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7" w:history="1">
        <w:r w:rsidRPr="00007560">
          <w:rPr>
            <w:rStyle w:val="Hyperlink"/>
            <w:noProof/>
          </w:rPr>
          <w:t>First-Time Identity with No Match</w:t>
        </w:r>
        <w:r>
          <w:rPr>
            <w:noProof/>
            <w:webHidden/>
          </w:rPr>
          <w:tab/>
        </w:r>
        <w:r>
          <w:rPr>
            <w:noProof/>
            <w:webHidden/>
          </w:rPr>
          <w:fldChar w:fldCharType="begin"/>
        </w:r>
        <w:r>
          <w:rPr>
            <w:noProof/>
            <w:webHidden/>
          </w:rPr>
          <w:instrText xml:space="preserve"> PAGEREF _Toc201921447 \h </w:instrText>
        </w:r>
        <w:r>
          <w:rPr>
            <w:noProof/>
            <w:webHidden/>
          </w:rPr>
        </w:r>
        <w:r>
          <w:rPr>
            <w:noProof/>
            <w:webHidden/>
          </w:rPr>
          <w:fldChar w:fldCharType="separate"/>
        </w:r>
        <w:r>
          <w:rPr>
            <w:noProof/>
            <w:webHidden/>
          </w:rPr>
          <w:t>24</w:t>
        </w:r>
        <w:r>
          <w:rPr>
            <w:noProof/>
            <w:webHidden/>
          </w:rPr>
          <w:fldChar w:fldCharType="end"/>
        </w:r>
      </w:hyperlink>
    </w:p>
    <w:p w14:paraId="6DAF654B" w14:textId="34FE8BF7"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8" w:history="1">
        <w:r w:rsidRPr="00007560">
          <w:rPr>
            <w:rStyle w:val="Hyperlink"/>
            <w:noProof/>
          </w:rPr>
          <w:t>Recycled Email Addresses</w:t>
        </w:r>
        <w:r>
          <w:rPr>
            <w:noProof/>
            <w:webHidden/>
          </w:rPr>
          <w:tab/>
        </w:r>
        <w:r>
          <w:rPr>
            <w:noProof/>
            <w:webHidden/>
          </w:rPr>
          <w:fldChar w:fldCharType="begin"/>
        </w:r>
        <w:r>
          <w:rPr>
            <w:noProof/>
            <w:webHidden/>
          </w:rPr>
          <w:instrText xml:space="preserve"> PAGEREF _Toc201921448 \h </w:instrText>
        </w:r>
        <w:r>
          <w:rPr>
            <w:noProof/>
            <w:webHidden/>
          </w:rPr>
        </w:r>
        <w:r>
          <w:rPr>
            <w:noProof/>
            <w:webHidden/>
          </w:rPr>
          <w:fldChar w:fldCharType="separate"/>
        </w:r>
        <w:r>
          <w:rPr>
            <w:noProof/>
            <w:webHidden/>
          </w:rPr>
          <w:t>24</w:t>
        </w:r>
        <w:r>
          <w:rPr>
            <w:noProof/>
            <w:webHidden/>
          </w:rPr>
          <w:fldChar w:fldCharType="end"/>
        </w:r>
      </w:hyperlink>
    </w:p>
    <w:p w14:paraId="7CCDD5A5" w14:textId="1EE9E73B"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9" w:history="1">
        <w:r w:rsidRPr="00007560">
          <w:rPr>
            <w:rStyle w:val="Hyperlink"/>
            <w:noProof/>
          </w:rPr>
          <w:t>Changed sub with Stable iss</w:t>
        </w:r>
        <w:r>
          <w:rPr>
            <w:noProof/>
            <w:webHidden/>
          </w:rPr>
          <w:tab/>
        </w:r>
        <w:r>
          <w:rPr>
            <w:noProof/>
            <w:webHidden/>
          </w:rPr>
          <w:fldChar w:fldCharType="begin"/>
        </w:r>
        <w:r>
          <w:rPr>
            <w:noProof/>
            <w:webHidden/>
          </w:rPr>
          <w:instrText xml:space="preserve"> PAGEREF _Toc201921449 \h </w:instrText>
        </w:r>
        <w:r>
          <w:rPr>
            <w:noProof/>
            <w:webHidden/>
          </w:rPr>
        </w:r>
        <w:r>
          <w:rPr>
            <w:noProof/>
            <w:webHidden/>
          </w:rPr>
          <w:fldChar w:fldCharType="separate"/>
        </w:r>
        <w:r>
          <w:rPr>
            <w:noProof/>
            <w:webHidden/>
          </w:rPr>
          <w:t>24</w:t>
        </w:r>
        <w:r>
          <w:rPr>
            <w:noProof/>
            <w:webHidden/>
          </w:rPr>
          <w:fldChar w:fldCharType="end"/>
        </w:r>
      </w:hyperlink>
    </w:p>
    <w:p w14:paraId="7F8A0E41" w14:textId="1ED17160"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0" w:history="1">
        <w:r w:rsidRPr="00007560">
          <w:rPr>
            <w:rStyle w:val="Hyperlink"/>
            <w:noProof/>
          </w:rPr>
          <w:t>Reused sub in a Different Context</w:t>
        </w:r>
        <w:r>
          <w:rPr>
            <w:noProof/>
            <w:webHidden/>
          </w:rPr>
          <w:tab/>
        </w:r>
        <w:r>
          <w:rPr>
            <w:noProof/>
            <w:webHidden/>
          </w:rPr>
          <w:fldChar w:fldCharType="begin"/>
        </w:r>
        <w:r>
          <w:rPr>
            <w:noProof/>
            <w:webHidden/>
          </w:rPr>
          <w:instrText xml:space="preserve"> PAGEREF _Toc201921450 \h </w:instrText>
        </w:r>
        <w:r>
          <w:rPr>
            <w:noProof/>
            <w:webHidden/>
          </w:rPr>
        </w:r>
        <w:r>
          <w:rPr>
            <w:noProof/>
            <w:webHidden/>
          </w:rPr>
          <w:fldChar w:fldCharType="separate"/>
        </w:r>
        <w:r>
          <w:rPr>
            <w:noProof/>
            <w:webHidden/>
          </w:rPr>
          <w:t>24</w:t>
        </w:r>
        <w:r>
          <w:rPr>
            <w:noProof/>
            <w:webHidden/>
          </w:rPr>
          <w:fldChar w:fldCharType="end"/>
        </w:r>
      </w:hyperlink>
    </w:p>
    <w:p w14:paraId="6E51C26E" w14:textId="7F0A8D3D"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1" w:history="1">
        <w:r w:rsidRPr="00007560">
          <w:rPr>
            <w:rStyle w:val="Hyperlink"/>
            <w:noProof/>
          </w:rPr>
          <w:t>No Issued Time or Subject Provenance</w:t>
        </w:r>
        <w:r>
          <w:rPr>
            <w:noProof/>
            <w:webHidden/>
          </w:rPr>
          <w:tab/>
        </w:r>
        <w:r>
          <w:rPr>
            <w:noProof/>
            <w:webHidden/>
          </w:rPr>
          <w:fldChar w:fldCharType="begin"/>
        </w:r>
        <w:r>
          <w:rPr>
            <w:noProof/>
            <w:webHidden/>
          </w:rPr>
          <w:instrText xml:space="preserve"> PAGEREF _Toc201921451 \h </w:instrText>
        </w:r>
        <w:r>
          <w:rPr>
            <w:noProof/>
            <w:webHidden/>
          </w:rPr>
        </w:r>
        <w:r>
          <w:rPr>
            <w:noProof/>
            <w:webHidden/>
          </w:rPr>
          <w:fldChar w:fldCharType="separate"/>
        </w:r>
        <w:r>
          <w:rPr>
            <w:noProof/>
            <w:webHidden/>
          </w:rPr>
          <w:t>25</w:t>
        </w:r>
        <w:r>
          <w:rPr>
            <w:noProof/>
            <w:webHidden/>
          </w:rPr>
          <w:fldChar w:fldCharType="end"/>
        </w:r>
      </w:hyperlink>
    </w:p>
    <w:p w14:paraId="519CE8AD" w14:textId="4679464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52" w:history="1">
        <w:r w:rsidRPr="00007560">
          <w:rPr>
            <w:rStyle w:val="Hyperlink"/>
            <w:noProof/>
          </w:rPr>
          <w:t>Recommended Relying System Practices</w:t>
        </w:r>
        <w:r>
          <w:rPr>
            <w:noProof/>
            <w:webHidden/>
          </w:rPr>
          <w:tab/>
        </w:r>
        <w:r>
          <w:rPr>
            <w:noProof/>
            <w:webHidden/>
          </w:rPr>
          <w:fldChar w:fldCharType="begin"/>
        </w:r>
        <w:r>
          <w:rPr>
            <w:noProof/>
            <w:webHidden/>
          </w:rPr>
          <w:instrText xml:space="preserve"> PAGEREF _Toc201921452 \h </w:instrText>
        </w:r>
        <w:r>
          <w:rPr>
            <w:noProof/>
            <w:webHidden/>
          </w:rPr>
        </w:r>
        <w:r>
          <w:rPr>
            <w:noProof/>
            <w:webHidden/>
          </w:rPr>
          <w:fldChar w:fldCharType="separate"/>
        </w:r>
        <w:r>
          <w:rPr>
            <w:noProof/>
            <w:webHidden/>
          </w:rPr>
          <w:t>25</w:t>
        </w:r>
        <w:r>
          <w:rPr>
            <w:noProof/>
            <w:webHidden/>
          </w:rPr>
          <w:fldChar w:fldCharType="end"/>
        </w:r>
      </w:hyperlink>
    </w:p>
    <w:p w14:paraId="0B971249" w14:textId="0ED63BC0"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3" w:history="1">
        <w:r w:rsidRPr="00007560">
          <w:rPr>
            <w:rStyle w:val="Hyperlink"/>
            <w:noProof/>
          </w:rPr>
          <w:t>Avoid relying on email</w:t>
        </w:r>
        <w:r>
          <w:rPr>
            <w:noProof/>
            <w:webHidden/>
          </w:rPr>
          <w:tab/>
        </w:r>
        <w:r>
          <w:rPr>
            <w:noProof/>
            <w:webHidden/>
          </w:rPr>
          <w:fldChar w:fldCharType="begin"/>
        </w:r>
        <w:r>
          <w:rPr>
            <w:noProof/>
            <w:webHidden/>
          </w:rPr>
          <w:instrText xml:space="preserve"> PAGEREF _Toc201921453 \h </w:instrText>
        </w:r>
        <w:r>
          <w:rPr>
            <w:noProof/>
            <w:webHidden/>
          </w:rPr>
        </w:r>
        <w:r>
          <w:rPr>
            <w:noProof/>
            <w:webHidden/>
          </w:rPr>
          <w:fldChar w:fldCharType="separate"/>
        </w:r>
        <w:r>
          <w:rPr>
            <w:noProof/>
            <w:webHidden/>
          </w:rPr>
          <w:t>25</w:t>
        </w:r>
        <w:r>
          <w:rPr>
            <w:noProof/>
            <w:webHidden/>
          </w:rPr>
          <w:fldChar w:fldCharType="end"/>
        </w:r>
      </w:hyperlink>
    </w:p>
    <w:p w14:paraId="3DA54167" w14:textId="7FBA4CCE"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4" w:history="1">
        <w:r w:rsidRPr="00007560">
          <w:rPr>
            <w:rStyle w:val="Hyperlink"/>
            <w:noProof/>
          </w:rPr>
          <w:t>Avoid using email as a primary key</w:t>
        </w:r>
        <w:r>
          <w:rPr>
            <w:noProof/>
            <w:webHidden/>
          </w:rPr>
          <w:tab/>
        </w:r>
        <w:r>
          <w:rPr>
            <w:noProof/>
            <w:webHidden/>
          </w:rPr>
          <w:fldChar w:fldCharType="begin"/>
        </w:r>
        <w:r>
          <w:rPr>
            <w:noProof/>
            <w:webHidden/>
          </w:rPr>
          <w:instrText xml:space="preserve"> PAGEREF _Toc201921454 \h </w:instrText>
        </w:r>
        <w:r>
          <w:rPr>
            <w:noProof/>
            <w:webHidden/>
          </w:rPr>
        </w:r>
        <w:r>
          <w:rPr>
            <w:noProof/>
            <w:webHidden/>
          </w:rPr>
          <w:fldChar w:fldCharType="separate"/>
        </w:r>
        <w:r>
          <w:rPr>
            <w:noProof/>
            <w:webHidden/>
          </w:rPr>
          <w:t>25</w:t>
        </w:r>
        <w:r>
          <w:rPr>
            <w:noProof/>
            <w:webHidden/>
          </w:rPr>
          <w:fldChar w:fldCharType="end"/>
        </w:r>
      </w:hyperlink>
    </w:p>
    <w:p w14:paraId="07CADFD1" w14:textId="25EF524A"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5" w:history="1">
        <w:r w:rsidRPr="00007560">
          <w:rPr>
            <w:rStyle w:val="Hyperlink"/>
            <w:noProof/>
          </w:rPr>
          <w:t>Track iss, sub</w:t>
        </w:r>
        <w:r>
          <w:rPr>
            <w:noProof/>
            <w:webHidden/>
          </w:rPr>
          <w:tab/>
        </w:r>
        <w:r>
          <w:rPr>
            <w:noProof/>
            <w:webHidden/>
          </w:rPr>
          <w:fldChar w:fldCharType="begin"/>
        </w:r>
        <w:r>
          <w:rPr>
            <w:noProof/>
            <w:webHidden/>
          </w:rPr>
          <w:instrText xml:space="preserve"> PAGEREF _Toc201921455 \h </w:instrText>
        </w:r>
        <w:r>
          <w:rPr>
            <w:noProof/>
            <w:webHidden/>
          </w:rPr>
        </w:r>
        <w:r>
          <w:rPr>
            <w:noProof/>
            <w:webHidden/>
          </w:rPr>
          <w:fldChar w:fldCharType="separate"/>
        </w:r>
        <w:r>
          <w:rPr>
            <w:noProof/>
            <w:webHidden/>
          </w:rPr>
          <w:t>25</w:t>
        </w:r>
        <w:r>
          <w:rPr>
            <w:noProof/>
            <w:webHidden/>
          </w:rPr>
          <w:fldChar w:fldCharType="end"/>
        </w:r>
      </w:hyperlink>
    </w:p>
    <w:p w14:paraId="0CF90EC6" w14:textId="510FA38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6" w:history="1">
        <w:r w:rsidRPr="00007560">
          <w:rPr>
            <w:rStyle w:val="Hyperlink"/>
            <w:noProof/>
          </w:rPr>
          <w:t>Track email if available</w:t>
        </w:r>
        <w:r>
          <w:rPr>
            <w:noProof/>
            <w:webHidden/>
          </w:rPr>
          <w:tab/>
        </w:r>
        <w:r>
          <w:rPr>
            <w:noProof/>
            <w:webHidden/>
          </w:rPr>
          <w:fldChar w:fldCharType="begin"/>
        </w:r>
        <w:r>
          <w:rPr>
            <w:noProof/>
            <w:webHidden/>
          </w:rPr>
          <w:instrText xml:space="preserve"> PAGEREF _Toc201921456 \h </w:instrText>
        </w:r>
        <w:r>
          <w:rPr>
            <w:noProof/>
            <w:webHidden/>
          </w:rPr>
        </w:r>
        <w:r>
          <w:rPr>
            <w:noProof/>
            <w:webHidden/>
          </w:rPr>
          <w:fldChar w:fldCharType="separate"/>
        </w:r>
        <w:r>
          <w:rPr>
            <w:noProof/>
            <w:webHidden/>
          </w:rPr>
          <w:t>25</w:t>
        </w:r>
        <w:r>
          <w:rPr>
            <w:noProof/>
            <w:webHidden/>
          </w:rPr>
          <w:fldChar w:fldCharType="end"/>
        </w:r>
      </w:hyperlink>
    </w:p>
    <w:p w14:paraId="49B87E19" w14:textId="2640EE5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7" w:history="1">
        <w:r w:rsidRPr="00007560">
          <w:rPr>
            <w:rStyle w:val="Hyperlink"/>
            <w:noProof/>
          </w:rPr>
          <w:t>Permit changes to email</w:t>
        </w:r>
        <w:r>
          <w:rPr>
            <w:noProof/>
            <w:webHidden/>
          </w:rPr>
          <w:tab/>
        </w:r>
        <w:r>
          <w:rPr>
            <w:noProof/>
            <w:webHidden/>
          </w:rPr>
          <w:fldChar w:fldCharType="begin"/>
        </w:r>
        <w:r>
          <w:rPr>
            <w:noProof/>
            <w:webHidden/>
          </w:rPr>
          <w:instrText xml:space="preserve"> PAGEREF _Toc201921457 \h </w:instrText>
        </w:r>
        <w:r>
          <w:rPr>
            <w:noProof/>
            <w:webHidden/>
          </w:rPr>
        </w:r>
        <w:r>
          <w:rPr>
            <w:noProof/>
            <w:webHidden/>
          </w:rPr>
          <w:fldChar w:fldCharType="separate"/>
        </w:r>
        <w:r>
          <w:rPr>
            <w:noProof/>
            <w:webHidden/>
          </w:rPr>
          <w:t>25</w:t>
        </w:r>
        <w:r>
          <w:rPr>
            <w:noProof/>
            <w:webHidden/>
          </w:rPr>
          <w:fldChar w:fldCharType="end"/>
        </w:r>
      </w:hyperlink>
    </w:p>
    <w:p w14:paraId="45CA5974" w14:textId="4F158B3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8" w:history="1">
        <w:r w:rsidRPr="00007560">
          <w:rPr>
            <w:rStyle w:val="Hyperlink"/>
            <w:noProof/>
          </w:rPr>
          <w:t>Track activity metadata</w:t>
        </w:r>
        <w:r>
          <w:rPr>
            <w:noProof/>
            <w:webHidden/>
          </w:rPr>
          <w:tab/>
        </w:r>
        <w:r>
          <w:rPr>
            <w:noProof/>
            <w:webHidden/>
          </w:rPr>
          <w:fldChar w:fldCharType="begin"/>
        </w:r>
        <w:r>
          <w:rPr>
            <w:noProof/>
            <w:webHidden/>
          </w:rPr>
          <w:instrText xml:space="preserve"> PAGEREF _Toc201921458 \h </w:instrText>
        </w:r>
        <w:r>
          <w:rPr>
            <w:noProof/>
            <w:webHidden/>
          </w:rPr>
        </w:r>
        <w:r>
          <w:rPr>
            <w:noProof/>
            <w:webHidden/>
          </w:rPr>
          <w:fldChar w:fldCharType="separate"/>
        </w:r>
        <w:r>
          <w:rPr>
            <w:noProof/>
            <w:webHidden/>
          </w:rPr>
          <w:t>25</w:t>
        </w:r>
        <w:r>
          <w:rPr>
            <w:noProof/>
            <w:webHidden/>
          </w:rPr>
          <w:fldChar w:fldCharType="end"/>
        </w:r>
      </w:hyperlink>
    </w:p>
    <w:p w14:paraId="7ED67ED8" w14:textId="61E17E1B"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9" w:history="1">
        <w:r w:rsidRPr="00007560">
          <w:rPr>
            <w:rStyle w:val="Hyperlink"/>
            <w:noProof/>
          </w:rPr>
          <w:t>Provide merge tooling</w:t>
        </w:r>
        <w:r>
          <w:rPr>
            <w:noProof/>
            <w:webHidden/>
          </w:rPr>
          <w:tab/>
        </w:r>
        <w:r>
          <w:rPr>
            <w:noProof/>
            <w:webHidden/>
          </w:rPr>
          <w:fldChar w:fldCharType="begin"/>
        </w:r>
        <w:r>
          <w:rPr>
            <w:noProof/>
            <w:webHidden/>
          </w:rPr>
          <w:instrText xml:space="preserve"> PAGEREF _Toc201921459 \h </w:instrText>
        </w:r>
        <w:r>
          <w:rPr>
            <w:noProof/>
            <w:webHidden/>
          </w:rPr>
        </w:r>
        <w:r>
          <w:rPr>
            <w:noProof/>
            <w:webHidden/>
          </w:rPr>
          <w:fldChar w:fldCharType="separate"/>
        </w:r>
        <w:r>
          <w:rPr>
            <w:noProof/>
            <w:webHidden/>
          </w:rPr>
          <w:t>26</w:t>
        </w:r>
        <w:r>
          <w:rPr>
            <w:noProof/>
            <w:webHidden/>
          </w:rPr>
          <w:fldChar w:fldCharType="end"/>
        </w:r>
      </w:hyperlink>
    </w:p>
    <w:p w14:paraId="05CD1E28" w14:textId="079C48D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0" w:history="1">
        <w:r w:rsidRPr="00007560">
          <w:rPr>
            <w:rStyle w:val="Hyperlink"/>
            <w:noProof/>
          </w:rPr>
          <w:t>Support identity rotation</w:t>
        </w:r>
        <w:r>
          <w:rPr>
            <w:noProof/>
            <w:webHidden/>
          </w:rPr>
          <w:tab/>
        </w:r>
        <w:r>
          <w:rPr>
            <w:noProof/>
            <w:webHidden/>
          </w:rPr>
          <w:fldChar w:fldCharType="begin"/>
        </w:r>
        <w:r>
          <w:rPr>
            <w:noProof/>
            <w:webHidden/>
          </w:rPr>
          <w:instrText xml:space="preserve"> PAGEREF _Toc201921460 \h </w:instrText>
        </w:r>
        <w:r>
          <w:rPr>
            <w:noProof/>
            <w:webHidden/>
          </w:rPr>
        </w:r>
        <w:r>
          <w:rPr>
            <w:noProof/>
            <w:webHidden/>
          </w:rPr>
          <w:fldChar w:fldCharType="separate"/>
        </w:r>
        <w:r>
          <w:rPr>
            <w:noProof/>
            <w:webHidden/>
          </w:rPr>
          <w:t>26</w:t>
        </w:r>
        <w:r>
          <w:rPr>
            <w:noProof/>
            <w:webHidden/>
          </w:rPr>
          <w:fldChar w:fldCharType="end"/>
        </w:r>
      </w:hyperlink>
    </w:p>
    <w:p w14:paraId="290A9769" w14:textId="389E9BB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1" w:history="1">
        <w:r w:rsidRPr="00007560">
          <w:rPr>
            <w:rStyle w:val="Hyperlink"/>
            <w:noProof/>
          </w:rPr>
          <w:t>Treat new issuers as new users unless mapped</w:t>
        </w:r>
        <w:r>
          <w:rPr>
            <w:noProof/>
            <w:webHidden/>
          </w:rPr>
          <w:tab/>
        </w:r>
        <w:r>
          <w:rPr>
            <w:noProof/>
            <w:webHidden/>
          </w:rPr>
          <w:fldChar w:fldCharType="begin"/>
        </w:r>
        <w:r>
          <w:rPr>
            <w:noProof/>
            <w:webHidden/>
          </w:rPr>
          <w:instrText xml:space="preserve"> PAGEREF _Toc201921461 \h </w:instrText>
        </w:r>
        <w:r>
          <w:rPr>
            <w:noProof/>
            <w:webHidden/>
          </w:rPr>
        </w:r>
        <w:r>
          <w:rPr>
            <w:noProof/>
            <w:webHidden/>
          </w:rPr>
          <w:fldChar w:fldCharType="separate"/>
        </w:r>
        <w:r>
          <w:rPr>
            <w:noProof/>
            <w:webHidden/>
          </w:rPr>
          <w:t>26</w:t>
        </w:r>
        <w:r>
          <w:rPr>
            <w:noProof/>
            <w:webHidden/>
          </w:rPr>
          <w:fldChar w:fldCharType="end"/>
        </w:r>
      </w:hyperlink>
    </w:p>
    <w:p w14:paraId="165F5770" w14:textId="789DACCD"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2" w:history="1">
        <w:r w:rsidRPr="00007560">
          <w:rPr>
            <w:rStyle w:val="Hyperlink"/>
            <w:noProof/>
          </w:rPr>
          <w:t>Permit changes of iss and sub</w:t>
        </w:r>
        <w:r>
          <w:rPr>
            <w:noProof/>
            <w:webHidden/>
          </w:rPr>
          <w:tab/>
        </w:r>
        <w:r>
          <w:rPr>
            <w:noProof/>
            <w:webHidden/>
          </w:rPr>
          <w:fldChar w:fldCharType="begin"/>
        </w:r>
        <w:r>
          <w:rPr>
            <w:noProof/>
            <w:webHidden/>
          </w:rPr>
          <w:instrText xml:space="preserve"> PAGEREF _Toc201921462 \h </w:instrText>
        </w:r>
        <w:r>
          <w:rPr>
            <w:noProof/>
            <w:webHidden/>
          </w:rPr>
        </w:r>
        <w:r>
          <w:rPr>
            <w:noProof/>
            <w:webHidden/>
          </w:rPr>
          <w:fldChar w:fldCharType="separate"/>
        </w:r>
        <w:r>
          <w:rPr>
            <w:noProof/>
            <w:webHidden/>
          </w:rPr>
          <w:t>26</w:t>
        </w:r>
        <w:r>
          <w:rPr>
            <w:noProof/>
            <w:webHidden/>
          </w:rPr>
          <w:fldChar w:fldCharType="end"/>
        </w:r>
      </w:hyperlink>
    </w:p>
    <w:p w14:paraId="62AA1151" w14:textId="0E165F7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3" w:history="1">
        <w:r w:rsidRPr="00007560">
          <w:rPr>
            <w:rStyle w:val="Hyperlink"/>
            <w:noProof/>
          </w:rPr>
          <w:t>Halt suspicious merges</w:t>
        </w:r>
        <w:r>
          <w:rPr>
            <w:noProof/>
            <w:webHidden/>
          </w:rPr>
          <w:tab/>
        </w:r>
        <w:r>
          <w:rPr>
            <w:noProof/>
            <w:webHidden/>
          </w:rPr>
          <w:fldChar w:fldCharType="begin"/>
        </w:r>
        <w:r>
          <w:rPr>
            <w:noProof/>
            <w:webHidden/>
          </w:rPr>
          <w:instrText xml:space="preserve"> PAGEREF _Toc201921463 \h </w:instrText>
        </w:r>
        <w:r>
          <w:rPr>
            <w:noProof/>
            <w:webHidden/>
          </w:rPr>
        </w:r>
        <w:r>
          <w:rPr>
            <w:noProof/>
            <w:webHidden/>
          </w:rPr>
          <w:fldChar w:fldCharType="separate"/>
        </w:r>
        <w:r>
          <w:rPr>
            <w:noProof/>
            <w:webHidden/>
          </w:rPr>
          <w:t>26</w:t>
        </w:r>
        <w:r>
          <w:rPr>
            <w:noProof/>
            <w:webHidden/>
          </w:rPr>
          <w:fldChar w:fldCharType="end"/>
        </w:r>
      </w:hyperlink>
    </w:p>
    <w:p w14:paraId="31674205" w14:textId="57914EC2"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4" w:history="1">
        <w:r w:rsidRPr="00007560">
          <w:rPr>
            <w:rStyle w:val="Hyperlink"/>
            <w:noProof/>
          </w:rPr>
          <w:t>Why National or Sector Identifiers Must Not Appear in Identity Tokens</w:t>
        </w:r>
        <w:r>
          <w:rPr>
            <w:noProof/>
            <w:webHidden/>
          </w:rPr>
          <w:tab/>
        </w:r>
        <w:r>
          <w:rPr>
            <w:noProof/>
            <w:webHidden/>
          </w:rPr>
          <w:fldChar w:fldCharType="begin"/>
        </w:r>
        <w:r>
          <w:rPr>
            <w:noProof/>
            <w:webHidden/>
          </w:rPr>
          <w:instrText xml:space="preserve"> PAGEREF _Toc201921464 \h </w:instrText>
        </w:r>
        <w:r>
          <w:rPr>
            <w:noProof/>
            <w:webHidden/>
          </w:rPr>
        </w:r>
        <w:r>
          <w:rPr>
            <w:noProof/>
            <w:webHidden/>
          </w:rPr>
          <w:fldChar w:fldCharType="separate"/>
        </w:r>
        <w:r>
          <w:rPr>
            <w:noProof/>
            <w:webHidden/>
          </w:rPr>
          <w:t>27</w:t>
        </w:r>
        <w:r>
          <w:rPr>
            <w:noProof/>
            <w:webHidden/>
          </w:rPr>
          <w:fldChar w:fldCharType="end"/>
        </w:r>
      </w:hyperlink>
    </w:p>
    <w:p w14:paraId="615C7B61" w14:textId="463ABF60"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65" w:history="1">
        <w:r w:rsidRPr="00007560">
          <w:rPr>
            <w:rStyle w:val="Hyperlink"/>
            <w:noProof/>
          </w:rPr>
          <w:t>Retrieving Sector Identifiers via Authorised Post-Authentication Calls</w:t>
        </w:r>
        <w:r>
          <w:rPr>
            <w:noProof/>
            <w:webHidden/>
          </w:rPr>
          <w:tab/>
        </w:r>
        <w:r>
          <w:rPr>
            <w:noProof/>
            <w:webHidden/>
          </w:rPr>
          <w:fldChar w:fldCharType="begin"/>
        </w:r>
        <w:r>
          <w:rPr>
            <w:noProof/>
            <w:webHidden/>
          </w:rPr>
          <w:instrText xml:space="preserve"> PAGEREF _Toc201921465 \h </w:instrText>
        </w:r>
        <w:r>
          <w:rPr>
            <w:noProof/>
            <w:webHidden/>
          </w:rPr>
        </w:r>
        <w:r>
          <w:rPr>
            <w:noProof/>
            <w:webHidden/>
          </w:rPr>
          <w:fldChar w:fldCharType="separate"/>
        </w:r>
        <w:r>
          <w:rPr>
            <w:noProof/>
            <w:webHidden/>
          </w:rPr>
          <w:t>28</w:t>
        </w:r>
        <w:r>
          <w:rPr>
            <w:noProof/>
            <w:webHidden/>
          </w:rPr>
          <w:fldChar w:fldCharType="end"/>
        </w:r>
      </w:hyperlink>
    </w:p>
    <w:p w14:paraId="33F60F9B" w14:textId="40F225D0"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66" w:history="1">
        <w:r w:rsidRPr="00007560">
          <w:rPr>
            <w:rStyle w:val="Hyperlink"/>
            <w:noProof/>
          </w:rPr>
          <w:t>Contextualisation</w:t>
        </w:r>
        <w:r>
          <w:rPr>
            <w:noProof/>
            <w:webHidden/>
          </w:rPr>
          <w:tab/>
        </w:r>
        <w:r>
          <w:rPr>
            <w:noProof/>
            <w:webHidden/>
          </w:rPr>
          <w:fldChar w:fldCharType="begin"/>
        </w:r>
        <w:r>
          <w:rPr>
            <w:noProof/>
            <w:webHidden/>
          </w:rPr>
          <w:instrText xml:space="preserve"> PAGEREF _Toc201921466 \h </w:instrText>
        </w:r>
        <w:r>
          <w:rPr>
            <w:noProof/>
            <w:webHidden/>
          </w:rPr>
        </w:r>
        <w:r>
          <w:rPr>
            <w:noProof/>
            <w:webHidden/>
          </w:rPr>
          <w:fldChar w:fldCharType="separate"/>
        </w:r>
        <w:r>
          <w:rPr>
            <w:noProof/>
            <w:webHidden/>
          </w:rPr>
          <w:t>29</w:t>
        </w:r>
        <w:r>
          <w:rPr>
            <w:noProof/>
            <w:webHidden/>
          </w:rPr>
          <w:fldChar w:fldCharType="end"/>
        </w:r>
      </w:hyperlink>
    </w:p>
    <w:p w14:paraId="01C17F36" w14:textId="236D1DF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7" w:history="1">
        <w:r w:rsidRPr="00007560">
          <w:rPr>
            <w:rStyle w:val="Hyperlink"/>
            <w:noProof/>
          </w:rPr>
          <w:t>Modelling Group Membership and Roles</w:t>
        </w:r>
        <w:r>
          <w:rPr>
            <w:noProof/>
            <w:webHidden/>
          </w:rPr>
          <w:tab/>
        </w:r>
        <w:r>
          <w:rPr>
            <w:noProof/>
            <w:webHidden/>
          </w:rPr>
          <w:fldChar w:fldCharType="begin"/>
        </w:r>
        <w:r>
          <w:rPr>
            <w:noProof/>
            <w:webHidden/>
          </w:rPr>
          <w:instrText xml:space="preserve"> PAGEREF _Toc201921467 \h </w:instrText>
        </w:r>
        <w:r>
          <w:rPr>
            <w:noProof/>
            <w:webHidden/>
          </w:rPr>
        </w:r>
        <w:r>
          <w:rPr>
            <w:noProof/>
            <w:webHidden/>
          </w:rPr>
          <w:fldChar w:fldCharType="separate"/>
        </w:r>
        <w:r>
          <w:rPr>
            <w:noProof/>
            <w:webHidden/>
          </w:rPr>
          <w:t>29</w:t>
        </w:r>
        <w:r>
          <w:rPr>
            <w:noProof/>
            <w:webHidden/>
          </w:rPr>
          <w:fldChar w:fldCharType="end"/>
        </w:r>
      </w:hyperlink>
    </w:p>
    <w:p w14:paraId="7739DC2F" w14:textId="78246E5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8" w:history="1">
        <w:r w:rsidRPr="00007560">
          <w:rPr>
            <w:rStyle w:val="Hyperlink"/>
            <w:noProof/>
          </w:rPr>
          <w:t>The Misuse of Identity Providers for Group and Role Context</w:t>
        </w:r>
        <w:r>
          <w:rPr>
            <w:noProof/>
            <w:webHidden/>
          </w:rPr>
          <w:tab/>
        </w:r>
        <w:r>
          <w:rPr>
            <w:noProof/>
            <w:webHidden/>
          </w:rPr>
          <w:fldChar w:fldCharType="begin"/>
        </w:r>
        <w:r>
          <w:rPr>
            <w:noProof/>
            <w:webHidden/>
          </w:rPr>
          <w:instrText xml:space="preserve"> PAGEREF _Toc201921468 \h </w:instrText>
        </w:r>
        <w:r>
          <w:rPr>
            <w:noProof/>
            <w:webHidden/>
          </w:rPr>
        </w:r>
        <w:r>
          <w:rPr>
            <w:noProof/>
            <w:webHidden/>
          </w:rPr>
          <w:fldChar w:fldCharType="separate"/>
        </w:r>
        <w:r>
          <w:rPr>
            <w:noProof/>
            <w:webHidden/>
          </w:rPr>
          <w:t>30</w:t>
        </w:r>
        <w:r>
          <w:rPr>
            <w:noProof/>
            <w:webHidden/>
          </w:rPr>
          <w:fldChar w:fldCharType="end"/>
        </w:r>
      </w:hyperlink>
    </w:p>
    <w:p w14:paraId="01C0DF4E" w14:textId="6D6E36EC"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9" w:history="1">
        <w:r w:rsidRPr="00007560">
          <w:rPr>
            <w:rStyle w:val="Hyperlink"/>
            <w:bCs/>
            <w:noProof/>
          </w:rPr>
          <w:t>On Token Enrichment and Architectural Overreach</w:t>
        </w:r>
        <w:r>
          <w:rPr>
            <w:noProof/>
            <w:webHidden/>
          </w:rPr>
          <w:tab/>
        </w:r>
        <w:r>
          <w:rPr>
            <w:noProof/>
            <w:webHidden/>
          </w:rPr>
          <w:fldChar w:fldCharType="begin"/>
        </w:r>
        <w:r>
          <w:rPr>
            <w:noProof/>
            <w:webHidden/>
          </w:rPr>
          <w:instrText xml:space="preserve"> PAGEREF _Toc201921469 \h </w:instrText>
        </w:r>
        <w:r>
          <w:rPr>
            <w:noProof/>
            <w:webHidden/>
          </w:rPr>
        </w:r>
        <w:r>
          <w:rPr>
            <w:noProof/>
            <w:webHidden/>
          </w:rPr>
          <w:fldChar w:fldCharType="separate"/>
        </w:r>
        <w:r>
          <w:rPr>
            <w:noProof/>
            <w:webHidden/>
          </w:rPr>
          <w:t>31</w:t>
        </w:r>
        <w:r>
          <w:rPr>
            <w:noProof/>
            <w:webHidden/>
          </w:rPr>
          <w:fldChar w:fldCharType="end"/>
        </w:r>
      </w:hyperlink>
    </w:p>
    <w:p w14:paraId="5F4370DA" w14:textId="3F00242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70" w:history="1">
        <w:r w:rsidRPr="00007560">
          <w:rPr>
            <w:rStyle w:val="Hyperlink"/>
            <w:noProof/>
          </w:rPr>
          <w:t>Source and Timing of Contextualisation</w:t>
        </w:r>
        <w:r>
          <w:rPr>
            <w:noProof/>
            <w:webHidden/>
          </w:rPr>
          <w:tab/>
        </w:r>
        <w:r>
          <w:rPr>
            <w:noProof/>
            <w:webHidden/>
          </w:rPr>
          <w:fldChar w:fldCharType="begin"/>
        </w:r>
        <w:r>
          <w:rPr>
            <w:noProof/>
            <w:webHidden/>
          </w:rPr>
          <w:instrText xml:space="preserve"> PAGEREF _Toc201921470 \h </w:instrText>
        </w:r>
        <w:r>
          <w:rPr>
            <w:noProof/>
            <w:webHidden/>
          </w:rPr>
        </w:r>
        <w:r>
          <w:rPr>
            <w:noProof/>
            <w:webHidden/>
          </w:rPr>
          <w:fldChar w:fldCharType="separate"/>
        </w:r>
        <w:r>
          <w:rPr>
            <w:noProof/>
            <w:webHidden/>
          </w:rPr>
          <w:t>32</w:t>
        </w:r>
        <w:r>
          <w:rPr>
            <w:noProof/>
            <w:webHidden/>
          </w:rPr>
          <w:fldChar w:fldCharType="end"/>
        </w:r>
      </w:hyperlink>
    </w:p>
    <w:p w14:paraId="394D39E8" w14:textId="76EE392B"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71" w:history="1">
        <w:r w:rsidRPr="00007560">
          <w:rPr>
            <w:rStyle w:val="Hyperlink"/>
            <w:noProof/>
          </w:rPr>
          <w:t>Conclusion</w:t>
        </w:r>
        <w:r>
          <w:rPr>
            <w:noProof/>
            <w:webHidden/>
          </w:rPr>
          <w:tab/>
        </w:r>
        <w:r>
          <w:rPr>
            <w:noProof/>
            <w:webHidden/>
          </w:rPr>
          <w:fldChar w:fldCharType="begin"/>
        </w:r>
        <w:r>
          <w:rPr>
            <w:noProof/>
            <w:webHidden/>
          </w:rPr>
          <w:instrText xml:space="preserve"> PAGEREF _Toc201921471 \h </w:instrText>
        </w:r>
        <w:r>
          <w:rPr>
            <w:noProof/>
            <w:webHidden/>
          </w:rPr>
        </w:r>
        <w:r>
          <w:rPr>
            <w:noProof/>
            <w:webHidden/>
          </w:rPr>
          <w:fldChar w:fldCharType="separate"/>
        </w:r>
        <w:r>
          <w:rPr>
            <w:noProof/>
            <w:webHidden/>
          </w:rPr>
          <w:t>33</w:t>
        </w:r>
        <w:r>
          <w:rPr>
            <w:noProof/>
            <w:webHidden/>
          </w:rPr>
          <w:fldChar w:fldCharType="end"/>
        </w:r>
      </w:hyperlink>
    </w:p>
    <w:p w14:paraId="62B35A89" w14:textId="4937888F"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72" w:history="1">
        <w:r w:rsidRPr="00007560">
          <w:rPr>
            <w:rStyle w:val="Hyperlink"/>
            <w:noProof/>
          </w:rPr>
          <w:t>Appendices</w:t>
        </w:r>
        <w:r>
          <w:rPr>
            <w:noProof/>
            <w:webHidden/>
          </w:rPr>
          <w:tab/>
        </w:r>
        <w:r>
          <w:rPr>
            <w:noProof/>
            <w:webHidden/>
          </w:rPr>
          <w:fldChar w:fldCharType="begin"/>
        </w:r>
        <w:r>
          <w:rPr>
            <w:noProof/>
            <w:webHidden/>
          </w:rPr>
          <w:instrText xml:space="preserve"> PAGEREF _Toc201921472 \h </w:instrText>
        </w:r>
        <w:r>
          <w:rPr>
            <w:noProof/>
            <w:webHidden/>
          </w:rPr>
        </w:r>
        <w:r>
          <w:rPr>
            <w:noProof/>
            <w:webHidden/>
          </w:rPr>
          <w:fldChar w:fldCharType="separate"/>
        </w:r>
        <w:r>
          <w:rPr>
            <w:noProof/>
            <w:webHidden/>
          </w:rPr>
          <w:t>34</w:t>
        </w:r>
        <w:r>
          <w:rPr>
            <w:noProof/>
            <w:webHidden/>
          </w:rPr>
          <w:fldChar w:fldCharType="end"/>
        </w:r>
      </w:hyperlink>
    </w:p>
    <w:p w14:paraId="15A53122" w14:textId="7A89348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73" w:history="1">
        <w:r w:rsidRPr="00007560">
          <w:rPr>
            <w:rStyle w:val="Hyperlink"/>
            <w:noProof/>
          </w:rPr>
          <w:t>Appendix A - Document Information</w:t>
        </w:r>
        <w:r>
          <w:rPr>
            <w:noProof/>
            <w:webHidden/>
          </w:rPr>
          <w:tab/>
        </w:r>
        <w:r>
          <w:rPr>
            <w:noProof/>
            <w:webHidden/>
          </w:rPr>
          <w:fldChar w:fldCharType="begin"/>
        </w:r>
        <w:r>
          <w:rPr>
            <w:noProof/>
            <w:webHidden/>
          </w:rPr>
          <w:instrText xml:space="preserve"> PAGEREF _Toc201921473 \h </w:instrText>
        </w:r>
        <w:r>
          <w:rPr>
            <w:noProof/>
            <w:webHidden/>
          </w:rPr>
        </w:r>
        <w:r>
          <w:rPr>
            <w:noProof/>
            <w:webHidden/>
          </w:rPr>
          <w:fldChar w:fldCharType="separate"/>
        </w:r>
        <w:r>
          <w:rPr>
            <w:noProof/>
            <w:webHidden/>
          </w:rPr>
          <w:t>34</w:t>
        </w:r>
        <w:r>
          <w:rPr>
            <w:noProof/>
            <w:webHidden/>
          </w:rPr>
          <w:fldChar w:fldCharType="end"/>
        </w:r>
      </w:hyperlink>
    </w:p>
    <w:p w14:paraId="7D5AA663" w14:textId="7D61952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4" w:history="1">
        <w:r w:rsidRPr="00007560">
          <w:rPr>
            <w:rStyle w:val="Hyperlink"/>
            <w:noProof/>
          </w:rPr>
          <w:t>Versions</w:t>
        </w:r>
        <w:r>
          <w:rPr>
            <w:noProof/>
            <w:webHidden/>
          </w:rPr>
          <w:tab/>
        </w:r>
        <w:r>
          <w:rPr>
            <w:noProof/>
            <w:webHidden/>
          </w:rPr>
          <w:fldChar w:fldCharType="begin"/>
        </w:r>
        <w:r>
          <w:rPr>
            <w:noProof/>
            <w:webHidden/>
          </w:rPr>
          <w:instrText xml:space="preserve"> PAGEREF _Toc201921474 \h </w:instrText>
        </w:r>
        <w:r>
          <w:rPr>
            <w:noProof/>
            <w:webHidden/>
          </w:rPr>
        </w:r>
        <w:r>
          <w:rPr>
            <w:noProof/>
            <w:webHidden/>
          </w:rPr>
          <w:fldChar w:fldCharType="separate"/>
        </w:r>
        <w:r>
          <w:rPr>
            <w:noProof/>
            <w:webHidden/>
          </w:rPr>
          <w:t>34</w:t>
        </w:r>
        <w:r>
          <w:rPr>
            <w:noProof/>
            <w:webHidden/>
          </w:rPr>
          <w:fldChar w:fldCharType="end"/>
        </w:r>
      </w:hyperlink>
    </w:p>
    <w:p w14:paraId="19AE1748" w14:textId="41B22EEC"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5" w:history="1">
        <w:r w:rsidRPr="00007560">
          <w:rPr>
            <w:rStyle w:val="Hyperlink"/>
            <w:noProof/>
          </w:rPr>
          <w:t>Images</w:t>
        </w:r>
        <w:r>
          <w:rPr>
            <w:noProof/>
            <w:webHidden/>
          </w:rPr>
          <w:tab/>
        </w:r>
        <w:r>
          <w:rPr>
            <w:noProof/>
            <w:webHidden/>
          </w:rPr>
          <w:fldChar w:fldCharType="begin"/>
        </w:r>
        <w:r>
          <w:rPr>
            <w:noProof/>
            <w:webHidden/>
          </w:rPr>
          <w:instrText xml:space="preserve"> PAGEREF _Toc201921475 \h </w:instrText>
        </w:r>
        <w:r>
          <w:rPr>
            <w:noProof/>
            <w:webHidden/>
          </w:rPr>
        </w:r>
        <w:r>
          <w:rPr>
            <w:noProof/>
            <w:webHidden/>
          </w:rPr>
          <w:fldChar w:fldCharType="separate"/>
        </w:r>
        <w:r>
          <w:rPr>
            <w:noProof/>
            <w:webHidden/>
          </w:rPr>
          <w:t>34</w:t>
        </w:r>
        <w:r>
          <w:rPr>
            <w:noProof/>
            <w:webHidden/>
          </w:rPr>
          <w:fldChar w:fldCharType="end"/>
        </w:r>
      </w:hyperlink>
    </w:p>
    <w:p w14:paraId="46BFED9D" w14:textId="42DC2A4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6" w:history="1">
        <w:r w:rsidRPr="00007560">
          <w:rPr>
            <w:rStyle w:val="Hyperlink"/>
            <w:noProof/>
          </w:rPr>
          <w:t>Tables</w:t>
        </w:r>
        <w:r>
          <w:rPr>
            <w:noProof/>
            <w:webHidden/>
          </w:rPr>
          <w:tab/>
        </w:r>
        <w:r>
          <w:rPr>
            <w:noProof/>
            <w:webHidden/>
          </w:rPr>
          <w:fldChar w:fldCharType="begin"/>
        </w:r>
        <w:r>
          <w:rPr>
            <w:noProof/>
            <w:webHidden/>
          </w:rPr>
          <w:instrText xml:space="preserve"> PAGEREF _Toc201921476 \h </w:instrText>
        </w:r>
        <w:r>
          <w:rPr>
            <w:noProof/>
            <w:webHidden/>
          </w:rPr>
        </w:r>
        <w:r>
          <w:rPr>
            <w:noProof/>
            <w:webHidden/>
          </w:rPr>
          <w:fldChar w:fldCharType="separate"/>
        </w:r>
        <w:r>
          <w:rPr>
            <w:noProof/>
            <w:webHidden/>
          </w:rPr>
          <w:t>34</w:t>
        </w:r>
        <w:r>
          <w:rPr>
            <w:noProof/>
            <w:webHidden/>
          </w:rPr>
          <w:fldChar w:fldCharType="end"/>
        </w:r>
      </w:hyperlink>
    </w:p>
    <w:p w14:paraId="4C0B6C50" w14:textId="094F25C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7" w:history="1">
        <w:r w:rsidRPr="00007560">
          <w:rPr>
            <w:rStyle w:val="Hyperlink"/>
            <w:noProof/>
          </w:rPr>
          <w:t>References</w:t>
        </w:r>
        <w:r>
          <w:rPr>
            <w:noProof/>
            <w:webHidden/>
          </w:rPr>
          <w:tab/>
        </w:r>
        <w:r>
          <w:rPr>
            <w:noProof/>
            <w:webHidden/>
          </w:rPr>
          <w:fldChar w:fldCharType="begin"/>
        </w:r>
        <w:r>
          <w:rPr>
            <w:noProof/>
            <w:webHidden/>
          </w:rPr>
          <w:instrText xml:space="preserve"> PAGEREF _Toc201921477 \h </w:instrText>
        </w:r>
        <w:r>
          <w:rPr>
            <w:noProof/>
            <w:webHidden/>
          </w:rPr>
        </w:r>
        <w:r>
          <w:rPr>
            <w:noProof/>
            <w:webHidden/>
          </w:rPr>
          <w:fldChar w:fldCharType="separate"/>
        </w:r>
        <w:r>
          <w:rPr>
            <w:noProof/>
            <w:webHidden/>
          </w:rPr>
          <w:t>34</w:t>
        </w:r>
        <w:r>
          <w:rPr>
            <w:noProof/>
            <w:webHidden/>
          </w:rPr>
          <w:fldChar w:fldCharType="end"/>
        </w:r>
      </w:hyperlink>
    </w:p>
    <w:p w14:paraId="6D470F74" w14:textId="78250D82"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8" w:history="1">
        <w:r w:rsidRPr="00007560">
          <w:rPr>
            <w:rStyle w:val="Hyperlink"/>
            <w:noProof/>
          </w:rPr>
          <w:t>Review Distribution</w:t>
        </w:r>
        <w:r>
          <w:rPr>
            <w:noProof/>
            <w:webHidden/>
          </w:rPr>
          <w:tab/>
        </w:r>
        <w:r>
          <w:rPr>
            <w:noProof/>
            <w:webHidden/>
          </w:rPr>
          <w:fldChar w:fldCharType="begin"/>
        </w:r>
        <w:r>
          <w:rPr>
            <w:noProof/>
            <w:webHidden/>
          </w:rPr>
          <w:instrText xml:space="preserve"> PAGEREF _Toc201921478 \h </w:instrText>
        </w:r>
        <w:r>
          <w:rPr>
            <w:noProof/>
            <w:webHidden/>
          </w:rPr>
        </w:r>
        <w:r>
          <w:rPr>
            <w:noProof/>
            <w:webHidden/>
          </w:rPr>
          <w:fldChar w:fldCharType="separate"/>
        </w:r>
        <w:r>
          <w:rPr>
            <w:noProof/>
            <w:webHidden/>
          </w:rPr>
          <w:t>34</w:t>
        </w:r>
        <w:r>
          <w:rPr>
            <w:noProof/>
            <w:webHidden/>
          </w:rPr>
          <w:fldChar w:fldCharType="end"/>
        </w:r>
      </w:hyperlink>
    </w:p>
    <w:p w14:paraId="5A28BF8A" w14:textId="097DAAE4"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9" w:history="1">
        <w:r w:rsidRPr="00007560">
          <w:rPr>
            <w:rStyle w:val="Hyperlink"/>
            <w:noProof/>
          </w:rPr>
          <w:t>Audience</w:t>
        </w:r>
        <w:r>
          <w:rPr>
            <w:noProof/>
            <w:webHidden/>
          </w:rPr>
          <w:tab/>
        </w:r>
        <w:r>
          <w:rPr>
            <w:noProof/>
            <w:webHidden/>
          </w:rPr>
          <w:fldChar w:fldCharType="begin"/>
        </w:r>
        <w:r>
          <w:rPr>
            <w:noProof/>
            <w:webHidden/>
          </w:rPr>
          <w:instrText xml:space="preserve"> PAGEREF _Toc201921479 \h </w:instrText>
        </w:r>
        <w:r>
          <w:rPr>
            <w:noProof/>
            <w:webHidden/>
          </w:rPr>
        </w:r>
        <w:r>
          <w:rPr>
            <w:noProof/>
            <w:webHidden/>
          </w:rPr>
          <w:fldChar w:fldCharType="separate"/>
        </w:r>
        <w:r>
          <w:rPr>
            <w:noProof/>
            <w:webHidden/>
          </w:rPr>
          <w:t>35</w:t>
        </w:r>
        <w:r>
          <w:rPr>
            <w:noProof/>
            <w:webHidden/>
          </w:rPr>
          <w:fldChar w:fldCharType="end"/>
        </w:r>
      </w:hyperlink>
    </w:p>
    <w:p w14:paraId="6848E846" w14:textId="3428CF45"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0" w:history="1">
        <w:r w:rsidRPr="00007560">
          <w:rPr>
            <w:rStyle w:val="Hyperlink"/>
            <w:noProof/>
          </w:rPr>
          <w:t>Structure</w:t>
        </w:r>
        <w:r>
          <w:rPr>
            <w:noProof/>
            <w:webHidden/>
          </w:rPr>
          <w:tab/>
        </w:r>
        <w:r>
          <w:rPr>
            <w:noProof/>
            <w:webHidden/>
          </w:rPr>
          <w:fldChar w:fldCharType="begin"/>
        </w:r>
        <w:r>
          <w:rPr>
            <w:noProof/>
            <w:webHidden/>
          </w:rPr>
          <w:instrText xml:space="preserve"> PAGEREF _Toc201921480 \h </w:instrText>
        </w:r>
        <w:r>
          <w:rPr>
            <w:noProof/>
            <w:webHidden/>
          </w:rPr>
        </w:r>
        <w:r>
          <w:rPr>
            <w:noProof/>
            <w:webHidden/>
          </w:rPr>
          <w:fldChar w:fldCharType="separate"/>
        </w:r>
        <w:r>
          <w:rPr>
            <w:noProof/>
            <w:webHidden/>
          </w:rPr>
          <w:t>35</w:t>
        </w:r>
        <w:r>
          <w:rPr>
            <w:noProof/>
            <w:webHidden/>
          </w:rPr>
          <w:fldChar w:fldCharType="end"/>
        </w:r>
      </w:hyperlink>
    </w:p>
    <w:p w14:paraId="5003A8C9" w14:textId="48F266A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1" w:history="1">
        <w:r w:rsidRPr="00007560">
          <w:rPr>
            <w:rStyle w:val="Hyperlink"/>
            <w:noProof/>
          </w:rPr>
          <w:t>Diagrams</w:t>
        </w:r>
        <w:r>
          <w:rPr>
            <w:noProof/>
            <w:webHidden/>
          </w:rPr>
          <w:tab/>
        </w:r>
        <w:r>
          <w:rPr>
            <w:noProof/>
            <w:webHidden/>
          </w:rPr>
          <w:fldChar w:fldCharType="begin"/>
        </w:r>
        <w:r>
          <w:rPr>
            <w:noProof/>
            <w:webHidden/>
          </w:rPr>
          <w:instrText xml:space="preserve"> PAGEREF _Toc201921481 \h </w:instrText>
        </w:r>
        <w:r>
          <w:rPr>
            <w:noProof/>
            <w:webHidden/>
          </w:rPr>
        </w:r>
        <w:r>
          <w:rPr>
            <w:noProof/>
            <w:webHidden/>
          </w:rPr>
          <w:fldChar w:fldCharType="separate"/>
        </w:r>
        <w:r>
          <w:rPr>
            <w:noProof/>
            <w:webHidden/>
          </w:rPr>
          <w:t>35</w:t>
        </w:r>
        <w:r>
          <w:rPr>
            <w:noProof/>
            <w:webHidden/>
          </w:rPr>
          <w:fldChar w:fldCharType="end"/>
        </w:r>
      </w:hyperlink>
    </w:p>
    <w:p w14:paraId="376EFB51" w14:textId="6DE31901"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2" w:history="1">
        <w:r w:rsidRPr="00007560">
          <w:rPr>
            <w:rStyle w:val="Hyperlink"/>
            <w:noProof/>
          </w:rPr>
          <w:t>Acronyms</w:t>
        </w:r>
        <w:r>
          <w:rPr>
            <w:noProof/>
            <w:webHidden/>
          </w:rPr>
          <w:tab/>
        </w:r>
        <w:r>
          <w:rPr>
            <w:noProof/>
            <w:webHidden/>
          </w:rPr>
          <w:fldChar w:fldCharType="begin"/>
        </w:r>
        <w:r>
          <w:rPr>
            <w:noProof/>
            <w:webHidden/>
          </w:rPr>
          <w:instrText xml:space="preserve"> PAGEREF _Toc201921482 \h </w:instrText>
        </w:r>
        <w:r>
          <w:rPr>
            <w:noProof/>
            <w:webHidden/>
          </w:rPr>
        </w:r>
        <w:r>
          <w:rPr>
            <w:noProof/>
            <w:webHidden/>
          </w:rPr>
          <w:fldChar w:fldCharType="separate"/>
        </w:r>
        <w:r>
          <w:rPr>
            <w:noProof/>
            <w:webHidden/>
          </w:rPr>
          <w:t>35</w:t>
        </w:r>
        <w:r>
          <w:rPr>
            <w:noProof/>
            <w:webHidden/>
          </w:rPr>
          <w:fldChar w:fldCharType="end"/>
        </w:r>
      </w:hyperlink>
    </w:p>
    <w:p w14:paraId="37AC132A" w14:textId="023BC7EF"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3" w:history="1">
        <w:r w:rsidRPr="00007560">
          <w:rPr>
            <w:rStyle w:val="Hyperlink"/>
            <w:noProof/>
          </w:rPr>
          <w:t>Terms</w:t>
        </w:r>
        <w:r>
          <w:rPr>
            <w:noProof/>
            <w:webHidden/>
          </w:rPr>
          <w:tab/>
        </w:r>
        <w:r>
          <w:rPr>
            <w:noProof/>
            <w:webHidden/>
          </w:rPr>
          <w:fldChar w:fldCharType="begin"/>
        </w:r>
        <w:r>
          <w:rPr>
            <w:noProof/>
            <w:webHidden/>
          </w:rPr>
          <w:instrText xml:space="preserve"> PAGEREF _Toc201921483 \h </w:instrText>
        </w:r>
        <w:r>
          <w:rPr>
            <w:noProof/>
            <w:webHidden/>
          </w:rPr>
        </w:r>
        <w:r>
          <w:rPr>
            <w:noProof/>
            <w:webHidden/>
          </w:rPr>
          <w:fldChar w:fldCharType="separate"/>
        </w:r>
        <w:r>
          <w:rPr>
            <w:noProof/>
            <w:webHidden/>
          </w:rPr>
          <w:t>35</w:t>
        </w:r>
        <w:r>
          <w:rPr>
            <w:noProof/>
            <w:webHidden/>
          </w:rPr>
          <w:fldChar w:fldCharType="end"/>
        </w:r>
      </w:hyperlink>
    </w:p>
    <w:p w14:paraId="5F6809B3" w14:textId="5ACBA20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84" w:history="1">
        <w:r w:rsidRPr="00007560">
          <w:rPr>
            <w:rStyle w:val="Hyperlink"/>
            <w:noProof/>
          </w:rPr>
          <w:t>Appendix B - Document Information</w:t>
        </w:r>
        <w:r>
          <w:rPr>
            <w:noProof/>
            <w:webHidden/>
          </w:rPr>
          <w:tab/>
        </w:r>
        <w:r>
          <w:rPr>
            <w:noProof/>
            <w:webHidden/>
          </w:rPr>
          <w:fldChar w:fldCharType="begin"/>
        </w:r>
        <w:r>
          <w:rPr>
            <w:noProof/>
            <w:webHidden/>
          </w:rPr>
          <w:instrText xml:space="preserve"> PAGEREF _Toc201921484 \h </w:instrText>
        </w:r>
        <w:r>
          <w:rPr>
            <w:noProof/>
            <w:webHidden/>
          </w:rPr>
        </w:r>
        <w:r>
          <w:rPr>
            <w:noProof/>
            <w:webHidden/>
          </w:rPr>
          <w:fldChar w:fldCharType="separate"/>
        </w:r>
        <w:r>
          <w:rPr>
            <w:noProof/>
            <w:webHidden/>
          </w:rPr>
          <w:t>36</w:t>
        </w:r>
        <w:r>
          <w:rPr>
            <w:noProof/>
            <w:webHidden/>
          </w:rPr>
          <w:fldChar w:fldCharType="end"/>
        </w:r>
      </w:hyperlink>
    </w:p>
    <w:p w14:paraId="3548F0E5" w14:textId="764CEA7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85" w:history="1">
        <w:r w:rsidRPr="00007560">
          <w:rPr>
            <w:rStyle w:val="Hyperlink"/>
            <w:noProof/>
          </w:rPr>
          <w:t>Appendix C – Use Sub to disambiguate users</w:t>
        </w:r>
        <w:r>
          <w:rPr>
            <w:noProof/>
            <w:webHidden/>
          </w:rPr>
          <w:tab/>
        </w:r>
        <w:r>
          <w:rPr>
            <w:noProof/>
            <w:webHidden/>
          </w:rPr>
          <w:fldChar w:fldCharType="begin"/>
        </w:r>
        <w:r>
          <w:rPr>
            <w:noProof/>
            <w:webHidden/>
          </w:rPr>
          <w:instrText xml:space="preserve"> PAGEREF _Toc201921485 \h </w:instrText>
        </w:r>
        <w:r>
          <w:rPr>
            <w:noProof/>
            <w:webHidden/>
          </w:rPr>
        </w:r>
        <w:r>
          <w:rPr>
            <w:noProof/>
            <w:webHidden/>
          </w:rPr>
          <w:fldChar w:fldCharType="separate"/>
        </w:r>
        <w:r>
          <w:rPr>
            <w:noProof/>
            <w:webHidden/>
          </w:rPr>
          <w:t>36</w:t>
        </w:r>
        <w:r>
          <w:rPr>
            <w:noProof/>
            <w:webHidden/>
          </w:rPr>
          <w:fldChar w:fldCharType="end"/>
        </w:r>
      </w:hyperlink>
    </w:p>
    <w:p w14:paraId="62B81066" w14:textId="4A4E4500"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1921411"/>
      <w:r>
        <w:lastRenderedPageBreak/>
        <w:t>Purpose and Audience</w:t>
      </w:r>
      <w:bookmarkEnd w:id="4"/>
    </w:p>
    <w:p w14:paraId="0806E863" w14:textId="77777777" w:rsidR="00354EF2" w:rsidRPr="00354EF2" w:rsidRDefault="00354EF2" w:rsidP="00354EF2">
      <w:pPr>
        <w:pStyle w:val="BodyText"/>
      </w:pPr>
      <w:r w:rsidRPr="00354EF2">
        <w:t>This document provides architectural guidance on the correct handling of contextual information in federated identity systems. It clarifies the distinction between identity and context, explains the limitations of relying on identity providers (IdPs) for role or group data, and outlines reliable design strategies for contextualisation in education, organisational, and government systems.</w:t>
      </w:r>
    </w:p>
    <w:p w14:paraId="3147B85D" w14:textId="54A87622" w:rsidR="00354EF2" w:rsidRPr="00354EF2" w:rsidRDefault="00354EF2" w:rsidP="00354EF2">
      <w:pPr>
        <w:pStyle w:val="BodyText"/>
      </w:pPr>
      <w:r w:rsidRPr="00354EF2">
        <w:t>This guidance is intended for architects, solution designers, and system owners responsible for identity and access management in federated or multi-tenant environments. It will also benefit developers implementing user provisioning, authentication, and authorisation mechanisms, particularly where identity is sourced from third-party IdPs.</w:t>
      </w:r>
    </w:p>
    <w:p w14:paraId="33C980F6" w14:textId="79F98CCD" w:rsidR="005432E3" w:rsidRDefault="00C87630" w:rsidP="00EC1D47">
      <w:pPr>
        <w:pStyle w:val="Heading1"/>
      </w:pPr>
      <w:bookmarkStart w:id="5" w:name="Location_DocumentIndex"/>
      <w:bookmarkStart w:id="6" w:name="_Toc201921412"/>
      <w:bookmarkEnd w:id="5"/>
      <w:r>
        <w:t>Scope</w:t>
      </w:r>
      <w:bookmarkEnd w:id="6"/>
    </w:p>
    <w:p w14:paraId="4A9C6F7F" w14:textId="14423DA8" w:rsidR="00991567" w:rsidRPr="00991567" w:rsidRDefault="00991567" w:rsidP="00991567">
      <w:pPr>
        <w:pStyle w:val="BodyText"/>
      </w:pPr>
      <w:r w:rsidRPr="00991567">
        <w:t>The document addresses how and when user context should be assigned relative to identity provisioning. It distinguishes roles and memberships, outlines typical lifecycle stages for context assignment, warns against over-reliance on identity tokens, and recommends appropriate mechanisms for context governance. It assumes OpenID Connect (OIDC) is used for authentication and considers sectoral or national identity overlays where relevant.</w:t>
      </w:r>
    </w:p>
    <w:p w14:paraId="2693ABFB" w14:textId="59861D98" w:rsidR="00EC1D47" w:rsidRDefault="00C87630" w:rsidP="00EC1D47">
      <w:pPr>
        <w:pStyle w:val="Heading1"/>
      </w:pPr>
      <w:bookmarkStart w:id="7" w:name="_Toc201921413"/>
      <w:r>
        <w:t>Background</w:t>
      </w:r>
      <w:bookmarkEnd w:id="7"/>
    </w:p>
    <w:p w14:paraId="48DD5896" w14:textId="77777777" w:rsidR="006407E9" w:rsidRPr="006407E9" w:rsidRDefault="006407E9" w:rsidP="006407E9">
      <w:pPr>
        <w:pStyle w:val="BodyText"/>
      </w:pPr>
      <w:r w:rsidRPr="006407E9">
        <w:t xml:space="preserve">Modern digital systems supporting identity management must account for three distinct but related concerns: </w:t>
      </w:r>
      <w:r w:rsidRPr="006407E9">
        <w:rPr>
          <w:b/>
          <w:bCs/>
        </w:rPr>
        <w:t>User Provisioning</w:t>
      </w:r>
      <w:r w:rsidRPr="006407E9">
        <w:t xml:space="preserve">, </w:t>
      </w:r>
      <w:r w:rsidRPr="006407E9">
        <w:rPr>
          <w:b/>
          <w:bCs/>
        </w:rPr>
        <w:t>Contextualisation</w:t>
      </w:r>
      <w:r w:rsidRPr="006407E9">
        <w:t xml:space="preserve">, and </w:t>
      </w:r>
      <w:r w:rsidRPr="006407E9">
        <w:rPr>
          <w:b/>
          <w:bCs/>
        </w:rPr>
        <w:t>Role Assignment</w:t>
      </w:r>
      <w:r w:rsidRPr="006407E9">
        <w:t>. These are often conflated in practice because they appear together in onboarding flows. However, they serve different purposes and must be kept logically separate within the system design.</w:t>
      </w:r>
    </w:p>
    <w:p w14:paraId="6E9C46A2" w14:textId="77777777" w:rsidR="006407E9" w:rsidRPr="006407E9" w:rsidRDefault="006407E9" w:rsidP="006407E9">
      <w:pPr>
        <w:pStyle w:val="BodyText"/>
      </w:pPr>
      <w:r w:rsidRPr="006407E9">
        <w:rPr>
          <w:b/>
          <w:bCs/>
        </w:rPr>
        <w:t>Provisioning</w:t>
      </w:r>
      <w:r w:rsidRPr="006407E9">
        <w:t xml:space="preserve"> is the act of creating a system-recognised User. This is typically triggered by a user signing in for the first time, being invited, or being added through a synchronisation mechanism like SCIM. Provisioning creates an internal user record and links it to one or more DigitalId entries that represent their identity in external IdPs.</w:t>
      </w:r>
    </w:p>
    <w:p w14:paraId="7C4EB460" w14:textId="77777777" w:rsidR="006407E9" w:rsidRPr="006407E9" w:rsidRDefault="006407E9" w:rsidP="006407E9">
      <w:pPr>
        <w:pStyle w:val="BodyText"/>
      </w:pPr>
      <w:r w:rsidRPr="006407E9">
        <w:rPr>
          <w:b/>
          <w:bCs/>
        </w:rPr>
        <w:t>Contextualisation</w:t>
      </w:r>
      <w:r w:rsidRPr="006407E9">
        <w:t xml:space="preserve"> involves establishing the user’s position within the structural groups of the system. These may be organisational units, workspaces, classes, or other domain-specific groupings. This step is where the system determines </w:t>
      </w:r>
      <w:r w:rsidRPr="006407E9">
        <w:rPr>
          <w:i/>
          <w:iCs/>
        </w:rPr>
        <w:t>where</w:t>
      </w:r>
      <w:r w:rsidRPr="006407E9">
        <w:t xml:space="preserve"> a person belongs.</w:t>
      </w:r>
    </w:p>
    <w:p w14:paraId="726ACD12" w14:textId="77777777" w:rsidR="006407E9" w:rsidRPr="006407E9" w:rsidRDefault="006407E9" w:rsidP="006407E9">
      <w:pPr>
        <w:pStyle w:val="BodyText"/>
      </w:pPr>
      <w:r w:rsidRPr="006407E9">
        <w:rPr>
          <w:b/>
          <w:bCs/>
        </w:rPr>
        <w:t>Role Assignment</w:t>
      </w:r>
      <w:r w:rsidRPr="006407E9">
        <w:t xml:space="preserve"> defines </w:t>
      </w:r>
      <w:r w:rsidRPr="006407E9">
        <w:rPr>
          <w:i/>
          <w:iCs/>
        </w:rPr>
        <w:t>what</w:t>
      </w:r>
      <w:r w:rsidRPr="006407E9">
        <w:t xml:space="preserve"> the user is allowed to do within those groups—e.g. whether they are a viewer, contributor, manager, or administrator.</w:t>
      </w:r>
    </w:p>
    <w:p w14:paraId="064A11AC" w14:textId="77777777" w:rsidR="006407E9" w:rsidRPr="006407E9" w:rsidRDefault="006407E9" w:rsidP="006407E9">
      <w:pPr>
        <w:pStyle w:val="BodyText"/>
      </w:pPr>
      <w:r w:rsidRPr="006407E9">
        <w:t xml:space="preserve">In a mature system, each of these steps may be managed by different services or components. They may also occur at different times: for example, a user may be </w:t>
      </w:r>
      <w:r w:rsidRPr="006407E9">
        <w:lastRenderedPageBreak/>
        <w:t>provisioned before their context is known, or assigned a new role long after their initial onboarding.</w:t>
      </w:r>
    </w:p>
    <w:p w14:paraId="502A4953" w14:textId="0D1013D6" w:rsidR="006407E9" w:rsidRDefault="002D4280" w:rsidP="0097530D">
      <w:pPr>
        <w:pStyle w:val="BodyText"/>
      </w:pPr>
      <w:r w:rsidRPr="002D4280">
        <w:t>Although this document treats these concerns separately in definition, the remainder of the guidance discusses them together in relation to key onboarding patterns. This better reflects real-world flows, where provisioning, contextualisation, and role assignment often occur in concert.</w:t>
      </w:r>
    </w:p>
    <w:p w14:paraId="3F781838" w14:textId="130D61F9" w:rsidR="00B909CF" w:rsidRDefault="00B909CF" w:rsidP="00EC71C1">
      <w:pPr>
        <w:pStyle w:val="Heading2"/>
      </w:pPr>
      <w:bookmarkStart w:id="8" w:name="_Toc201921414"/>
      <w:r w:rsidRPr="00B909CF">
        <w:t xml:space="preserve">Historical </w:t>
      </w:r>
      <w:r w:rsidR="00532332" w:rsidRPr="00B909CF">
        <w:t>Patterns</w:t>
      </w:r>
      <w:r w:rsidR="00A1262C">
        <w:t>: In-system Authentication</w:t>
      </w:r>
      <w:bookmarkEnd w:id="8"/>
    </w:p>
    <w:p w14:paraId="01133F2D" w14:textId="6AA9D383" w:rsidR="00B909CF" w:rsidRPr="00B909CF" w:rsidRDefault="00B909CF" w:rsidP="00B909CF">
      <w:pPr>
        <w:pStyle w:val="BodyText"/>
      </w:pPr>
      <w:r w:rsidRPr="00B909CF">
        <w:t xml:space="preserve">Prior to the widespread adoption of external identity providers, most applications implemented their own authentication systems. These typically involved a User table containing a username, email address, display name, and a hashed </w:t>
      </w:r>
      <w:r w:rsidR="00D3663F">
        <w:t xml:space="preserve">salted </w:t>
      </w:r>
      <w:r w:rsidRPr="00B909CF">
        <w:t>password—often with application-defined rules for password strength, expiry, and reset mechanisms. This model placed ongoing security responsibilities, including credential storage</w:t>
      </w:r>
      <w:r w:rsidR="00D3663F">
        <w:t xml:space="preserve">, </w:t>
      </w:r>
      <w:r w:rsidRPr="00B909CF">
        <w:t xml:space="preserve">authentication logic, </w:t>
      </w:r>
      <w:r w:rsidR="00D3663F">
        <w:t xml:space="preserve">retry monitoring, and auditing, </w:t>
      </w:r>
      <w:r w:rsidRPr="00B909CF">
        <w:t>on each individual system.</w:t>
      </w:r>
    </w:p>
    <w:p w14:paraId="5A6B5605" w14:textId="77777777" w:rsidR="00B909CF" w:rsidRDefault="00B909CF" w:rsidP="00B909CF">
      <w:pPr>
        <w:pStyle w:val="BodyText"/>
      </w:pPr>
      <w:r w:rsidRPr="00B909CF">
        <w:t>While functional in isolated contexts, these in-system authentication models created significant long-term risks. Systems built primarily to deliver business functions were now also responsible for sensitive security infrastructure. Over time, as threat surfaces grew and compliance expectations rose, this approach became both fragile and burdensome.</w:t>
      </w:r>
    </w:p>
    <w:p w14:paraId="3BB3F8BD" w14:textId="1EBBA37C" w:rsidR="00EC71C1" w:rsidRPr="00B909CF" w:rsidRDefault="00532332" w:rsidP="00EC71C1">
      <w:pPr>
        <w:pStyle w:val="Heading2"/>
      </w:pPr>
      <w:bookmarkStart w:id="9" w:name="_Toc201921415"/>
      <w:r>
        <w:t>Current Authentication Patterns: Delegated Authentication</w:t>
      </w:r>
      <w:bookmarkEnd w:id="9"/>
    </w:p>
    <w:p w14:paraId="24F56FDC" w14:textId="77777777" w:rsidR="00962CC7" w:rsidRDefault="00B909CF" w:rsidP="00B909CF">
      <w:pPr>
        <w:pStyle w:val="BodyText"/>
      </w:pPr>
      <w:r w:rsidRPr="00B909CF">
        <w:t>Modern architecture</w:t>
      </w:r>
      <w:r w:rsidR="00344E6C">
        <w:t xml:space="preserve">s </w:t>
      </w:r>
      <w:r w:rsidRPr="00B909CF">
        <w:t>have since moved toward</w:t>
      </w:r>
      <w:r w:rsidR="00344E6C">
        <w:t xml:space="preserve"> a pattern of</w:t>
      </w:r>
      <w:r w:rsidRPr="00B909CF">
        <w:t xml:space="preserve"> </w:t>
      </w:r>
      <w:r w:rsidRPr="00B909CF">
        <w:rPr>
          <w:b/>
          <w:bCs/>
        </w:rPr>
        <w:t>delegated authentication</w:t>
      </w:r>
      <w:r w:rsidRPr="00B909CF">
        <w:t xml:space="preserve">—offloading identity verification to trusted external identity providers (IdPs), typically using standards like OpenID Connect (OIDC). </w:t>
      </w:r>
    </w:p>
    <w:p w14:paraId="62CFF241" w14:textId="1617AA85" w:rsidR="00B909CF" w:rsidRDefault="00B909CF" w:rsidP="00B909CF">
      <w:pPr>
        <w:pStyle w:val="BodyText"/>
      </w:pPr>
      <w:r w:rsidRPr="00B909CF">
        <w:t>In these systems, the application’s User table remains but is minimal, often containing only an internal ID and a display name. A separate DigitalId table records the link between the internal user and one or more external identities, each defined by an iss (issuer, representing the IdP) and sub (subject, the unique user ID within that IdP).</w:t>
      </w:r>
    </w:p>
    <w:p w14:paraId="6E4BB7DC" w14:textId="7C4FC42E" w:rsidR="00776A21" w:rsidRDefault="00A54DEA" w:rsidP="00B01CB4">
      <w:pPr>
        <w:pStyle w:val="Heading2"/>
      </w:pPr>
      <w:bookmarkStart w:id="10" w:name="_Toc201921416"/>
      <w:r>
        <w:t>Current Authentication Patterns: Mixed Mode Authentication</w:t>
      </w:r>
      <w:bookmarkEnd w:id="10"/>
    </w:p>
    <w:p w14:paraId="212A7984" w14:textId="36DACE68" w:rsidR="00A54DEA" w:rsidRDefault="00A54DEA" w:rsidP="00B909CF">
      <w:pPr>
        <w:pStyle w:val="BodyText"/>
      </w:pPr>
      <w:r>
        <w:t xml:space="preserve">The shift to </w:t>
      </w:r>
      <w:r w:rsidRPr="00A54DEA">
        <w:rPr>
          <w:i/>
          <w:iCs/>
        </w:rPr>
        <w:t>Delegated Authentication</w:t>
      </w:r>
      <w:r>
        <w:t xml:space="preserve"> </w:t>
      </w:r>
      <w:r w:rsidR="00EC71C1" w:rsidRPr="00EC71C1">
        <w:t>improves security and maintainability</w:t>
      </w:r>
      <w:r>
        <w:t>,</w:t>
      </w:r>
      <w:r w:rsidR="00EC71C1" w:rsidRPr="00EC71C1">
        <w:t xml:space="preserve"> </w:t>
      </w:r>
      <w:r>
        <w:t xml:space="preserve">however </w:t>
      </w:r>
      <w:r w:rsidR="00EC71C1" w:rsidRPr="00EC71C1">
        <w:t xml:space="preserve">does not eliminate all edge cases. </w:t>
      </w:r>
    </w:p>
    <w:p w14:paraId="247FF605" w14:textId="55A47507" w:rsidR="00EC71C1" w:rsidRPr="00B909CF" w:rsidRDefault="00EC71C1" w:rsidP="00B909CF">
      <w:pPr>
        <w:pStyle w:val="BodyText"/>
      </w:pPr>
      <w:r w:rsidRPr="00EC71C1">
        <w:t>Some users cannot be served by external identity providers. This includes the initial system administrator, who must be present before any external IdP can be integrated or used. It also includes users in underserved demographics, such as children who fall below the minimum age thresholds imposed by commercial identity services. In addition, certain operational environments—such as offline or air-gapped systems—may preclude the use of external sign-in entirely, requiring alternative local authentication methods.</w:t>
      </w:r>
    </w:p>
    <w:p w14:paraId="12457AC8" w14:textId="59569D18" w:rsidR="00B909CF" w:rsidRPr="00B909CF" w:rsidRDefault="00B909CF" w:rsidP="00B909CF">
      <w:pPr>
        <w:pStyle w:val="BodyText"/>
      </w:pPr>
      <w:r w:rsidRPr="00B909CF">
        <w:t xml:space="preserve">In these cases, the system must still support local authentication. This is typically handled via a LocalCredential table, storing salted password hashes </w:t>
      </w:r>
      <w:r w:rsidR="00EC71C1">
        <w:t>and/</w:t>
      </w:r>
      <w:r w:rsidRPr="00B909CF">
        <w:t xml:space="preserve">or alternate secrets, and </w:t>
      </w:r>
      <w:r w:rsidRPr="00B909CF">
        <w:lastRenderedPageBreak/>
        <w:t xml:space="preserve">optionally supporting multi-factor authentication (e.g. via </w:t>
      </w:r>
      <w:r w:rsidR="0046200D">
        <w:t xml:space="preserve">capturing </w:t>
      </w:r>
      <w:r w:rsidRPr="00B909CF">
        <w:t>SMS or authenticator apps</w:t>
      </w:r>
      <w:r w:rsidR="0046200D">
        <w:t xml:space="preserve"> identifiers</w:t>
      </w:r>
      <w:r w:rsidRPr="00B909CF">
        <w:t>). Such fallback mechanisms must be treated as first-class security concerns and require the same rigour as any modern authentication system.</w:t>
      </w:r>
    </w:p>
    <w:p w14:paraId="544D6CAB" w14:textId="31ED9CD1" w:rsidR="00B909CF" w:rsidRDefault="007C7FA0" w:rsidP="007C7FA0">
      <w:pPr>
        <w:pStyle w:val="Heading2"/>
      </w:pPr>
      <w:bookmarkStart w:id="11" w:name="_Toc201921417"/>
      <w:r>
        <w:t>SaaS</w:t>
      </w:r>
      <w:r w:rsidR="00EE06F1">
        <w:t xml:space="preserve"> or SaaP</w:t>
      </w:r>
      <w:bookmarkEnd w:id="11"/>
    </w:p>
    <w:p w14:paraId="0667EE4E" w14:textId="77777777" w:rsidR="00EE06F1" w:rsidRPr="00EE06F1" w:rsidRDefault="007C7FA0" w:rsidP="007C7FA0">
      <w:pPr>
        <w:pStyle w:val="BodyText"/>
      </w:pPr>
      <w:r w:rsidRPr="00B909CF">
        <w:t>It is important to recognise that</w:t>
      </w:r>
      <w:r w:rsidR="00EE06F1" w:rsidRPr="00EE06F1">
        <w:t xml:space="preserve"> in </w:t>
      </w:r>
      <w:r w:rsidR="00EE06F1" w:rsidRPr="00B909CF">
        <w:t>this regard</w:t>
      </w:r>
      <w:r w:rsidR="00EE06F1" w:rsidRPr="00EE06F1">
        <w:t>,</w:t>
      </w:r>
      <w:r w:rsidRPr="00B909CF">
        <w:t xml:space="preserve"> commercial SaaS platforms are no different </w:t>
      </w:r>
      <w:r w:rsidR="00EE06F1" w:rsidRPr="00EE06F1">
        <w:t xml:space="preserve">Software as a Product, or </w:t>
      </w:r>
      <w:r w:rsidRPr="00B909CF">
        <w:t xml:space="preserve">custom-developed systems. </w:t>
      </w:r>
    </w:p>
    <w:p w14:paraId="658FA4F7" w14:textId="54A3D5CE" w:rsidR="007C7FA0" w:rsidRPr="00B909CF" w:rsidRDefault="007C7FA0" w:rsidP="007C7FA0">
      <w:pPr>
        <w:pStyle w:val="BodyText"/>
      </w:pPr>
      <w:r>
        <w:t xml:space="preserve">They will </w:t>
      </w:r>
      <w:r w:rsidR="00EE06F1">
        <w:t xml:space="preserve">all </w:t>
      </w:r>
      <w:r w:rsidRPr="00B909CF">
        <w:t>implement one or more of these models:</w:t>
      </w:r>
    </w:p>
    <w:p w14:paraId="52B88413" w14:textId="77777777" w:rsidR="007C7FA0" w:rsidRPr="00B909CF" w:rsidRDefault="007C7FA0" w:rsidP="00B257A4">
      <w:pPr>
        <w:pStyle w:val="BodyText"/>
        <w:numPr>
          <w:ilvl w:val="0"/>
          <w:numId w:val="5"/>
        </w:numPr>
      </w:pPr>
      <w:r w:rsidRPr="00B909CF">
        <w:t>Allowing multiple simultaneous identity providers (e.g. Google and Microsoft accounts),</w:t>
      </w:r>
    </w:p>
    <w:p w14:paraId="0BAFBFC5" w14:textId="77777777" w:rsidR="007C7FA0" w:rsidRPr="00B909CF" w:rsidRDefault="007C7FA0" w:rsidP="00B257A4">
      <w:pPr>
        <w:pStyle w:val="BodyText"/>
        <w:numPr>
          <w:ilvl w:val="0"/>
          <w:numId w:val="5"/>
        </w:numPr>
      </w:pPr>
      <w:r w:rsidRPr="00B909CF">
        <w:t>Supporting local credential fallback,</w:t>
      </w:r>
    </w:p>
    <w:p w14:paraId="705CAD7F" w14:textId="77777777" w:rsidR="007C7FA0" w:rsidRPr="00B909CF" w:rsidRDefault="007C7FA0" w:rsidP="00B257A4">
      <w:pPr>
        <w:pStyle w:val="BodyText"/>
        <w:numPr>
          <w:ilvl w:val="0"/>
          <w:numId w:val="5"/>
        </w:numPr>
      </w:pPr>
      <w:r w:rsidRPr="00B909CF">
        <w:t>Enabling invitation-based flows with optional one-time passwords,</w:t>
      </w:r>
    </w:p>
    <w:p w14:paraId="2E78E589" w14:textId="146103BC" w:rsidR="007C7FA0" w:rsidRPr="00B909CF" w:rsidRDefault="007C7FA0" w:rsidP="00B257A4">
      <w:pPr>
        <w:pStyle w:val="BodyText"/>
        <w:numPr>
          <w:ilvl w:val="0"/>
          <w:numId w:val="5"/>
        </w:numPr>
      </w:pPr>
      <w:r w:rsidRPr="00B909CF">
        <w:t>relying on brokers or delegated SCIM provisioning paths.</w:t>
      </w:r>
    </w:p>
    <w:p w14:paraId="608CC106" w14:textId="77777777" w:rsidR="00B909CF" w:rsidRDefault="00B909CF" w:rsidP="0097530D">
      <w:pPr>
        <w:pStyle w:val="BodyText"/>
      </w:pPr>
    </w:p>
    <w:p w14:paraId="468EDE7C" w14:textId="225FCC38" w:rsidR="0097530D" w:rsidRPr="0097530D" w:rsidRDefault="0097530D" w:rsidP="0097530D">
      <w:pPr>
        <w:pStyle w:val="BodyText"/>
      </w:pPr>
      <w:r w:rsidRPr="0097530D">
        <w:t>Historically, applications maintained a User table containing usernames, display names, and email addresses, and often implemented their own authentication using password hashes. This placed long-term security responsibilities on systems not designed for it and introduced vulnerabilities.</w:t>
      </w:r>
    </w:p>
    <w:p w14:paraId="5B3EA109" w14:textId="77777777" w:rsidR="004D7B91" w:rsidRDefault="0097530D" w:rsidP="0097530D">
      <w:pPr>
        <w:pStyle w:val="BodyText"/>
      </w:pPr>
      <w:r w:rsidRPr="0097530D">
        <w:t xml:space="preserve">Modern architectures favour delegating authentication to trusted external identity providers. </w:t>
      </w:r>
    </w:p>
    <w:p w14:paraId="71FA1B54" w14:textId="51A2525D" w:rsidR="0097530D" w:rsidRPr="0097530D" w:rsidRDefault="0097530D" w:rsidP="0097530D">
      <w:pPr>
        <w:pStyle w:val="BodyText"/>
      </w:pPr>
      <w:r w:rsidRPr="0097530D">
        <w:t>In these systems, a local User table still exists but contains only internal identifiers and minimal attributes such as display name. A related DigitalId table records the relationship between this internal user and their identifiers in each external identity service—typically storing an issuer (iss, representing the IdP) and subject (sub, the IdP-issued user ID).</w:t>
      </w:r>
    </w:p>
    <w:p w14:paraId="22F74F04" w14:textId="77777777" w:rsidR="0097530D" w:rsidRPr="0097530D" w:rsidRDefault="0097530D" w:rsidP="0097530D">
      <w:pPr>
        <w:pStyle w:val="BodyText"/>
      </w:pPr>
      <w:r w:rsidRPr="0097530D">
        <w:t>Despite this shift, some users cannot be served by external IdPs. This includes initial system administrators and users in demographics unsupported by common IdPs (e.g. children under age thresholds). These cases require internal credential handling, such as a separate in-system LocalCredential table with optional multi-factor support. This exception underscores that some degree of security responsibility remains unavoidable.</w:t>
      </w:r>
    </w:p>
    <w:p w14:paraId="199962EA" w14:textId="381A8218" w:rsidR="00EC1D47" w:rsidRDefault="00EA778B" w:rsidP="00EC1D47">
      <w:pPr>
        <w:pStyle w:val="BodyText"/>
      </w:pPr>
      <w:r>
        <w:t>SaaS services are no different than custom develop</w:t>
      </w:r>
      <w:r w:rsidR="00082777">
        <w:t>ed systems</w:t>
      </w:r>
      <w:r>
        <w:t xml:space="preserve"> and will implement one or more of these options</w:t>
      </w:r>
      <w:r w:rsidR="007D5AB4">
        <w:t xml:space="preserve"> (allow multiple sign-ins, allowing in-system authentication</w:t>
      </w:r>
      <w:r w:rsidR="005C1C26">
        <w:t>)</w:t>
      </w:r>
      <w:r>
        <w:t xml:space="preserve">. </w:t>
      </w:r>
    </w:p>
    <w:p w14:paraId="252109EC" w14:textId="38CFB8BC" w:rsidR="002A784F" w:rsidRDefault="002A784F" w:rsidP="002A784F">
      <w:pPr>
        <w:pStyle w:val="Heading1"/>
      </w:pPr>
      <w:bookmarkStart w:id="12" w:name="_Toc201144427"/>
      <w:bookmarkStart w:id="13" w:name="_Toc201921418"/>
      <w:r w:rsidRPr="00A703E3">
        <w:t>Foundation</w:t>
      </w:r>
      <w:r w:rsidR="003E2A80">
        <w:t>al Concepts</w:t>
      </w:r>
      <w:bookmarkEnd w:id="12"/>
      <w:bookmarkEnd w:id="13"/>
    </w:p>
    <w:p w14:paraId="0073A6A9" w14:textId="7A38031D" w:rsidR="00554B54" w:rsidRDefault="00127122" w:rsidP="00472093">
      <w:pPr>
        <w:pStyle w:val="BodyText"/>
      </w:pPr>
      <w:r w:rsidRPr="00127122">
        <w:t>Designing for contextual integrity begins with correct logical modelling of people, participation, and permission. Identity is not a monolith</w:t>
      </w:r>
      <w:r w:rsidR="00C920EF">
        <w:t>: t</w:t>
      </w:r>
      <w:r w:rsidRPr="00127122">
        <w:t>his section outlines the core concepts—persons, personas, attributes, relationships, identifiers</w:t>
      </w:r>
      <w:r w:rsidR="00C920EF">
        <w:t xml:space="preserve"> and names</w:t>
      </w:r>
      <w:r w:rsidRPr="00127122">
        <w:t xml:space="preserve">—needed to </w:t>
      </w:r>
      <w:r w:rsidRPr="00127122">
        <w:lastRenderedPageBreak/>
        <w:t xml:space="preserve">reason clearly </w:t>
      </w:r>
      <w:r w:rsidR="00382BDA">
        <w:t xml:space="preserve">and design correctly -- </w:t>
      </w:r>
      <w:r w:rsidR="00C920EF">
        <w:t>whether in stand</w:t>
      </w:r>
      <w:r w:rsidR="00382BDA">
        <w:t>-</w:t>
      </w:r>
      <w:r w:rsidR="00C920EF">
        <w:t xml:space="preserve">alone or </w:t>
      </w:r>
      <w:r w:rsidRPr="00127122">
        <w:t xml:space="preserve">federated and long-lived </w:t>
      </w:r>
      <w:r w:rsidR="00C920EF">
        <w:t>contexts</w:t>
      </w:r>
      <w:r w:rsidRPr="00127122">
        <w:t xml:space="preserve">. </w:t>
      </w:r>
    </w:p>
    <w:p w14:paraId="35152B7A" w14:textId="696BE52E" w:rsidR="00554B54" w:rsidRDefault="00554B54" w:rsidP="00AD55F2">
      <w:pPr>
        <w:pStyle w:val="Heading2"/>
      </w:pPr>
      <w:bookmarkStart w:id="14" w:name="_Toc201921419"/>
      <w:r>
        <w:t>Persons, Personas</w:t>
      </w:r>
      <w:r w:rsidR="006C03AF">
        <w:t xml:space="preserve">, </w:t>
      </w:r>
      <w:r>
        <w:t>Users</w:t>
      </w:r>
      <w:r w:rsidR="006D322C">
        <w:t xml:space="preserve"> and Identifiers</w:t>
      </w:r>
      <w:bookmarkEnd w:id="14"/>
    </w:p>
    <w:p w14:paraId="787A4751" w14:textId="4232080F" w:rsidR="00B47D23" w:rsidRDefault="005921D1" w:rsidP="00B47D23">
      <w:pPr>
        <w:pStyle w:val="BodyText"/>
        <w:keepNext/>
        <w:jc w:val="center"/>
      </w:pPr>
      <w:r>
        <w:rPr>
          <w:noProof/>
        </w:rPr>
        <w:drawing>
          <wp:inline distT="0" distB="0" distL="0" distR="0" wp14:anchorId="7AFB44BC" wp14:editId="146BFDFF">
            <wp:extent cx="5791200" cy="2247900"/>
            <wp:effectExtent l="0" t="0" r="0" b="0"/>
            <wp:docPr id="899060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2247900"/>
                    </a:xfrm>
                    <a:prstGeom prst="rect">
                      <a:avLst/>
                    </a:prstGeom>
                    <a:noFill/>
                    <a:ln>
                      <a:noFill/>
                    </a:ln>
                  </pic:spPr>
                </pic:pic>
              </a:graphicData>
            </a:graphic>
          </wp:inline>
        </w:drawing>
      </w:r>
    </w:p>
    <w:p w14:paraId="550DB915" w14:textId="5C565F6A" w:rsidR="00B47D23" w:rsidRDefault="00B47D23" w:rsidP="00B47D23">
      <w:pPr>
        <w:pStyle w:val="Caption"/>
        <w:jc w:val="center"/>
      </w:pPr>
      <w:r>
        <w:t xml:space="preserve">Figure </w:t>
      </w:r>
      <w:r>
        <w:fldChar w:fldCharType="begin"/>
      </w:r>
      <w:r>
        <w:instrText xml:space="preserve"> SEQ Figure \* ARABIC </w:instrText>
      </w:r>
      <w:r>
        <w:fldChar w:fldCharType="separate"/>
      </w:r>
      <w:r w:rsidR="007D2E5A">
        <w:rPr>
          <w:noProof/>
        </w:rPr>
        <w:t>1</w:t>
      </w:r>
      <w:r>
        <w:fldChar w:fldCharType="end"/>
      </w:r>
      <w:r>
        <w:t>: Person, Personas, Users, Identifiers, Names</w:t>
      </w:r>
    </w:p>
    <w:p w14:paraId="59B44AD6" w14:textId="77777777" w:rsidR="00D80A62" w:rsidRDefault="00D80A62" w:rsidP="00D80A62">
      <w:pPr>
        <w:pStyle w:val="BodyText"/>
      </w:pPr>
    </w:p>
    <w:p w14:paraId="775C200C" w14:textId="1902DD03" w:rsidR="00D80A62" w:rsidRPr="00D80A62" w:rsidRDefault="00D80A62" w:rsidP="00D80A62">
      <w:pPr>
        <w:pStyle w:val="BodyText"/>
      </w:pPr>
      <w:r w:rsidRPr="00D80A62">
        <w:t xml:space="preserve">Digital systems often speak of “Users” as if they are singular, fixed, and directly represent a person. </w:t>
      </w:r>
      <w:r w:rsidR="0022601E">
        <w:t xml:space="preserve">However, </w:t>
      </w:r>
      <w:r w:rsidRPr="00D80A62">
        <w:t>this assumption collapses several real-world complexities that, if left unaddressed, inevitably surface as integration failures, access confusion, or identity mismatches.</w:t>
      </w:r>
      <w:r w:rsidR="0022601E">
        <w:t xml:space="preserve"> </w:t>
      </w:r>
    </w:p>
    <w:p w14:paraId="24465A5B" w14:textId="77777777" w:rsidR="00D80A62" w:rsidRPr="00D80A62" w:rsidRDefault="00D80A62" w:rsidP="00D80A62">
      <w:pPr>
        <w:pStyle w:val="BodyText"/>
      </w:pPr>
      <w:r w:rsidRPr="00D80A62">
        <w:t>At the core is the Person—a physical human being. This person may present different Personas in different contexts, depending on their relationship with a group, service, or system. These Personas are not arbitrary; they reflect how someone is recognised socially, legally, professionally, or personally, and serve to isolate or share information in contextually appropriate ways.</w:t>
      </w:r>
    </w:p>
    <w:p w14:paraId="3A052169" w14:textId="77777777" w:rsidR="00D80A62" w:rsidRPr="00D80A62" w:rsidRDefault="00D80A62" w:rsidP="00D80A62">
      <w:pPr>
        <w:pStyle w:val="BodyText"/>
      </w:pPr>
      <w:r w:rsidRPr="00D80A62">
        <w:t>Over time, a person may adopt new Personas or adapt existing ones. They may take on new roles, change names after marriage or transition, separate public and private identities, or represent themselves differently across cultural or generational boundaries. These changes are normal and expected—and must be safely accommodated by systems that manage access and continuity.</w:t>
      </w:r>
    </w:p>
    <w:p w14:paraId="71DF9681" w14:textId="77777777" w:rsidR="00D80A62" w:rsidRPr="00D80A62" w:rsidRDefault="00D80A62" w:rsidP="00D80A62">
      <w:pPr>
        <w:pStyle w:val="BodyText"/>
      </w:pPr>
      <w:r w:rsidRPr="00D80A62">
        <w:t xml:space="preserve">Each Persona has one or more identifiers issued by external systems—modelled or unmodelled. These include email addresses, usernames, national student numbers, tax IDs, or system-specific keys. As discussed later under </w:t>
      </w:r>
      <w:r w:rsidRPr="00D80A62">
        <w:rPr>
          <w:i/>
          <w:iCs/>
        </w:rPr>
        <w:t>Identity Attributes</w:t>
      </w:r>
      <w:r w:rsidRPr="00D80A62">
        <w:t>, such identifiers are not intrinsic to the person or their Persona—they arise from a relationship with the system that issued them. Each is governed by its own rules for scope, format, uniqueness, and lifecycle. An identifier is not a universal truth, but a pointer granted by context.</w:t>
      </w:r>
    </w:p>
    <w:p w14:paraId="299DB924" w14:textId="77777777" w:rsidR="00D80A62" w:rsidRPr="00D80A62" w:rsidRDefault="00D80A62" w:rsidP="00D80A62">
      <w:pPr>
        <w:pStyle w:val="BodyText"/>
      </w:pPr>
      <w:r w:rsidRPr="00D80A62">
        <w:lastRenderedPageBreak/>
        <w:t>Names are a special case: a pre-digital identifier used to distinguish people within unmodelled social contexts—hence the term “personal identifier.” A person may hold several names across different settings. A Persona may present a full legal name and formal title at work, a simplified version at school, a nickname at home, and a different name entirely in an ethnic or religious context. Each of these may be valid, recognisable, and even legally sanctioned. People often carry multiple names simultaneously, expressed in different scripts, languages, or cultural conventions. The assumption of a single canonical name may be technically convenient, but is socially and legally insufficient—especially in systems that span cultures, lifespans, or jurisdictions.</w:t>
      </w:r>
    </w:p>
    <w:p w14:paraId="22D471AC" w14:textId="77777777" w:rsidR="00D80A62" w:rsidRPr="00D80A62" w:rsidRDefault="00D80A62" w:rsidP="00D80A62">
      <w:pPr>
        <w:pStyle w:val="BodyText"/>
      </w:pPr>
      <w:r w:rsidRPr="00D80A62">
        <w:t>Each Persona may also form relationships with other Personas and hold memberships in various groups. These relational structures matter—particularly in systems that rely on trust, access delegation, or coordination across domains.</w:t>
      </w:r>
    </w:p>
    <w:p w14:paraId="4B1993EC" w14:textId="77777777" w:rsidR="00D80A62" w:rsidRPr="00D80A62" w:rsidRDefault="00D80A62" w:rsidP="00D80A62">
      <w:pPr>
        <w:pStyle w:val="BodyText"/>
      </w:pPr>
      <w:r w:rsidRPr="00D80A62">
        <w:t>To manage this complexity, most systems simplify. They create a User table that assumes one Persona per human, attach names and identifiers to that record, and treat it as the enduring source of truth. This works—until it doesn’t. When people appear to change (but haven’t), or when two people share an identifier (and shouldn’t), systems built on collapsed assumptions begin to leak trust, context, and correctness.</w:t>
      </w:r>
    </w:p>
    <w:p w14:paraId="2F4CA6AB" w14:textId="77777777" w:rsidR="00D80A62" w:rsidRPr="00D80A62" w:rsidRDefault="00D80A62" w:rsidP="00D80A62">
      <w:pPr>
        <w:pStyle w:val="BodyText"/>
      </w:pPr>
      <w:r w:rsidRPr="00D80A62">
        <w:t>This guidance does not insist that all implementations model full Person–Persona–Identifier separation in code. But it does ask that architects and system owners understand what is being flattened—and the risks of doing so invisibly. In long-lived, federated, or government-grade systems, making these relationships explicit may be the only way to sustain continuity, clarity, and trust across time and context.</w:t>
      </w:r>
    </w:p>
    <w:p w14:paraId="2AA2B11C" w14:textId="77777777" w:rsidR="00D80A62" w:rsidRPr="00D80A62" w:rsidRDefault="00D80A62" w:rsidP="00D80A62">
      <w:pPr>
        <w:pStyle w:val="BodyText"/>
      </w:pPr>
      <w:r w:rsidRPr="00D80A62">
        <w:t xml:space="preserve">The distinction between intrinsic identity and contextual representation is explored further in the section titled </w:t>
      </w:r>
      <w:r w:rsidRPr="00D80A62">
        <w:rPr>
          <w:i/>
          <w:iCs/>
        </w:rPr>
        <w:t>The Misclassification of Identity Attributes</w:t>
      </w:r>
      <w:r w:rsidRPr="00D80A62">
        <w:t>. That section shows how identifiers such as national IDs, sector codes, or system numbers—often mistaken for identity attributes—are instead products of a person’s relationship with the system that issued them.</w:t>
      </w:r>
    </w:p>
    <w:p w14:paraId="65EB1A3A" w14:textId="77777777" w:rsidR="00D80A62" w:rsidRPr="00D80A62" w:rsidRDefault="00D80A62" w:rsidP="00D80A62">
      <w:pPr>
        <w:pStyle w:val="BodyText"/>
      </w:pPr>
    </w:p>
    <w:p w14:paraId="34D725DF" w14:textId="77777777" w:rsidR="008F6A4A" w:rsidRDefault="008F6A4A" w:rsidP="002A784F">
      <w:pPr>
        <w:pStyle w:val="Heading2"/>
      </w:pPr>
      <w:bookmarkStart w:id="15" w:name="_Toc201921420"/>
      <w:r w:rsidRPr="008F6A4A">
        <w:lastRenderedPageBreak/>
        <w:t>Attributes and Contextual Relationships</w:t>
      </w:r>
      <w:bookmarkEnd w:id="15"/>
    </w:p>
    <w:p w14:paraId="5C34B2C4" w14:textId="77777777" w:rsidR="00BF078D" w:rsidRDefault="00BF078D" w:rsidP="002A784F">
      <w:pPr>
        <w:pStyle w:val="BodyText"/>
        <w:keepNext/>
        <w:jc w:val="center"/>
      </w:pPr>
      <w:r>
        <w:rPr>
          <w:noProof/>
        </w:rPr>
        <w:drawing>
          <wp:inline distT="0" distB="0" distL="0" distR="0" wp14:anchorId="5BF4E884" wp14:editId="5D88F554">
            <wp:extent cx="3248025" cy="2105025"/>
            <wp:effectExtent l="0" t="0" r="0" b="0"/>
            <wp:docPr id="1754179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48025" cy="2105025"/>
                    </a:xfrm>
                    <a:prstGeom prst="rect">
                      <a:avLst/>
                    </a:prstGeom>
                    <a:noFill/>
                    <a:ln>
                      <a:noFill/>
                    </a:ln>
                  </pic:spPr>
                </pic:pic>
              </a:graphicData>
            </a:graphic>
          </wp:inline>
        </w:drawing>
      </w:r>
    </w:p>
    <w:p w14:paraId="6CBAF925" w14:textId="44A7D7E5" w:rsidR="00BF078D" w:rsidRDefault="00BF078D" w:rsidP="002A784F">
      <w:pPr>
        <w:pStyle w:val="Caption"/>
        <w:jc w:val="center"/>
      </w:pPr>
      <w:bookmarkStart w:id="16" w:name="_Toc201064705"/>
      <w:bookmarkStart w:id="17" w:name="_Toc201899523"/>
      <w:r>
        <w:t xml:space="preserve">Figure </w:t>
      </w:r>
      <w:r>
        <w:fldChar w:fldCharType="begin"/>
      </w:r>
      <w:r>
        <w:instrText xml:space="preserve"> SEQ Figure \* ARABIC </w:instrText>
      </w:r>
      <w:r>
        <w:fldChar w:fldCharType="separate"/>
      </w:r>
      <w:r w:rsidR="007D2E5A">
        <w:rPr>
          <w:noProof/>
        </w:rPr>
        <w:t>2</w:t>
      </w:r>
      <w:r>
        <w:fldChar w:fldCharType="end"/>
      </w:r>
      <w:r>
        <w:t>: Different types of attributes</w:t>
      </w:r>
      <w:bookmarkEnd w:id="16"/>
      <w:bookmarkEnd w:id="17"/>
    </w:p>
    <w:p w14:paraId="3EE46CF4" w14:textId="77777777" w:rsidR="00BF078D" w:rsidRDefault="00BF078D" w:rsidP="002A784F">
      <w:pPr>
        <w:pStyle w:val="BodyText"/>
      </w:pPr>
    </w:p>
    <w:p w14:paraId="4E8E7159" w14:textId="775CD1AA" w:rsidR="008F6A4A" w:rsidRDefault="008F6A4A" w:rsidP="002A784F">
      <w:pPr>
        <w:pStyle w:val="BodyText"/>
      </w:pPr>
      <w:r w:rsidRPr="008F6A4A">
        <w:t>In managing identity, systems must distinguish between attributes that describe the person themselves, and attributes that arise from their relationship with the system or with other entities in it. This distinction is essential for clarity, correctness, and long-term maintainability.</w:t>
      </w:r>
    </w:p>
    <w:p w14:paraId="7F07C4C8" w14:textId="32AA4E25" w:rsidR="00A00ADB" w:rsidRDefault="00A00ADB" w:rsidP="002A784F">
      <w:pPr>
        <w:pStyle w:val="Heading3"/>
      </w:pPr>
      <w:bookmarkStart w:id="18" w:name="_Toc201921421"/>
      <w:r>
        <w:t>Entity Attributes</w:t>
      </w:r>
      <w:bookmarkEnd w:id="18"/>
    </w:p>
    <w:p w14:paraId="4B6E26BD" w14:textId="4B38A654" w:rsidR="00373711" w:rsidRPr="00373711" w:rsidRDefault="00373711" w:rsidP="002A784F">
      <w:pPr>
        <w:pStyle w:val="BodyText"/>
      </w:pPr>
      <w:r w:rsidRPr="00373711">
        <w:t>Entity attributes describe a person in themselves—as a Persona—without reference to any particular context or system. These include characteristics such as preferred name, language spoken, country of residence, or timezone. They are intrinsic or general-purpose properties of the person and can be used across contexts without loss of meaning.</w:t>
      </w:r>
    </w:p>
    <w:p w14:paraId="33417A96" w14:textId="77777777" w:rsidR="00A00ADB" w:rsidRDefault="00A00ADB" w:rsidP="002A784F">
      <w:pPr>
        <w:pStyle w:val="Heading3"/>
      </w:pPr>
      <w:bookmarkStart w:id="19" w:name="_Toc201921422"/>
      <w:r>
        <w:t>Relationship Attributes</w:t>
      </w:r>
      <w:bookmarkEnd w:id="19"/>
    </w:p>
    <w:p w14:paraId="1DDED2EC" w14:textId="77777777" w:rsidR="007E35C9" w:rsidRPr="007E35C9" w:rsidRDefault="007E35C9" w:rsidP="002A784F">
      <w:pPr>
        <w:pStyle w:val="BodyText"/>
      </w:pPr>
      <w:r w:rsidRPr="007E35C9">
        <w:t xml:space="preserve">In contrast to entity attributes, many facts about a person only exist because they are </w:t>
      </w:r>
      <w:r w:rsidRPr="007E35C9">
        <w:rPr>
          <w:i/>
          <w:iCs/>
        </w:rPr>
        <w:t>in relationship</w:t>
      </w:r>
      <w:r w:rsidRPr="007E35C9">
        <w:t xml:space="preserve"> to something else. These are </w:t>
      </w:r>
      <w:r w:rsidRPr="007E35C9">
        <w:rPr>
          <w:b/>
          <w:bCs/>
        </w:rPr>
        <w:t>contextual attributes</w:t>
      </w:r>
      <w:r w:rsidRPr="007E35C9">
        <w:t>, and they describe how the person is situated within the system—such as their role, membership type, status, enrolment level, or any conditional permissions.</w:t>
      </w:r>
    </w:p>
    <w:p w14:paraId="084E6B67" w14:textId="77777777" w:rsidR="007E35C9" w:rsidRPr="007E35C9" w:rsidRDefault="007E35C9" w:rsidP="002A784F">
      <w:pPr>
        <w:pStyle w:val="BodyText"/>
      </w:pPr>
      <w:r w:rsidRPr="007E35C9">
        <w:t>Relationship attributes are not intrinsic to the person—they are specific to their connection with another entity, such as a group, organisation, project, or platform. For example, someone might be a “Lead Teacher” in one school, a “Mentor” in another, and a “Student” in a separate professional programme.</w:t>
      </w:r>
    </w:p>
    <w:p w14:paraId="437AF35C" w14:textId="77777777" w:rsidR="007E35C9" w:rsidRPr="007E35C9" w:rsidRDefault="007E35C9" w:rsidP="002A784F">
      <w:pPr>
        <w:pStyle w:val="BodyText"/>
      </w:pPr>
      <w:r w:rsidRPr="007E35C9">
        <w:t>Correct modelling of these relationships typically involves join structures—records that link the user to another entity and carry attributes specific to that context. This allows the same user to hold different roles or attributes in multiple contexts, without conflict or ambiguity.</w:t>
      </w:r>
    </w:p>
    <w:p w14:paraId="5ED6D8F3" w14:textId="77777777" w:rsidR="007E35C9" w:rsidRPr="007E35C9" w:rsidRDefault="007E35C9" w:rsidP="002A784F">
      <w:pPr>
        <w:pStyle w:val="BodyText"/>
      </w:pPr>
      <w:r w:rsidRPr="007E35C9">
        <w:lastRenderedPageBreak/>
        <w:t xml:space="preserve">Among these contextual attributes, </w:t>
      </w:r>
      <w:r w:rsidRPr="007E35C9">
        <w:rPr>
          <w:b/>
          <w:bCs/>
        </w:rPr>
        <w:t>roles</w:t>
      </w:r>
      <w:r w:rsidRPr="007E35C9">
        <w:t xml:space="preserve"> are just one form—a familiar and often useful construct for access control. However, they should not be treated as the only or dominant type of relationship attribute. Relationships may also represent enrolment, guardianship, supervision, historical participation, or standing invitations. These relationships often have status, duration, or provenance that roles alone cannot capture.</w:t>
      </w:r>
    </w:p>
    <w:p w14:paraId="734DDBE2" w14:textId="77777777" w:rsidR="007E35C9" w:rsidRDefault="007E35C9" w:rsidP="002A784F">
      <w:pPr>
        <w:pStyle w:val="BodyText"/>
      </w:pPr>
      <w:r w:rsidRPr="007E35C9">
        <w:t>Systems must be careful not to reduce all contextual data to roles. Doing so leads to overly coarse-grained models and limits the system’s ability to express nuanced relationships. It can also introduce errors—such as granting unintended access, leaking assumptions across contexts, or flattening time-bound or hierarchical associations into static role labels.</w:t>
      </w:r>
    </w:p>
    <w:p w14:paraId="45C5AD7D" w14:textId="25A39218" w:rsidR="00670F7A" w:rsidRPr="007E35C9" w:rsidRDefault="00670F7A" w:rsidP="002A784F">
      <w:pPr>
        <w:pStyle w:val="BodyText"/>
      </w:pPr>
      <w:r w:rsidRPr="00670F7A">
        <w:t>This tendency to flatten contextual identifiers into intrinsic attributes also leads to their misuse across system boundaries, which is addressed next.</w:t>
      </w:r>
    </w:p>
    <w:p w14:paraId="3055E1C1" w14:textId="35125D15" w:rsidR="00DC5A8F" w:rsidRDefault="00DC5A8F" w:rsidP="00443795">
      <w:pPr>
        <w:pStyle w:val="Heading3"/>
      </w:pPr>
      <w:bookmarkStart w:id="20" w:name="_Toc201921423"/>
      <w:r w:rsidRPr="00DC5A8F">
        <w:t>Identity Attributes</w:t>
      </w:r>
      <w:bookmarkEnd w:id="20"/>
    </w:p>
    <w:p w14:paraId="20783351" w14:textId="22DFBB94" w:rsidR="002160CC" w:rsidRDefault="000C5625" w:rsidP="002160CC">
      <w:pPr>
        <w:pStyle w:val="BodyText"/>
        <w:keepNext/>
        <w:jc w:val="center"/>
      </w:pPr>
      <w:r>
        <w:rPr>
          <w:noProof/>
        </w:rPr>
        <w:drawing>
          <wp:inline distT="0" distB="0" distL="0" distR="0" wp14:anchorId="3B8C369A" wp14:editId="7C2BEA17">
            <wp:extent cx="4486275" cy="1628775"/>
            <wp:effectExtent l="0" t="0" r="0" b="0"/>
            <wp:docPr id="879216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275" cy="1628775"/>
                    </a:xfrm>
                    <a:prstGeom prst="rect">
                      <a:avLst/>
                    </a:prstGeom>
                    <a:noFill/>
                    <a:ln>
                      <a:noFill/>
                    </a:ln>
                  </pic:spPr>
                </pic:pic>
              </a:graphicData>
            </a:graphic>
          </wp:inline>
        </w:drawing>
      </w:r>
    </w:p>
    <w:p w14:paraId="4164EF3F" w14:textId="2F2BEBA3" w:rsidR="002160CC" w:rsidRPr="002160CC" w:rsidRDefault="002160CC" w:rsidP="002160CC">
      <w:pPr>
        <w:pStyle w:val="Caption"/>
        <w:jc w:val="center"/>
      </w:pPr>
      <w:bookmarkStart w:id="21" w:name="_Toc201899524"/>
      <w:r>
        <w:t xml:space="preserve">Figure </w:t>
      </w:r>
      <w:r>
        <w:fldChar w:fldCharType="begin"/>
      </w:r>
      <w:r>
        <w:instrText xml:space="preserve"> SEQ Figure \* ARABIC </w:instrText>
      </w:r>
      <w:r>
        <w:fldChar w:fldCharType="separate"/>
      </w:r>
      <w:r w:rsidR="007D2E5A">
        <w:rPr>
          <w:noProof/>
        </w:rPr>
        <w:t>3</w:t>
      </w:r>
      <w:r>
        <w:fldChar w:fldCharType="end"/>
      </w:r>
      <w:r>
        <w:t>: Unmodelled Systems</w:t>
      </w:r>
      <w:bookmarkEnd w:id="21"/>
    </w:p>
    <w:p w14:paraId="5EAA9B39" w14:textId="4A22B3BB" w:rsidR="00DC5A8F" w:rsidRPr="00DC5A8F" w:rsidRDefault="00DC5A8F" w:rsidP="00DC5A8F">
      <w:pPr>
        <w:pStyle w:val="BodyText"/>
      </w:pPr>
      <w:r w:rsidRPr="00DC5A8F">
        <w:t xml:space="preserve">A particularly widespread design error arises when </w:t>
      </w:r>
      <w:r w:rsidRPr="00DC5A8F">
        <w:rPr>
          <w:b/>
          <w:bCs/>
        </w:rPr>
        <w:t>identity attributes</w:t>
      </w:r>
      <w:r w:rsidRPr="00DC5A8F">
        <w:t>—such as national student numbers, tax identifiers, or corporate user IDs—are treated as if they were entity attributes. In truth, they are not. These identifiers only exist because a person has a relationship with another system—such as a national education registry, a tax authority, or an employer.</w:t>
      </w:r>
    </w:p>
    <w:p w14:paraId="5211BCC3" w14:textId="013EE085" w:rsidR="00DC5A8F" w:rsidRPr="00DC5A8F" w:rsidRDefault="00DC5A8F" w:rsidP="00DC5A8F">
      <w:pPr>
        <w:pStyle w:val="BodyText"/>
      </w:pPr>
      <w:r w:rsidRPr="00DC5A8F">
        <w:t>Logically, identity attributes belong to the relationship between the person and the system that issued the identifier. However, in most implementations, that external system is not explicitly modelled. The relationship is flattened, and the identifier is stored directly on the person as if it were intrinsic. This is a practical shortcut, but it is conceptually incorrect</w:t>
      </w:r>
      <w:r w:rsidR="00154D3E">
        <w:t xml:space="preserve"> that often causes issue later on</w:t>
      </w:r>
      <w:r w:rsidRPr="00DC5A8F">
        <w:t>.</w:t>
      </w:r>
    </w:p>
    <w:p w14:paraId="0D836F17" w14:textId="77777777" w:rsidR="00DC5A8F" w:rsidRPr="00DC5A8F" w:rsidRDefault="00DC5A8F" w:rsidP="00DC5A8F">
      <w:pPr>
        <w:pStyle w:val="BodyText"/>
      </w:pPr>
      <w:r w:rsidRPr="00DC5A8F">
        <w:t>The consequence of this misclassification is that systems may treat identifiers as universally valid, stable, or comparable—when in fact they are system-specific and context-bound. It also complicates scenarios where a person has multiple identities across systems, or where identifiers must be rotated, revoked, or disambiguated.</w:t>
      </w:r>
    </w:p>
    <w:p w14:paraId="142A82A4" w14:textId="4074941D" w:rsidR="000D0BFD" w:rsidRDefault="00DC5A8F" w:rsidP="008F6A4A">
      <w:pPr>
        <w:pStyle w:val="BodyText"/>
      </w:pPr>
      <w:r w:rsidRPr="00DC5A8F">
        <w:lastRenderedPageBreak/>
        <w:t>Recognising that identity attributes are relationship-bound—even if the other system is not modelled—improves schema correctness, supports better federation design, and prevents long-term data entanglement across domains.</w:t>
      </w:r>
    </w:p>
    <w:p w14:paraId="73CA1B12" w14:textId="77777777" w:rsidR="008659DA" w:rsidRDefault="008659DA" w:rsidP="008F6A4A">
      <w:pPr>
        <w:pStyle w:val="BodyText"/>
      </w:pPr>
    </w:p>
    <w:p w14:paraId="782D498E" w14:textId="77777777" w:rsidR="008659DA" w:rsidRDefault="008659DA" w:rsidP="002A784F">
      <w:pPr>
        <w:pStyle w:val="Heading2"/>
      </w:pPr>
      <w:bookmarkStart w:id="22" w:name="_Toc201144429"/>
      <w:bookmarkStart w:id="23" w:name="_Toc201921425"/>
      <w:r w:rsidRPr="005B1F3B">
        <w:t>Each System Has Its Own Users</w:t>
      </w:r>
      <w:bookmarkEnd w:id="22"/>
      <w:bookmarkEnd w:id="23"/>
      <w:r w:rsidRPr="005B1F3B">
        <w:t xml:space="preserve"> </w:t>
      </w:r>
    </w:p>
    <w:p w14:paraId="7C6BCBBC" w14:textId="77777777" w:rsidR="008659DA" w:rsidRDefault="008659DA" w:rsidP="002A784F">
      <w:pPr>
        <w:pStyle w:val="BodyText"/>
        <w:keepNext/>
        <w:jc w:val="center"/>
      </w:pPr>
      <w:r>
        <w:rPr>
          <w:noProof/>
        </w:rPr>
        <w:drawing>
          <wp:inline distT="0" distB="0" distL="0" distR="0" wp14:anchorId="3F372B93" wp14:editId="428F7EBE">
            <wp:extent cx="2867025" cy="971550"/>
            <wp:effectExtent l="0" t="0" r="0" b="0"/>
            <wp:docPr id="50694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67025" cy="971550"/>
                    </a:xfrm>
                    <a:prstGeom prst="rect">
                      <a:avLst/>
                    </a:prstGeom>
                  </pic:spPr>
                </pic:pic>
              </a:graphicData>
            </a:graphic>
          </wp:inline>
        </w:drawing>
      </w:r>
    </w:p>
    <w:p w14:paraId="4E73F4F1" w14:textId="1A1C8F26" w:rsidR="008659DA" w:rsidRPr="007627D2" w:rsidRDefault="008659DA" w:rsidP="002A784F">
      <w:pPr>
        <w:pStyle w:val="Caption"/>
        <w:jc w:val="center"/>
      </w:pPr>
      <w:bookmarkStart w:id="24" w:name="_Toc201064706"/>
      <w:bookmarkStart w:id="25" w:name="_Toc201899525"/>
      <w:r>
        <w:t xml:space="preserve">Figure </w:t>
      </w:r>
      <w:r>
        <w:fldChar w:fldCharType="begin"/>
      </w:r>
      <w:r>
        <w:instrText xml:space="preserve"> SEQ Figure \* ARABIC </w:instrText>
      </w:r>
      <w:r>
        <w:fldChar w:fldCharType="separate"/>
      </w:r>
      <w:r w:rsidR="007D2E5A">
        <w:rPr>
          <w:noProof/>
        </w:rPr>
        <w:t>4</w:t>
      </w:r>
      <w:r>
        <w:fldChar w:fldCharType="end"/>
      </w:r>
      <w:r>
        <w:t>: Each System has its own Users.</w:t>
      </w:r>
      <w:bookmarkEnd w:id="24"/>
      <w:bookmarkEnd w:id="25"/>
    </w:p>
    <w:p w14:paraId="51888EF3" w14:textId="3F9106ED" w:rsidR="008659DA" w:rsidRPr="005B1F3B" w:rsidRDefault="00A618D1" w:rsidP="00A618D1">
      <w:pPr>
        <w:pStyle w:val="BodyText"/>
      </w:pPr>
      <w:r w:rsidRPr="00A618D1">
        <w:t>This section corrects the assumption that identity is shared simply because systems use the same provider</w:t>
      </w:r>
      <w:r>
        <w:t>: i</w:t>
      </w:r>
      <w:r w:rsidR="008659DA" w:rsidRPr="005B1F3B">
        <w:t>n federated systems, each system has its own user records. Even when using a shared Identity Provider (IdP), the consuming system maintains its own internal user representation.</w:t>
      </w:r>
    </w:p>
    <w:p w14:paraId="7EE0F277" w14:textId="77777777" w:rsidR="008659DA" w:rsidRPr="005B1F3B" w:rsidRDefault="008659DA" w:rsidP="002A784F">
      <w:pPr>
        <w:pStyle w:val="BodyText"/>
      </w:pPr>
      <w:r w:rsidRPr="005B1F3B">
        <w:t xml:space="preserve">The IdP is also a system in its own right. It has users—its users—and its primary function is to expose - provide - a user's </w:t>
      </w:r>
      <w:r w:rsidRPr="005B1F3B">
        <w:rPr>
          <w:i/>
          <w:iCs/>
        </w:rPr>
        <w:t>identity</w:t>
      </w:r>
      <w:r w:rsidRPr="005B1F3B">
        <w:t xml:space="preserve"> (excluding credentials) attribute data related to them. Hence Identity Provide</w:t>
      </w:r>
    </w:p>
    <w:p w14:paraId="16C2B88B" w14:textId="77777777" w:rsidR="008659DA" w:rsidRPr="005B1F3B" w:rsidRDefault="008659DA" w:rsidP="002A784F">
      <w:pPr>
        <w:pStyle w:val="BodyText"/>
      </w:pPr>
      <w:r w:rsidRPr="005B1F3B">
        <w:t xml:space="preserve">The consuming system </w:t>
      </w:r>
      <w:r w:rsidRPr="005B1F3B">
        <w:rPr>
          <w:i/>
          <w:iCs/>
        </w:rPr>
        <w:t>also</w:t>
      </w:r>
      <w:r w:rsidRPr="005B1F3B">
        <w:t xml:space="preserve"> has users—its own records, profiles, and entitlements. While these two users relate to the same persona, these two system user entities are not the same; they are only linked by a trustable correlation, not by shared instance or state.</w:t>
      </w:r>
    </w:p>
    <w:p w14:paraId="472E62F8" w14:textId="77777777" w:rsidR="008659DA" w:rsidRPr="005B1F3B" w:rsidRDefault="008659DA" w:rsidP="002A784F">
      <w:pPr>
        <w:pStyle w:val="BodyText"/>
      </w:pPr>
      <w:r w:rsidRPr="005B1F3B">
        <w:t>What actually happens when a user attempts to access System A is they are redirected to an IdP, which authenticates them and returns a token containing some of the user's attributes. System A then validates this token to trust it and uses any IdP user information embedded within it to in turn locate or create a local System A user record. Once created, this user record, in a different system, is distinct from the IdP’s.</w:t>
      </w:r>
    </w:p>
    <w:p w14:paraId="59979FF4" w14:textId="77777777" w:rsidR="008659DA" w:rsidRDefault="008659DA" w:rsidP="002A784F">
      <w:pPr>
        <w:pStyle w:val="BodyText"/>
      </w:pPr>
      <w:r>
        <w:t xml:space="preserve">From that point on, System A manages its own system user record internally, using its own mementos to continue session user information (cookies or headers). The IdP’s token is </w:t>
      </w:r>
      <w:r w:rsidRPr="343E6B97">
        <w:rPr>
          <w:i/>
          <w:iCs/>
        </w:rPr>
        <w:t>not</w:t>
      </w:r>
      <w:r>
        <w:t xml:space="preserve"> reused by System A beyond the initial session establishment. </w:t>
      </w:r>
    </w:p>
    <w:p w14:paraId="28E04802" w14:textId="77777777" w:rsidR="008659DA" w:rsidRDefault="008659DA" w:rsidP="002A784F">
      <w:pPr>
        <w:pStyle w:val="BodyText"/>
      </w:pPr>
      <w:r w:rsidRPr="005B1F3B">
        <w:t>Local access, authorisation, personalisation, and auditing are based on System A's internal data—not the IdP.</w:t>
      </w:r>
    </w:p>
    <w:p w14:paraId="05C52BC8" w14:textId="77777777" w:rsidR="008659DA" w:rsidRDefault="008659DA" w:rsidP="002A784F">
      <w:pPr>
        <w:pStyle w:val="BodyText"/>
      </w:pPr>
    </w:p>
    <w:p w14:paraId="01F1DA43" w14:textId="77777777" w:rsidR="000A6FB8" w:rsidRDefault="000A6FB8" w:rsidP="00AA7607">
      <w:pPr>
        <w:pStyle w:val="Heading2"/>
      </w:pPr>
      <w:bookmarkStart w:id="26" w:name="_Toc201144430"/>
      <w:bookmarkStart w:id="27" w:name="_Toc201921426"/>
      <w:r>
        <w:lastRenderedPageBreak/>
        <w:t>Authorisation is Local</w:t>
      </w:r>
      <w:bookmarkEnd w:id="26"/>
      <w:bookmarkEnd w:id="27"/>
      <w:r>
        <w:t xml:space="preserve"> </w:t>
      </w:r>
    </w:p>
    <w:p w14:paraId="364EDC09" w14:textId="77777777" w:rsidR="000A6FB8" w:rsidRDefault="000A6FB8" w:rsidP="000A6FB8">
      <w:pPr>
        <w:pStyle w:val="BodyText"/>
        <w:keepNext/>
        <w:jc w:val="center"/>
      </w:pPr>
      <w:r>
        <w:rPr>
          <w:noProof/>
        </w:rPr>
        <w:drawing>
          <wp:inline distT="0" distB="0" distL="0" distR="0" wp14:anchorId="58C663A8" wp14:editId="4DEA07C3">
            <wp:extent cx="5067300" cy="1533525"/>
            <wp:effectExtent l="0" t="0" r="0" b="0"/>
            <wp:docPr id="78201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067300" cy="1533525"/>
                    </a:xfrm>
                    <a:prstGeom prst="rect">
                      <a:avLst/>
                    </a:prstGeom>
                  </pic:spPr>
                </pic:pic>
              </a:graphicData>
            </a:graphic>
          </wp:inline>
        </w:drawing>
      </w:r>
    </w:p>
    <w:p w14:paraId="0A5C18BF" w14:textId="656AAEA1" w:rsidR="000A6FB8" w:rsidRPr="00725298" w:rsidRDefault="000A6FB8" w:rsidP="000A6FB8">
      <w:pPr>
        <w:pStyle w:val="Caption"/>
        <w:jc w:val="center"/>
      </w:pPr>
      <w:bookmarkStart w:id="28" w:name="_Toc201064707"/>
      <w:bookmarkStart w:id="29" w:name="_Toc201899526"/>
      <w:r>
        <w:t xml:space="preserve">Figure </w:t>
      </w:r>
      <w:r>
        <w:fldChar w:fldCharType="begin"/>
      </w:r>
      <w:r>
        <w:instrText xml:space="preserve"> SEQ Figure \* ARABIC </w:instrText>
      </w:r>
      <w:r>
        <w:fldChar w:fldCharType="separate"/>
      </w:r>
      <w:r w:rsidR="007D2E5A">
        <w:rPr>
          <w:noProof/>
        </w:rPr>
        <w:t>5</w:t>
      </w:r>
      <w:r>
        <w:fldChar w:fldCharType="end"/>
      </w:r>
      <w:r>
        <w:t>: Access To is distinct from Access Within a system</w:t>
      </w:r>
      <w:bookmarkEnd w:id="28"/>
      <w:bookmarkEnd w:id="29"/>
    </w:p>
    <w:p w14:paraId="0A2E08D8" w14:textId="77777777" w:rsidR="000A6FB8" w:rsidRDefault="000A6FB8" w:rsidP="000A6FB8">
      <w:pPr>
        <w:pStyle w:val="BodyText"/>
      </w:pPr>
      <w:r w:rsidRPr="00821D80">
        <w:t xml:space="preserve">It is important to distinguish between authorisation </w:t>
      </w:r>
      <w:r w:rsidRPr="00821D80">
        <w:rPr>
          <w:i/>
          <w:iCs/>
        </w:rPr>
        <w:t>to use</w:t>
      </w:r>
      <w:r w:rsidRPr="00821D80">
        <w:t xml:space="preserve"> a system and authorisation </w:t>
      </w:r>
      <w:r w:rsidRPr="00821D80">
        <w:rPr>
          <w:i/>
          <w:iCs/>
        </w:rPr>
        <w:t>within</w:t>
      </w:r>
      <w:r w:rsidRPr="00821D80">
        <w:t xml:space="preserve"> a system. The same term is often used to describe both, which has led to persistent confusion in system design. </w:t>
      </w:r>
    </w:p>
    <w:p w14:paraId="2315F573" w14:textId="77777777" w:rsidR="000A6FB8" w:rsidRDefault="000A6FB8" w:rsidP="000A6FB8">
      <w:pPr>
        <w:pStyle w:val="BodyText"/>
      </w:pPr>
      <w:r w:rsidRPr="00821D80">
        <w:t xml:space="preserve">An Identity Provider (IdP) can confirm that a user is who they claim to be, and provide access </w:t>
      </w:r>
      <w:r w:rsidRPr="00821D80">
        <w:rPr>
          <w:i/>
          <w:iCs/>
        </w:rPr>
        <w:t>to</w:t>
      </w:r>
      <w:r w:rsidRPr="00821D80">
        <w:t xml:space="preserve"> a system—but it is the system itself that must determine what the user is allowed to do </w:t>
      </w:r>
      <w:r w:rsidRPr="00821D80">
        <w:rPr>
          <w:i/>
          <w:iCs/>
        </w:rPr>
        <w:t>within</w:t>
      </w:r>
      <w:r w:rsidRPr="00821D80">
        <w:t xml:space="preserve"> it. These scopes are not interchangeable. </w:t>
      </w:r>
    </w:p>
    <w:p w14:paraId="1C761259" w14:textId="77777777" w:rsidR="000A6FB8" w:rsidRPr="00821D80" w:rsidRDefault="000A6FB8" w:rsidP="000A6FB8">
      <w:pPr>
        <w:pStyle w:val="BodyText"/>
      </w:pPr>
      <w:r w:rsidRPr="00821D80">
        <w:t>The logic for both assigning permissions and authorising actions must be embedded in the system delivering the business function, not delegated to external identity infrastructure.</w:t>
      </w:r>
    </w:p>
    <w:p w14:paraId="78AAA470" w14:textId="77777777" w:rsidR="000A6FB8" w:rsidRDefault="000A6FB8" w:rsidP="000A6FB8">
      <w:pPr>
        <w:pStyle w:val="BodyText"/>
        <w:keepNext/>
        <w:jc w:val="center"/>
      </w:pPr>
      <w:r>
        <w:rPr>
          <w:noProof/>
        </w:rPr>
        <w:drawing>
          <wp:inline distT="0" distB="0" distL="0" distR="0" wp14:anchorId="2638949D" wp14:editId="63AA1D88">
            <wp:extent cx="5514340" cy="1346740"/>
            <wp:effectExtent l="0" t="0" r="0" b="0"/>
            <wp:docPr id="1254939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4340" cy="1346740"/>
                    </a:xfrm>
                    <a:prstGeom prst="rect">
                      <a:avLst/>
                    </a:prstGeom>
                  </pic:spPr>
                </pic:pic>
              </a:graphicData>
            </a:graphic>
          </wp:inline>
        </w:drawing>
      </w:r>
    </w:p>
    <w:p w14:paraId="45736129" w14:textId="1FA996FF" w:rsidR="000A6FB8" w:rsidRPr="007E0335" w:rsidRDefault="000A6FB8" w:rsidP="000A6FB8">
      <w:pPr>
        <w:pStyle w:val="BodyText"/>
        <w:keepNext/>
        <w:jc w:val="center"/>
      </w:pPr>
      <w:bookmarkStart w:id="30" w:name="_Toc201064708"/>
      <w:bookmarkStart w:id="31" w:name="_Toc201899527"/>
      <w:r w:rsidRPr="007E0335">
        <w:t xml:space="preserve">Figure </w:t>
      </w:r>
      <w:r w:rsidRPr="007E0335">
        <w:fldChar w:fldCharType="begin"/>
      </w:r>
      <w:r w:rsidRPr="007E0335">
        <w:instrText xml:space="preserve"> SEQ Figure \* ARABIC </w:instrText>
      </w:r>
      <w:r w:rsidRPr="007E0335">
        <w:fldChar w:fldCharType="separate"/>
      </w:r>
      <w:r w:rsidR="007D2E5A">
        <w:rPr>
          <w:noProof/>
        </w:rPr>
        <w:t>6</w:t>
      </w:r>
      <w:r w:rsidRPr="007E0335">
        <w:fldChar w:fldCharType="end"/>
      </w:r>
      <w:r w:rsidRPr="007E0335">
        <w:t>: Authorisation Management and Implementation is Local</w:t>
      </w:r>
      <w:bookmarkEnd w:id="30"/>
      <w:bookmarkEnd w:id="31"/>
    </w:p>
    <w:p w14:paraId="76634120" w14:textId="77777777" w:rsidR="000A6FB8" w:rsidRPr="00821D80" w:rsidRDefault="000A6FB8" w:rsidP="000A6FB8">
      <w:pPr>
        <w:pStyle w:val="BodyText"/>
      </w:pPr>
      <w:r w:rsidRPr="00821D80">
        <w:t>Using IdPs to manage permissions leads to confusion and fragility. Every system should determine its own permission, role, and access logic. A label like 'teacher' may mean something different in a learning system than in a reporting portal or finance application. Role logic must be tailored, maintained, and auditable within the consuming system.</w:t>
      </w:r>
    </w:p>
    <w:p w14:paraId="536981E7" w14:textId="77777777" w:rsidR="000872B0" w:rsidRDefault="000872B0" w:rsidP="000872B0">
      <w:pPr>
        <w:pStyle w:val="Heading2"/>
      </w:pPr>
      <w:bookmarkStart w:id="32" w:name="_Toc201144432"/>
      <w:bookmarkStart w:id="33" w:name="_Toc201921427"/>
      <w:r>
        <w:lastRenderedPageBreak/>
        <w:t xml:space="preserve">Identity (only) </w:t>
      </w:r>
      <w:r w:rsidRPr="00715E2C">
        <w:t>Brokering</w:t>
      </w:r>
      <w:bookmarkEnd w:id="32"/>
      <w:bookmarkEnd w:id="33"/>
    </w:p>
    <w:p w14:paraId="035C89CE" w14:textId="77777777" w:rsidR="000F5590" w:rsidRDefault="000F5590" w:rsidP="000F5590">
      <w:pPr>
        <w:pStyle w:val="BodyText"/>
        <w:keepNext/>
        <w:jc w:val="center"/>
      </w:pPr>
      <w:r>
        <w:rPr>
          <w:noProof/>
        </w:rPr>
        <w:drawing>
          <wp:inline distT="0" distB="0" distL="0" distR="0" wp14:anchorId="1E11E1FA" wp14:editId="2F16FC21">
            <wp:extent cx="4743450" cy="2009775"/>
            <wp:effectExtent l="0" t="0" r="0" b="0"/>
            <wp:docPr id="1408996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743450" cy="2009775"/>
                    </a:xfrm>
                    <a:prstGeom prst="rect">
                      <a:avLst/>
                    </a:prstGeom>
                  </pic:spPr>
                </pic:pic>
              </a:graphicData>
            </a:graphic>
          </wp:inline>
        </w:drawing>
      </w:r>
    </w:p>
    <w:p w14:paraId="101F5BD0" w14:textId="20E6D988" w:rsidR="000F5590" w:rsidRPr="003A5DD9" w:rsidRDefault="000F5590" w:rsidP="000F5590">
      <w:pPr>
        <w:pStyle w:val="Caption"/>
        <w:jc w:val="center"/>
      </w:pPr>
      <w:bookmarkStart w:id="34" w:name="_Toc201064709"/>
      <w:bookmarkStart w:id="35" w:name="_Toc201899528"/>
      <w:r>
        <w:t xml:space="preserve">Figure </w:t>
      </w:r>
      <w:r>
        <w:fldChar w:fldCharType="begin"/>
      </w:r>
      <w:r>
        <w:instrText xml:space="preserve"> SEQ Figure \* ARABIC </w:instrText>
      </w:r>
      <w:r>
        <w:fldChar w:fldCharType="separate"/>
      </w:r>
      <w:r w:rsidR="007D2E5A">
        <w:rPr>
          <w:noProof/>
        </w:rPr>
        <w:t>7</w:t>
      </w:r>
      <w:r>
        <w:fldChar w:fldCharType="end"/>
      </w:r>
      <w:r>
        <w:t>: retrieve identity and context from separate, appropriate, sources</w:t>
      </w:r>
      <w:bookmarkEnd w:id="34"/>
      <w:bookmarkEnd w:id="35"/>
    </w:p>
    <w:p w14:paraId="3F10D231" w14:textId="77777777" w:rsidR="000F5590" w:rsidRPr="000F5590" w:rsidRDefault="000F5590" w:rsidP="000F5590">
      <w:pPr>
        <w:pStyle w:val="BodyText"/>
      </w:pPr>
    </w:p>
    <w:p w14:paraId="11A95536" w14:textId="77777777" w:rsidR="000872B0" w:rsidRPr="00715E2C" w:rsidRDefault="000872B0" w:rsidP="000872B0">
      <w:pPr>
        <w:pStyle w:val="BodyText"/>
      </w:pPr>
      <w:r w:rsidRPr="00715E2C">
        <w:t xml:space="preserve">A secondary source of confusion arises when identity brokering is introduced. In federated environments, an intermediary broker may authenticate users by delegating to one or more upstream IdPs—for example, a national education IdP that federates to cloud-hosted school-based identity services. </w:t>
      </w:r>
      <w:r w:rsidRPr="001A1698">
        <w:t>While brokering authentication is valid and necessary, the concept is sometimes stretched beyond its design, to brokering other information, as well as context and authentication.</w:t>
      </w:r>
    </w:p>
    <w:p w14:paraId="2836A760" w14:textId="77777777" w:rsidR="000872B0" w:rsidRPr="00715E2C" w:rsidRDefault="000872B0" w:rsidP="000872B0">
      <w:pPr>
        <w:pStyle w:val="BodyText"/>
      </w:pPr>
      <w:r w:rsidRPr="00715E2C">
        <w:t>It may seem convenient to treat the broker as a bridge not only for identity authentication, but also for aggregating or injecting user attributes from other systems. This conflation is problematic. An identity broker is not a general-purpose integration hub. Its role is to negotiate identity assertions—not to serve as a conduit for cross-domain attribute resolution.</w:t>
      </w:r>
    </w:p>
    <w:p w14:paraId="6F2BE4B5" w14:textId="078932DC" w:rsidR="000A6FB8" w:rsidRDefault="000872B0" w:rsidP="008F6A4A">
      <w:pPr>
        <w:pStyle w:val="BodyText"/>
      </w:pPr>
      <w:r w:rsidRPr="00715E2C">
        <w:t xml:space="preserve">Confusing these responsibilities leads to architectural drift: tokens become overloaded with external context, systems become dependent on indirect data sources, and the clarity of identity boundaries is lost. The result is fragile integration, poor traceability, and an increased surface area for data breaches. </w:t>
      </w:r>
    </w:p>
    <w:p w14:paraId="2B5F27B3" w14:textId="50C2D321" w:rsidR="003E2A80" w:rsidRDefault="003E2A80" w:rsidP="008F6A4A">
      <w:pPr>
        <w:pStyle w:val="BodyText"/>
      </w:pPr>
      <w:r w:rsidRPr="003E2A80">
        <w:t>Identity brokering does not change the fact that each consuming system maintains its own user records. Even when authentication is delegated to a broker or upstream IdP, the relying system must still represent users locally and independently. Identity brokers assert identity—they do not carry or synchronise user state, permissions, or context.</w:t>
      </w:r>
    </w:p>
    <w:p w14:paraId="07C0F3E5" w14:textId="77777777" w:rsidR="00D65922" w:rsidRDefault="00D65922" w:rsidP="00D65922">
      <w:pPr>
        <w:pStyle w:val="Heading2"/>
      </w:pPr>
      <w:bookmarkStart w:id="36" w:name="_Toc201144433"/>
      <w:bookmarkStart w:id="37" w:name="_Toc201921428"/>
      <w:r w:rsidRPr="00C4733A">
        <w:t>Context Belongs Where It Is Created</w:t>
      </w:r>
      <w:bookmarkEnd w:id="36"/>
      <w:bookmarkEnd w:id="37"/>
      <w:r w:rsidRPr="00C4733A">
        <w:t xml:space="preserve"> </w:t>
      </w:r>
    </w:p>
    <w:p w14:paraId="10595051" w14:textId="77777777" w:rsidR="00D65922" w:rsidRDefault="00D65922" w:rsidP="00D65922">
      <w:r w:rsidRPr="00C4733A">
        <w:t xml:space="preserve">Systems sometimes preload tokens with context—such as enrolment, roles, or organisational affiliation—that originates from other systems. These attributes are not identity. </w:t>
      </w:r>
      <w:r>
        <w:t>Nor are they attributes of the Persona - t</w:t>
      </w:r>
      <w:r w:rsidRPr="00C4733A">
        <w:t xml:space="preserve">hey are </w:t>
      </w:r>
      <w:r>
        <w:t xml:space="preserve">instead describing a persona’s </w:t>
      </w:r>
      <w:r w:rsidRPr="00893D00">
        <w:rPr>
          <w:i/>
          <w:iCs/>
        </w:rPr>
        <w:t>relationship</w:t>
      </w:r>
      <w:r>
        <w:t xml:space="preserve"> to a Context</w:t>
      </w:r>
      <w:r w:rsidRPr="00C4733A">
        <w:t xml:space="preserve">. </w:t>
      </w:r>
    </w:p>
    <w:p w14:paraId="4D6AE8C6" w14:textId="77777777" w:rsidR="00D65922" w:rsidRPr="00C4733A" w:rsidRDefault="00D65922" w:rsidP="00D65922">
      <w:r>
        <w:lastRenderedPageBreak/>
        <w:t xml:space="preserve">Being not attributes of an identity they should not be managed by an Identity Provider. Instead, </w:t>
      </w:r>
      <w:r w:rsidRPr="00C4733A">
        <w:t>they should be resolved at runtime via deliberate calls to the system that owns them.</w:t>
      </w:r>
    </w:p>
    <w:p w14:paraId="1970DA5C" w14:textId="77777777" w:rsidR="00D65922" w:rsidRPr="00C4733A" w:rsidRDefault="00D65922" w:rsidP="00D65922">
      <w:pPr>
        <w:pStyle w:val="BodyText"/>
      </w:pPr>
      <w:r w:rsidRPr="00C4733A">
        <w:t>Embedding such data in tokens violates boundaries, reduces auditability, and disperses entitlements. Instead, consuming systems should fetch what they need from source systems using authorised, traceable interfaces.</w:t>
      </w:r>
    </w:p>
    <w:p w14:paraId="79212623" w14:textId="77777777" w:rsidR="00D65922" w:rsidRDefault="00D65922" w:rsidP="008F6A4A">
      <w:pPr>
        <w:pStyle w:val="BodyText"/>
      </w:pPr>
    </w:p>
    <w:p w14:paraId="5317BF3B" w14:textId="77777777" w:rsidR="00415946" w:rsidRDefault="00415946" w:rsidP="00415946">
      <w:pPr>
        <w:pStyle w:val="Heading2"/>
      </w:pPr>
      <w:bookmarkStart w:id="38" w:name="_Toc201921429"/>
      <w:bookmarkStart w:id="39" w:name="_Toc201921424"/>
      <w:r w:rsidRPr="007479A3">
        <w:t xml:space="preserve">A Note on </w:t>
      </w:r>
      <w:r>
        <w:t xml:space="preserve">the </w:t>
      </w:r>
      <w:r w:rsidRPr="007479A3">
        <w:t>False Universality</w:t>
      </w:r>
      <w:bookmarkEnd w:id="39"/>
      <w:r>
        <w:t xml:space="preserve"> of Identifiers</w:t>
      </w:r>
    </w:p>
    <w:p w14:paraId="5110104D" w14:textId="77777777" w:rsidR="00415946" w:rsidRDefault="00415946" w:rsidP="00415946">
      <w:pPr>
        <w:pStyle w:val="BodyText"/>
        <w:keepNext/>
      </w:pPr>
      <w:r>
        <w:rPr>
          <w:noProof/>
        </w:rPr>
        <w:drawing>
          <wp:inline distT="0" distB="0" distL="0" distR="0" wp14:anchorId="43AF0A43" wp14:editId="2D298D99">
            <wp:extent cx="5724525" cy="866775"/>
            <wp:effectExtent l="0" t="0" r="0" b="0"/>
            <wp:docPr id="1837997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704E39F4" w14:textId="5547E2C9" w:rsidR="00415946" w:rsidRDefault="00415946" w:rsidP="00415946">
      <w:pPr>
        <w:pStyle w:val="Caption"/>
        <w:jc w:val="center"/>
      </w:pPr>
      <w:r>
        <w:t xml:space="preserve">Figure </w:t>
      </w:r>
      <w:r>
        <w:fldChar w:fldCharType="begin"/>
      </w:r>
      <w:r>
        <w:instrText xml:space="preserve"> SEQ Figure \* ARABIC </w:instrText>
      </w:r>
      <w:r>
        <w:fldChar w:fldCharType="separate"/>
      </w:r>
      <w:r w:rsidR="007D2E5A">
        <w:rPr>
          <w:noProof/>
        </w:rPr>
        <w:t>8</w:t>
      </w:r>
      <w:r>
        <w:fldChar w:fldCharType="end"/>
      </w:r>
      <w:r>
        <w:t>: Identifiers per domain</w:t>
      </w:r>
    </w:p>
    <w:p w14:paraId="041239A2" w14:textId="77777777" w:rsidR="00415946" w:rsidRPr="00F05127" w:rsidRDefault="00415946" w:rsidP="00415946">
      <w:pPr>
        <w:pStyle w:val="BodyText"/>
      </w:pPr>
    </w:p>
    <w:p w14:paraId="4A39B638" w14:textId="77777777" w:rsidR="00415946" w:rsidRPr="007479A3" w:rsidRDefault="00415946" w:rsidP="00415946">
      <w:pPr>
        <w:pStyle w:val="BodyText"/>
      </w:pPr>
      <w:r w:rsidRPr="007479A3">
        <w:t>Many systems inadvertently treat contextual identifiers as if they were globally unique or stable. This is a common but dangerous simplification.</w:t>
      </w:r>
    </w:p>
    <w:p w14:paraId="23106F4B" w14:textId="77777777" w:rsidR="00415946" w:rsidRPr="007479A3" w:rsidRDefault="00415946" w:rsidP="00415946">
      <w:pPr>
        <w:pStyle w:val="BodyText"/>
      </w:pPr>
      <w:r w:rsidRPr="007479A3">
        <w:t xml:space="preserve">A typical example is the </w:t>
      </w:r>
      <w:r w:rsidRPr="007479A3">
        <w:rPr>
          <w:b/>
          <w:bCs/>
        </w:rPr>
        <w:t>email address</w:t>
      </w:r>
      <w:r w:rsidRPr="007479A3">
        <w:t>. Developers often treat email as a reliable proxy for identity, using it as a primary key, login credential, or precondition for account recovery. But email addresses can be reassigned, forwarded, aliased, or abandoned. In schools and corporates, they may be recycled across users or autogenerated with little human review. Using them as a core identity reference risks accidental user crossover, silent data leaks, and continuity failures.</w:t>
      </w:r>
    </w:p>
    <w:p w14:paraId="488A47C5" w14:textId="77777777" w:rsidR="00415946" w:rsidRPr="007479A3" w:rsidRDefault="00415946" w:rsidP="00415946">
      <w:pPr>
        <w:pStyle w:val="BodyText"/>
      </w:pPr>
      <w:r w:rsidRPr="007479A3">
        <w:t xml:space="preserve">Another example is the </w:t>
      </w:r>
      <w:r w:rsidRPr="007479A3">
        <w:rPr>
          <w:b/>
          <w:bCs/>
        </w:rPr>
        <w:t>national student number (NSN)</w:t>
      </w:r>
      <w:r w:rsidRPr="007479A3">
        <w:t>. Within the education sector, the NSN is widely used to track a learner across providers—but it is only meaningful within the domain that issued it. It may not exist for all users (e.g. foreign students, young learners), and it cannot be assumed to hold significance in other sectors (e.g. health or justice). Treating an NSN as a universal identity key creates brittle integrations and breaks interoperability principles.</w:t>
      </w:r>
    </w:p>
    <w:p w14:paraId="7BF01AE4" w14:textId="77777777" w:rsidR="00415946" w:rsidRPr="007479A3" w:rsidRDefault="00415946" w:rsidP="00415946">
      <w:pPr>
        <w:pStyle w:val="BodyText"/>
      </w:pPr>
      <w:r w:rsidRPr="007479A3">
        <w:t>Similar problems occur with tax numbers, healthcare IDs, or internal system keys. Each was designed to serve a particular operational domain. Their reuse across systems—especially without clear boundaries, purpose limitation, or explicit linking—invites confusion, privacy breaches, and governance drift.</w:t>
      </w:r>
    </w:p>
    <w:p w14:paraId="4544A439" w14:textId="77777777" w:rsidR="00415946" w:rsidRPr="007479A3" w:rsidRDefault="00415946" w:rsidP="00415946">
      <w:pPr>
        <w:pStyle w:val="BodyText"/>
      </w:pPr>
      <w:r w:rsidRPr="007479A3">
        <w:t xml:space="preserve">The key architectural error is assuming that </w:t>
      </w:r>
      <w:r w:rsidRPr="007479A3">
        <w:rPr>
          <w:i/>
          <w:iCs/>
        </w:rPr>
        <w:t>any</w:t>
      </w:r>
      <w:r w:rsidRPr="007479A3">
        <w:t xml:space="preserve"> identifier—no matter how stable it appears—is sufficient to represent a person across systems. In practice, identifiers must always be evaluated in terms of their issuing authority, intended scope, and revocation policy. They can support continuity, but they cannot safely </w:t>
      </w:r>
      <w:r w:rsidRPr="007479A3">
        <w:rPr>
          <w:i/>
          <w:iCs/>
        </w:rPr>
        <w:t>define</w:t>
      </w:r>
      <w:r w:rsidRPr="007479A3">
        <w:t xml:space="preserve"> it.</w:t>
      </w:r>
    </w:p>
    <w:p w14:paraId="0C055588" w14:textId="2F3DCE93" w:rsidR="00415946" w:rsidRDefault="00415946" w:rsidP="00415946">
      <w:pPr>
        <w:pStyle w:val="BodyText"/>
      </w:pPr>
      <w:r w:rsidRPr="007479A3">
        <w:lastRenderedPageBreak/>
        <w:t xml:space="preserve">Where continuity across systems is required, it must be </w:t>
      </w:r>
      <w:r w:rsidRPr="007479A3">
        <w:rPr>
          <w:i/>
          <w:iCs/>
        </w:rPr>
        <w:t>managed</w:t>
      </w:r>
      <w:r w:rsidRPr="007479A3">
        <w:t xml:space="preserve">—through mapping, correlation, or explicit onboarding flows—not </w:t>
      </w:r>
      <w:r w:rsidRPr="007479A3">
        <w:rPr>
          <w:i/>
          <w:iCs/>
        </w:rPr>
        <w:t>assumed</w:t>
      </w:r>
      <w:r w:rsidRPr="007479A3">
        <w:t xml:space="preserve"> through shared identifiers.</w:t>
      </w:r>
    </w:p>
    <w:p w14:paraId="7956F6BE" w14:textId="77777777" w:rsidR="000D0BFD" w:rsidRDefault="000D0BFD" w:rsidP="000D0BFD">
      <w:pPr>
        <w:pStyle w:val="Heading1"/>
      </w:pPr>
      <w:r w:rsidRPr="000D0BFD">
        <w:t>Provisioning</w:t>
      </w:r>
      <w:bookmarkEnd w:id="38"/>
    </w:p>
    <w:p w14:paraId="4986F42E" w14:textId="77777777" w:rsidR="00FB3F4B" w:rsidRPr="00FB3F4B" w:rsidRDefault="00FB3F4B" w:rsidP="00FB3F4B">
      <w:pPr>
        <w:pStyle w:val="BodyText"/>
      </w:pPr>
      <w:r w:rsidRPr="00FB3F4B">
        <w:t>Provisioning is the process by which a system creates a local representation of a person—a User—and links them to one or more external identities. It enables participation, governance, and contextualisation within the system, but does not by itself determine what the user can do (roles) or where they belong (groups or organisations). Provisioning may occur automatically, administratively, or interactively, depending on the system’s architecture and operational model.</w:t>
      </w:r>
    </w:p>
    <w:p w14:paraId="517B2DE6" w14:textId="77F3CF88" w:rsidR="00F426E9" w:rsidRDefault="00FB3F4B" w:rsidP="008F6A4A">
      <w:pPr>
        <w:pStyle w:val="BodyText"/>
      </w:pPr>
      <w:r w:rsidRPr="00FB3F4B">
        <w:t>Common provisioning patterns include self-provisioning, where a user initiates their own entry via an identity provider and is created just-in-time; manual provisioning, where an administrator explicitly creates a user; and bulk provisioning, where a cohort of users is preloaded from a dataset or upstream system. Some systems support invitation-based provisioning, where an existing user sends an email invitation with a predefined context and role. A variation of this is code-based invitation provisioning, where access codes are distributed indirectly, such as through classroom materials or internal notices. In more integrated environments, SCIM-based provisioning allows upstream systems to create and manage users programmatically through a standard interface. Each of these methods differs in how identity is established, how context is assigned, and how roles are applied.</w:t>
      </w:r>
    </w:p>
    <w:p w14:paraId="00F67733" w14:textId="5C0C0EFE" w:rsidR="00F426E9" w:rsidRDefault="00F426E9" w:rsidP="00F426E9">
      <w:pPr>
        <w:pStyle w:val="Heading2"/>
      </w:pPr>
      <w:bookmarkStart w:id="40" w:name="_Toc201921430"/>
      <w:r>
        <w:t>Self-Provisioning</w:t>
      </w:r>
      <w:bookmarkEnd w:id="40"/>
    </w:p>
    <w:p w14:paraId="0F7F1CD3" w14:textId="77777777" w:rsidR="00C11629" w:rsidRDefault="00C11629" w:rsidP="00C11629">
      <w:pPr>
        <w:pStyle w:val="BodyText"/>
        <w:keepNext/>
        <w:jc w:val="center"/>
      </w:pPr>
      <w:r>
        <w:rPr>
          <w:noProof/>
        </w:rPr>
        <w:drawing>
          <wp:inline distT="0" distB="0" distL="0" distR="0" wp14:anchorId="538FD2BD" wp14:editId="3F35F6FF">
            <wp:extent cx="3248025" cy="1343025"/>
            <wp:effectExtent l="0" t="0" r="0" b="0"/>
            <wp:docPr id="9564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3417378A" w14:textId="5C45D56B" w:rsidR="00C11629" w:rsidRDefault="00C11629" w:rsidP="00C11629">
      <w:pPr>
        <w:pStyle w:val="Caption"/>
        <w:jc w:val="center"/>
      </w:pPr>
      <w:r>
        <w:t xml:space="preserve">Figure </w:t>
      </w:r>
      <w:r>
        <w:fldChar w:fldCharType="begin"/>
      </w:r>
      <w:r>
        <w:instrText xml:space="preserve"> SEQ Figure \* ARABIC </w:instrText>
      </w:r>
      <w:r>
        <w:fldChar w:fldCharType="separate"/>
      </w:r>
      <w:r w:rsidR="007D2E5A">
        <w:rPr>
          <w:noProof/>
        </w:rPr>
        <w:t>9</w:t>
      </w:r>
      <w:r>
        <w:fldChar w:fldCharType="end"/>
      </w:r>
      <w:r>
        <w:t xml:space="preserve">: Self provision creates Account </w:t>
      </w:r>
      <w:r w:rsidR="00356FDE">
        <w:t xml:space="preserve">as needed </w:t>
      </w:r>
      <w:r>
        <w:t xml:space="preserve">and </w:t>
      </w:r>
      <w:r w:rsidR="00356FDE">
        <w:t xml:space="preserve">associates </w:t>
      </w:r>
      <w:r>
        <w:t>User.</w:t>
      </w:r>
    </w:p>
    <w:p w14:paraId="542C14A3" w14:textId="77777777" w:rsidR="00C11629" w:rsidRPr="00C11629" w:rsidRDefault="00C11629" w:rsidP="00C11629">
      <w:pPr>
        <w:pStyle w:val="BodyText"/>
        <w:jc w:val="center"/>
      </w:pPr>
    </w:p>
    <w:p w14:paraId="009E5E64" w14:textId="03CB3801" w:rsidR="00F426E9" w:rsidRPr="00F426E9" w:rsidRDefault="00F426E9" w:rsidP="00F426E9">
      <w:pPr>
        <w:pStyle w:val="BodyText"/>
      </w:pPr>
      <w:r w:rsidRPr="00F426E9">
        <w:t>Self-provisioning occurs when a person initiates their own entry into the system. This is commonly triggered by arriving at a public-facing application, choosing a sign-in method (e.g. “Sign in with Microsoft”), and authenticating via an external identity provider (IdP). If the system has no record of the user’s external identity—typically identified by a unique combination of iss (issuer) and sub (subject ID from the IdP)—then it proceeds to create a new local User record and link it to the supplied external identity.</w:t>
      </w:r>
    </w:p>
    <w:p w14:paraId="5697C3D2" w14:textId="77777777" w:rsidR="00F426E9" w:rsidRPr="00F426E9" w:rsidRDefault="00F426E9" w:rsidP="00F426E9">
      <w:pPr>
        <w:pStyle w:val="BodyText"/>
      </w:pPr>
      <w:r w:rsidRPr="00F426E9">
        <w:lastRenderedPageBreak/>
        <w:t>In SaaS systems, self-provisioning often goes further: not only is a new user created, but also a new logical Account, Organisation, or Subscription. This establishes a private space within which the user operates—often including storage, settings, permissions, and the ability to create contexts such as groups or teams.</w:t>
      </w:r>
    </w:p>
    <w:p w14:paraId="1740308D" w14:textId="77777777" w:rsidR="00F426E9" w:rsidRPr="00F426E9" w:rsidRDefault="00F426E9" w:rsidP="00F426E9">
      <w:pPr>
        <w:pStyle w:val="BodyText"/>
      </w:pPr>
      <w:r w:rsidRPr="00F426E9">
        <w:t>The system will typically assign the self-provisioned user a privileged system role within this account—such as Owner, Administrator, or Coordinator. This ensures they can act meaningfully within the space they just created, even though no further users or groups yet exist.</w:t>
      </w:r>
    </w:p>
    <w:p w14:paraId="14934753" w14:textId="77777777" w:rsidR="00F426E9" w:rsidRPr="00F426E9" w:rsidRDefault="00F426E9" w:rsidP="00F426E9">
      <w:pPr>
        <w:pStyle w:val="BodyText"/>
      </w:pPr>
      <w:r w:rsidRPr="00F426E9">
        <w:t xml:space="preserve">At this point, </w:t>
      </w:r>
      <w:r w:rsidRPr="00F426E9">
        <w:rPr>
          <w:b/>
          <w:bCs/>
        </w:rPr>
        <w:t>contextualisation is minimal</w:t>
      </w:r>
      <w:r w:rsidRPr="00F426E9">
        <w:t>. The user is a member of the account by default, and as they create groups or contexts (such as teams, projects, or classes), the system may automatically assign them administrative roles within each new context they create. This pattern enables immediate functionality without requiring a formal onboarding workflow.</w:t>
      </w:r>
    </w:p>
    <w:p w14:paraId="331FD7A4" w14:textId="77777777" w:rsidR="00AF5C08" w:rsidRPr="00AF5C08" w:rsidRDefault="00AF5C08" w:rsidP="00AF5C08">
      <w:pPr>
        <w:pStyle w:val="BodyText"/>
      </w:pPr>
      <w:r w:rsidRPr="00AF5C08">
        <w:t>While efficient, self-provisioning has implications. It assumes:</w:t>
      </w:r>
    </w:p>
    <w:p w14:paraId="67A07BD4" w14:textId="77777777" w:rsidR="00AF5C08" w:rsidRPr="00AF5C08" w:rsidRDefault="00AF5C08" w:rsidP="00B257A4">
      <w:pPr>
        <w:pStyle w:val="BodyText"/>
        <w:numPr>
          <w:ilvl w:val="0"/>
          <w:numId w:val="6"/>
        </w:numPr>
      </w:pPr>
      <w:r w:rsidRPr="00AF5C08">
        <w:t>The user has access to an acceptable identity provider,</w:t>
      </w:r>
    </w:p>
    <w:p w14:paraId="12BB5846" w14:textId="77777777" w:rsidR="00AF5C08" w:rsidRPr="00AF5C08" w:rsidRDefault="00AF5C08" w:rsidP="00B257A4">
      <w:pPr>
        <w:pStyle w:val="BodyText"/>
        <w:numPr>
          <w:ilvl w:val="0"/>
          <w:numId w:val="6"/>
        </w:numPr>
      </w:pPr>
      <w:r w:rsidRPr="00AF5C08">
        <w:t>The creation of new accounts or tenancies is permitted by the system's governance rules,</w:t>
      </w:r>
    </w:p>
    <w:p w14:paraId="38362A41" w14:textId="77777777" w:rsidR="00AF5C08" w:rsidRPr="00AF5C08" w:rsidRDefault="00AF5C08" w:rsidP="00B257A4">
      <w:pPr>
        <w:pStyle w:val="BodyText"/>
        <w:numPr>
          <w:ilvl w:val="0"/>
          <w:numId w:val="6"/>
        </w:numPr>
      </w:pPr>
      <w:r w:rsidRPr="00AF5C08">
        <w:t>The initial user can act safely as an administrator, including inviting others or configuring access.</w:t>
      </w:r>
    </w:p>
    <w:p w14:paraId="10FFDBA1" w14:textId="77777777" w:rsidR="00AF5C08" w:rsidRPr="00AF5C08" w:rsidRDefault="00AF5C08" w:rsidP="00AF5C08">
      <w:pPr>
        <w:pStyle w:val="BodyText"/>
      </w:pPr>
      <w:r w:rsidRPr="00AF5C08">
        <w:t>Systems must decide whether self-provisioning is enabled globally, or only within certain constraints (e.g. trial accounts, education providers, or domain-restricted emails).</w:t>
      </w:r>
    </w:p>
    <w:p w14:paraId="42996510" w14:textId="77777777" w:rsidR="00AF5C08" w:rsidRDefault="00AF5C08" w:rsidP="00AF5C08">
      <w:pPr>
        <w:pStyle w:val="BodyText"/>
      </w:pPr>
      <w:r w:rsidRPr="00AF5C08">
        <w:t xml:space="preserve">It is also worth noting that the identities used during self-provisioning are unverified beyond what the IdP provides. If contextual trust or linkage to authoritative identity systems (e.g. a national education registry) is required, it must be established </w:t>
      </w:r>
      <w:r w:rsidRPr="00AF5C08">
        <w:rPr>
          <w:i/>
          <w:iCs/>
          <w:u w:val="single"/>
        </w:rPr>
        <w:t>after</w:t>
      </w:r>
      <w:r w:rsidRPr="00AF5C08">
        <w:t xml:space="preserve"> provisioning.</w:t>
      </w:r>
    </w:p>
    <w:p w14:paraId="588A9D86" w14:textId="77777777" w:rsidR="00055EB4" w:rsidRPr="00055EB4" w:rsidRDefault="00055EB4" w:rsidP="00055EB4">
      <w:pPr>
        <w:pStyle w:val="BodyText"/>
      </w:pPr>
      <w:r w:rsidRPr="00055EB4">
        <w:t>While self-provisioning supports autonomy and speed, it is not always appropriate—particularly in systems where participation is gated, roles are pre-defined, or accounts are centrally managed. In such cases, more directed onboarding methods are preferred.</w:t>
      </w:r>
    </w:p>
    <w:p w14:paraId="58CA1603" w14:textId="77777777" w:rsidR="00055EB4" w:rsidRPr="00055EB4" w:rsidRDefault="00055EB4" w:rsidP="00055EB4">
      <w:pPr>
        <w:pStyle w:val="BodyText"/>
      </w:pPr>
      <w:r w:rsidRPr="00055EB4">
        <w:t xml:space="preserve">Self-provisioning often operates as </w:t>
      </w:r>
      <w:r w:rsidRPr="00055EB4">
        <w:rPr>
          <w:b/>
          <w:bCs/>
        </w:rPr>
        <w:t>Just-In-Time (JIT) provisioning</w:t>
      </w:r>
      <w:r w:rsidRPr="00055EB4">
        <w:t>, where the user is created dynamically at the time of first successful sign-in via an external identity provider. This means no user record exists beforehand, and no manual setup is required—only a valid identity token is needed to trigger provisioning. While efficient, this model assumes a level of trust in the external IdP and a tolerance for minimal context at the time of entry.</w:t>
      </w:r>
    </w:p>
    <w:p w14:paraId="34F9EDC8" w14:textId="66781048" w:rsidR="00E03F08" w:rsidRDefault="00055EB4" w:rsidP="00AF5C08">
      <w:pPr>
        <w:pStyle w:val="BodyText"/>
      </w:pPr>
      <w:r w:rsidRPr="00055EB4">
        <w:t xml:space="preserve">Where self-provisioning is inappropriate or unsupported, systems typically fall back on administrative or preloaded models. The most basic of these is </w:t>
      </w:r>
      <w:r w:rsidRPr="00055EB4">
        <w:rPr>
          <w:b/>
          <w:bCs/>
        </w:rPr>
        <w:t>manual provisioning</w:t>
      </w:r>
      <w:r w:rsidRPr="00055EB4">
        <w:t>.</w:t>
      </w:r>
    </w:p>
    <w:p w14:paraId="1C3EF47D" w14:textId="77777777" w:rsidR="000F125C" w:rsidRDefault="000F125C" w:rsidP="000F125C">
      <w:pPr>
        <w:pStyle w:val="Heading2"/>
      </w:pPr>
      <w:bookmarkStart w:id="41" w:name="_Toc201921431"/>
      <w:r w:rsidRPr="000F125C">
        <w:lastRenderedPageBreak/>
        <w:t>Manual Provisioning</w:t>
      </w:r>
      <w:bookmarkEnd w:id="41"/>
    </w:p>
    <w:p w14:paraId="718BD4AC" w14:textId="77777777" w:rsidR="005B1D86" w:rsidRDefault="002278B8" w:rsidP="005B1D86">
      <w:pPr>
        <w:pStyle w:val="BodyText"/>
        <w:keepNext/>
        <w:jc w:val="center"/>
      </w:pPr>
      <w:r>
        <w:rPr>
          <w:noProof/>
        </w:rPr>
        <w:drawing>
          <wp:inline distT="0" distB="0" distL="0" distR="0" wp14:anchorId="14BD9F74" wp14:editId="5DABBE37">
            <wp:extent cx="3533775" cy="1343025"/>
            <wp:effectExtent l="0" t="0" r="9525" b="0"/>
            <wp:docPr id="1161230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2BFC54C4" w14:textId="424A742A" w:rsidR="002278B8" w:rsidRPr="002278B8" w:rsidRDefault="005B1D86" w:rsidP="005B1D86">
      <w:pPr>
        <w:pStyle w:val="Caption"/>
        <w:jc w:val="center"/>
      </w:pPr>
      <w:r>
        <w:t xml:space="preserve">Figure </w:t>
      </w:r>
      <w:r>
        <w:fldChar w:fldCharType="begin"/>
      </w:r>
      <w:r>
        <w:instrText xml:space="preserve"> SEQ Figure \* ARABIC </w:instrText>
      </w:r>
      <w:r>
        <w:fldChar w:fldCharType="separate"/>
      </w:r>
      <w:r w:rsidR="007D2E5A">
        <w:rPr>
          <w:noProof/>
        </w:rPr>
        <w:t>10</w:t>
      </w:r>
      <w:r>
        <w:fldChar w:fldCharType="end"/>
      </w:r>
      <w:r>
        <w:t>: Manual Provisioning</w:t>
      </w:r>
    </w:p>
    <w:p w14:paraId="363632A8" w14:textId="77777777" w:rsidR="000F125C" w:rsidRPr="000F125C" w:rsidRDefault="000F125C" w:rsidP="000F125C">
      <w:pPr>
        <w:pStyle w:val="BodyText"/>
      </w:pPr>
      <w:r w:rsidRPr="000F125C">
        <w:t>Manual provisioning is the most rudimentary form of onboarding, common in legacy or small-scale systems where automation is limited or system ownership is tightly controlled. In this pattern, an administrator explicitly creates each user in the system, either directly in a user interface or through a back-office process.</w:t>
      </w:r>
    </w:p>
    <w:p w14:paraId="5842294D" w14:textId="45958A4F" w:rsidR="000F125C" w:rsidRPr="000F125C" w:rsidRDefault="000F125C" w:rsidP="000F125C">
      <w:pPr>
        <w:pStyle w:val="BodyText"/>
      </w:pPr>
      <w:r w:rsidRPr="000F125C">
        <w:t>The admin supplies all required attributes—name, email (if used), and optionally sets a password or triggers an email</w:t>
      </w:r>
      <w:r w:rsidR="00D47728">
        <w:t xml:space="preserve"> to notify new users of the setup being complete</w:t>
      </w:r>
      <w:r w:rsidRPr="000F125C">
        <w:t>. The user may be assigned roles and group memberships immediately, or added later as needs arise.</w:t>
      </w:r>
    </w:p>
    <w:p w14:paraId="7D3759BE" w14:textId="77777777" w:rsidR="000F125C" w:rsidRPr="000F125C" w:rsidRDefault="000F125C" w:rsidP="000F125C">
      <w:pPr>
        <w:pStyle w:val="BodyText"/>
      </w:pPr>
      <w:r w:rsidRPr="000F125C">
        <w:t>Manual provisioning has limited scalability, offers no identity verification beyond what the administrator enters, and is prone to error or inconsistency. However, it remains useful in certain cases:</w:t>
      </w:r>
    </w:p>
    <w:p w14:paraId="4F7AC802" w14:textId="77777777" w:rsidR="000F125C" w:rsidRPr="000F125C" w:rsidRDefault="000F125C" w:rsidP="00B257A4">
      <w:pPr>
        <w:pStyle w:val="BodyText"/>
        <w:numPr>
          <w:ilvl w:val="0"/>
          <w:numId w:val="12"/>
        </w:numPr>
      </w:pPr>
      <w:r w:rsidRPr="000F125C">
        <w:t>When onboarding a small number of trusted users (e.g. system testers, early-stage deployments),</w:t>
      </w:r>
    </w:p>
    <w:p w14:paraId="3457C37A" w14:textId="77777777" w:rsidR="000F125C" w:rsidRPr="000F125C" w:rsidRDefault="000F125C" w:rsidP="00B257A4">
      <w:pPr>
        <w:pStyle w:val="BodyText"/>
        <w:numPr>
          <w:ilvl w:val="0"/>
          <w:numId w:val="12"/>
        </w:numPr>
      </w:pPr>
      <w:r w:rsidRPr="000F125C">
        <w:t>When operating offline or without a usable IdP,</w:t>
      </w:r>
    </w:p>
    <w:p w14:paraId="25F2F57D" w14:textId="77777777" w:rsidR="000F125C" w:rsidRPr="000F125C" w:rsidRDefault="000F125C" w:rsidP="00B257A4">
      <w:pPr>
        <w:pStyle w:val="BodyText"/>
        <w:numPr>
          <w:ilvl w:val="0"/>
          <w:numId w:val="12"/>
        </w:numPr>
      </w:pPr>
      <w:r w:rsidRPr="000F125C">
        <w:t>Or when establishing foundational users in a system before automation is configured.</w:t>
      </w:r>
    </w:p>
    <w:p w14:paraId="123A72CE" w14:textId="21E2140B" w:rsidR="000F125C" w:rsidRDefault="000F125C" w:rsidP="00AF5C08">
      <w:pPr>
        <w:pStyle w:val="BodyText"/>
      </w:pPr>
      <w:r w:rsidRPr="000F125C">
        <w:t>Because it bypasses identity provider flows, manual provisioning should only be used when auditability, context, and intentionality can be ensured through other controls.</w:t>
      </w:r>
    </w:p>
    <w:p w14:paraId="5041F578" w14:textId="77777777" w:rsidR="001543C3" w:rsidRDefault="00776DCC" w:rsidP="001543C3">
      <w:pPr>
        <w:pStyle w:val="Heading2"/>
      </w:pPr>
      <w:bookmarkStart w:id="42" w:name="_Toc201921432"/>
      <w:r w:rsidRPr="00776DCC">
        <w:t>Bulk Provisioning</w:t>
      </w:r>
      <w:bookmarkEnd w:id="42"/>
    </w:p>
    <w:p w14:paraId="0B0759BB" w14:textId="77777777" w:rsidR="005B1D86" w:rsidRDefault="005B1D86" w:rsidP="005B1D86">
      <w:pPr>
        <w:pStyle w:val="BodyText"/>
        <w:keepNext/>
        <w:jc w:val="center"/>
      </w:pPr>
      <w:r>
        <w:rPr>
          <w:noProof/>
        </w:rPr>
        <w:drawing>
          <wp:inline distT="0" distB="0" distL="0" distR="0" wp14:anchorId="031C49B2" wp14:editId="6F43F03A">
            <wp:extent cx="3533775" cy="1343025"/>
            <wp:effectExtent l="0" t="0" r="9525" b="0"/>
            <wp:docPr id="1117790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340A1D8C" w14:textId="7CC3FED6" w:rsidR="005B1D86" w:rsidRPr="002278B8" w:rsidRDefault="005B1D86" w:rsidP="005B1D86">
      <w:pPr>
        <w:pStyle w:val="Caption"/>
        <w:jc w:val="center"/>
      </w:pPr>
      <w:r>
        <w:t xml:space="preserve">Figure </w:t>
      </w:r>
      <w:r>
        <w:fldChar w:fldCharType="begin"/>
      </w:r>
      <w:r>
        <w:instrText xml:space="preserve"> SEQ Figure \* ARABIC </w:instrText>
      </w:r>
      <w:r>
        <w:fldChar w:fldCharType="separate"/>
      </w:r>
      <w:r w:rsidR="007D2E5A">
        <w:rPr>
          <w:noProof/>
        </w:rPr>
        <w:t>11</w:t>
      </w:r>
      <w:r>
        <w:fldChar w:fldCharType="end"/>
      </w:r>
      <w:r>
        <w:t xml:space="preserve">: </w:t>
      </w:r>
      <w:r>
        <w:t>Bulk</w:t>
      </w:r>
      <w:r>
        <w:t xml:space="preserve"> Provisioning</w:t>
      </w:r>
      <w:r>
        <w:t xml:space="preserve"> (same as Manual, just automated)</w:t>
      </w:r>
    </w:p>
    <w:p w14:paraId="229A0D92" w14:textId="77777777" w:rsidR="005B1D86" w:rsidRPr="005B1D86" w:rsidRDefault="005B1D86" w:rsidP="005B1D86">
      <w:pPr>
        <w:pStyle w:val="BodyText"/>
      </w:pPr>
    </w:p>
    <w:p w14:paraId="1C2B3276" w14:textId="1CBE6C00" w:rsidR="00776DCC" w:rsidRPr="00776DCC" w:rsidRDefault="00776DCC" w:rsidP="00776DCC">
      <w:pPr>
        <w:pStyle w:val="BodyText"/>
      </w:pPr>
      <w:r w:rsidRPr="00776DCC">
        <w:lastRenderedPageBreak/>
        <w:t>Bulk provisioning is a rudimentary but widely used method for onboarding users at scale. It is especially common in environments where technical integration is limited, but a known list of users is available—such as the start of a school year, a training intake, or a pre-registered event.</w:t>
      </w:r>
    </w:p>
    <w:p w14:paraId="403B8BD2" w14:textId="77777777" w:rsidR="00776DCC" w:rsidRPr="00776DCC" w:rsidRDefault="00776DCC" w:rsidP="00776DCC">
      <w:pPr>
        <w:pStyle w:val="BodyText"/>
      </w:pPr>
      <w:r w:rsidRPr="00776DCC">
        <w:t>The process typically begins with a manually prepared dataset—such as a spreadsheet, a Student Management System export, or an HR report. This dataset includes key fields such as name, email address, and intended role or group membership. The system then ingests this data through an upload or API call.</w:t>
      </w:r>
    </w:p>
    <w:p w14:paraId="476FBE8C" w14:textId="77777777" w:rsidR="00776DCC" w:rsidRPr="00776DCC" w:rsidRDefault="00776DCC" w:rsidP="00776DCC">
      <w:pPr>
        <w:pStyle w:val="BodyText"/>
      </w:pPr>
      <w:r w:rsidRPr="00776DCC">
        <w:t>There are two basic implementation models:</w:t>
      </w:r>
    </w:p>
    <w:p w14:paraId="24EDD0BC" w14:textId="77777777" w:rsidR="00776DCC" w:rsidRPr="00776DCC" w:rsidRDefault="00776DCC" w:rsidP="00B257A4">
      <w:pPr>
        <w:pStyle w:val="BodyText"/>
        <w:numPr>
          <w:ilvl w:val="0"/>
          <w:numId w:val="11"/>
        </w:numPr>
      </w:pPr>
      <w:r w:rsidRPr="00776DCC">
        <w:rPr>
          <w:b/>
          <w:bCs/>
        </w:rPr>
        <w:t>Pre-provisioning of users</w:t>
      </w:r>
      <w:r w:rsidRPr="00776DCC">
        <w:br/>
        <w:t>The system creates User records in advance, often marked as inactive or pending. When someone later signs in using an external identity provider, the system attempts to match the incoming identity—usually by email—to the existing user. If successful, the identity is linked and the user is activated. This model avoids creating users with no identity but relies heavily on email uniqueness and stability, which can be unreliable in federated or youth contexts.</w:t>
      </w:r>
    </w:p>
    <w:p w14:paraId="526D87E6" w14:textId="77777777" w:rsidR="00776DCC" w:rsidRPr="00776DCC" w:rsidRDefault="00776DCC" w:rsidP="00B257A4">
      <w:pPr>
        <w:pStyle w:val="BodyText"/>
        <w:numPr>
          <w:ilvl w:val="0"/>
          <w:numId w:val="11"/>
        </w:numPr>
      </w:pPr>
      <w:r w:rsidRPr="00776DCC">
        <w:rPr>
          <w:b/>
          <w:bCs/>
        </w:rPr>
        <w:t>Bulk-generated invitations</w:t>
      </w:r>
      <w:r w:rsidRPr="00776DCC">
        <w:br/>
        <w:t>Instead of creating users up front, the system generates time-limited invitations and sends them to the listed contacts. Each invitation carries the intended role and group. When the recipient signs in, the system creates the user (if needed) and assigns the appropriate role. This approach delays user creation until necessary and avoids ghost records, but still assumes that the email contact is correct and trusted.</w:t>
      </w:r>
    </w:p>
    <w:p w14:paraId="4F0366F5" w14:textId="77777777" w:rsidR="00776DCC" w:rsidRPr="00776DCC" w:rsidRDefault="00776DCC" w:rsidP="00776DCC">
      <w:pPr>
        <w:pStyle w:val="BodyText"/>
      </w:pPr>
      <w:r w:rsidRPr="00776DCC">
        <w:t>Bulk provisioning is operationally straightforward. It does not require deep system integration or formal IdP agreements. However, it also lacks verification, auditability, or fault tolerance. It cannot confirm whether users received the invitation, whether the identity that signs in truly belongs to the intended person, or whether the supplied data was accurate. It is therefore best used for low-risk roles, or in systems with secondary validation steps (e.g. teacher confirmation or code-based activation).</w:t>
      </w:r>
    </w:p>
    <w:p w14:paraId="4E3026BD" w14:textId="620670E9" w:rsidR="00776DCC" w:rsidRDefault="00776DCC" w:rsidP="007803C4">
      <w:pPr>
        <w:pStyle w:val="BodyText"/>
      </w:pPr>
      <w:r w:rsidRPr="00776DCC">
        <w:t>While crude, bulk provisioning remains effective in many real-world settings, particularly when paired with context-specific moderation or delayed access enforcement. More dynamic and structured approaches are covered in the next sections.</w:t>
      </w:r>
    </w:p>
    <w:p w14:paraId="418B0FDB" w14:textId="465E44BF" w:rsidR="00694766" w:rsidRDefault="001F2275" w:rsidP="00694766">
      <w:pPr>
        <w:pStyle w:val="Heading2"/>
      </w:pPr>
      <w:bookmarkStart w:id="43" w:name="_Toc201921433"/>
      <w:r>
        <w:lastRenderedPageBreak/>
        <w:t xml:space="preserve">Email based </w:t>
      </w:r>
      <w:r w:rsidR="00694766" w:rsidRPr="00694766">
        <w:t>Invitation Provisioning</w:t>
      </w:r>
      <w:bookmarkEnd w:id="43"/>
    </w:p>
    <w:p w14:paraId="24C7B3B8" w14:textId="77777777" w:rsidR="009C0245" w:rsidRDefault="009C0245" w:rsidP="009C0245">
      <w:pPr>
        <w:pStyle w:val="BodyText"/>
        <w:keepNext/>
        <w:jc w:val="center"/>
      </w:pPr>
      <w:r>
        <w:rPr>
          <w:noProof/>
        </w:rPr>
        <w:drawing>
          <wp:inline distT="0" distB="0" distL="0" distR="0" wp14:anchorId="326082C6" wp14:editId="4558138F">
            <wp:extent cx="4391025" cy="2105025"/>
            <wp:effectExtent l="0" t="0" r="0" b="0"/>
            <wp:docPr id="1608288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0480AD7C" w14:textId="69EB8244" w:rsidR="009C0245" w:rsidRPr="009C0245" w:rsidRDefault="009C0245" w:rsidP="009C0245">
      <w:pPr>
        <w:pStyle w:val="Caption"/>
        <w:jc w:val="center"/>
      </w:pPr>
      <w:r>
        <w:t xml:space="preserve">Figure </w:t>
      </w:r>
      <w:r>
        <w:fldChar w:fldCharType="begin"/>
      </w:r>
      <w:r>
        <w:instrText xml:space="preserve"> SEQ Figure \* ARABIC </w:instrText>
      </w:r>
      <w:r>
        <w:fldChar w:fldCharType="separate"/>
      </w:r>
      <w:r w:rsidR="007D2E5A">
        <w:rPr>
          <w:noProof/>
        </w:rPr>
        <w:t>12</w:t>
      </w:r>
      <w:r>
        <w:fldChar w:fldCharType="end"/>
      </w:r>
      <w:r>
        <w:t>: Invitation based Provisioning</w:t>
      </w:r>
    </w:p>
    <w:p w14:paraId="0A7523B7" w14:textId="0573AB9B" w:rsidR="00694766" w:rsidRPr="00694766" w:rsidRDefault="00694766" w:rsidP="00694766">
      <w:pPr>
        <w:pStyle w:val="BodyText"/>
      </w:pPr>
      <w:r w:rsidRPr="00694766">
        <w:t>Invitation-based provisioning occurs when an existing user initiates the onboarding of another person into the system. Rather than allowing open self-registration, this pattern enables controlled growth of participation, with context and role predefined by the inviter. It is commonly used in systems where roles carry significant responsibilities or access—such as educational platforms, organisational tools, or subscription-based services.</w:t>
      </w:r>
    </w:p>
    <w:p w14:paraId="4AE7DE99" w14:textId="6E74F9CF" w:rsidR="00694766" w:rsidRPr="00694766" w:rsidRDefault="00694766" w:rsidP="00694766">
      <w:pPr>
        <w:pStyle w:val="BodyText"/>
      </w:pPr>
      <w:r w:rsidRPr="00694766">
        <w:t xml:space="preserve">The process begins with an authorised user selecting a context (such as a group, class, or organisation), </w:t>
      </w:r>
      <w:r w:rsidR="00D83583" w:rsidRPr="00694766">
        <w:t>a role</w:t>
      </w:r>
      <w:r w:rsidR="00D83583">
        <w:t xml:space="preserve"> to assign</w:t>
      </w:r>
      <w:r w:rsidR="00D83583" w:rsidRPr="00694766">
        <w:t xml:space="preserve">, </w:t>
      </w:r>
      <w:r w:rsidRPr="00694766">
        <w:t>and an email address for the intended invitee. The system creates an Invitation record that includes these details, along with an expiry timestamp (e.g. valid for 24 or 72 hours). This record is not tied to an existing user; it represents a future user in waiting.</w:t>
      </w:r>
    </w:p>
    <w:p w14:paraId="3C53797C" w14:textId="77777777" w:rsidR="00694766" w:rsidRPr="00694766" w:rsidRDefault="00694766" w:rsidP="00694766">
      <w:pPr>
        <w:pStyle w:val="BodyText"/>
      </w:pPr>
      <w:r w:rsidRPr="00694766">
        <w:t>The invitation is delivered via email and contains a secure link directing the invitee to the system. Upon arrival, the invitee is prompted to authenticate using an accepted external identity provider. If no matching DigitalId is found, the system creates a new User record and links it to the external identity. It then checks for a valid invitation matching the user’s email and, if found, completes the onboarding process by:</w:t>
      </w:r>
    </w:p>
    <w:p w14:paraId="69686515" w14:textId="77777777" w:rsidR="00694766" w:rsidRPr="00694766" w:rsidRDefault="00694766" w:rsidP="00B257A4">
      <w:pPr>
        <w:pStyle w:val="BodyText"/>
        <w:numPr>
          <w:ilvl w:val="0"/>
          <w:numId w:val="7"/>
        </w:numPr>
      </w:pPr>
      <w:r w:rsidRPr="00694766">
        <w:t>Associating the user with the correct Account or Subscription,</w:t>
      </w:r>
    </w:p>
    <w:p w14:paraId="64FACB11" w14:textId="77777777" w:rsidR="00694766" w:rsidRPr="00694766" w:rsidRDefault="00694766" w:rsidP="00B257A4">
      <w:pPr>
        <w:pStyle w:val="BodyText"/>
        <w:numPr>
          <w:ilvl w:val="0"/>
          <w:numId w:val="7"/>
        </w:numPr>
      </w:pPr>
      <w:r w:rsidRPr="00694766">
        <w:t>Assigning them the specified Role within the specified Context (e.g. “Teacher in Room 5”),</w:t>
      </w:r>
    </w:p>
    <w:p w14:paraId="044D2F5C" w14:textId="77777777" w:rsidR="00694766" w:rsidRPr="00694766" w:rsidRDefault="00694766" w:rsidP="00B257A4">
      <w:pPr>
        <w:pStyle w:val="BodyText"/>
        <w:numPr>
          <w:ilvl w:val="0"/>
          <w:numId w:val="7"/>
        </w:numPr>
      </w:pPr>
      <w:r w:rsidRPr="00694766">
        <w:t>Optionally, notifying the inviter of successful onboarding.</w:t>
      </w:r>
    </w:p>
    <w:p w14:paraId="53671941" w14:textId="18BFE8BA" w:rsidR="00BF1522" w:rsidRPr="00694766" w:rsidRDefault="00694766" w:rsidP="00694766">
      <w:pPr>
        <w:pStyle w:val="BodyText"/>
      </w:pPr>
      <w:r w:rsidRPr="00694766">
        <w:t xml:space="preserve">This approach allows organisations to maintain control over who joins, and in what capacity, without requiring administrative oversight of every step. It also decouples identity authentication from role granting: the identity provider confirms who the user is (to the extent the IdP can), while the invitation process defines </w:t>
      </w:r>
      <w:r w:rsidRPr="00694766">
        <w:rPr>
          <w:i/>
          <w:iCs/>
        </w:rPr>
        <w:t>why</w:t>
      </w:r>
      <w:r w:rsidRPr="00694766">
        <w:t xml:space="preserve"> they are joining and </w:t>
      </w:r>
      <w:r w:rsidRPr="00694766">
        <w:rPr>
          <w:i/>
          <w:iCs/>
        </w:rPr>
        <w:t>what</w:t>
      </w:r>
      <w:r w:rsidRPr="00694766">
        <w:t xml:space="preserve"> they will be allowed to do.</w:t>
      </w:r>
    </w:p>
    <w:p w14:paraId="4EABA5ED" w14:textId="77777777" w:rsidR="00694766" w:rsidRPr="00694766" w:rsidRDefault="00694766" w:rsidP="00694766">
      <w:pPr>
        <w:pStyle w:val="BodyText"/>
      </w:pPr>
      <w:r w:rsidRPr="00694766">
        <w:lastRenderedPageBreak/>
        <w:t>Some systems allow invitations to be reused if multiple users need access to the same group in the same role (e.g. onboarding a cohort of parents or students). Others treat invitations as single-use, to preserve strict traceability.</w:t>
      </w:r>
    </w:p>
    <w:p w14:paraId="2A0950A9" w14:textId="6B644A3C" w:rsidR="00694766" w:rsidRPr="00694766" w:rsidRDefault="00694766" w:rsidP="00694766">
      <w:pPr>
        <w:pStyle w:val="BodyText"/>
      </w:pPr>
      <w:r w:rsidRPr="00694766">
        <w:t xml:space="preserve">This pattern supports both first-time users and returning users. If a user already exists and receives a new invitation, the system simply updates their contextual relationships—no new </w:t>
      </w:r>
      <w:r w:rsidR="00533C27">
        <w:t xml:space="preserve">user </w:t>
      </w:r>
      <w:r w:rsidRPr="00694766">
        <w:t>provisioning is needed. In this way, invitations serve both as a provisioning mechanism and as a tool for expanding participation over time.</w:t>
      </w:r>
    </w:p>
    <w:p w14:paraId="631DA211" w14:textId="7D028C58" w:rsidR="00B45A5D" w:rsidRDefault="00694766" w:rsidP="00694766">
      <w:pPr>
        <w:pStyle w:val="BodyText"/>
      </w:pPr>
      <w:r w:rsidRPr="00694766">
        <w:t>Invitation-based provisioning is often complemented by approval workflows or moderation queues in regulated or high-trust environments. In these cases, an administrator may need to review or activate the user after the invitation has been accepted but before full access is granted.</w:t>
      </w:r>
    </w:p>
    <w:p w14:paraId="767C4B7D" w14:textId="23E91366" w:rsidR="00426A59" w:rsidRDefault="001F2275" w:rsidP="001F2275">
      <w:pPr>
        <w:pStyle w:val="Heading2"/>
      </w:pPr>
      <w:bookmarkStart w:id="44" w:name="_Toc201921434"/>
      <w:r>
        <w:t>Code Based Invitation Provisioning</w:t>
      </w:r>
      <w:bookmarkEnd w:id="44"/>
    </w:p>
    <w:p w14:paraId="6E0768B1" w14:textId="77777777" w:rsidR="00715B04" w:rsidRDefault="00715B04" w:rsidP="00715B04">
      <w:pPr>
        <w:pStyle w:val="BodyText"/>
        <w:keepNext/>
        <w:jc w:val="center"/>
      </w:pPr>
      <w:r>
        <w:rPr>
          <w:noProof/>
        </w:rPr>
        <w:drawing>
          <wp:inline distT="0" distB="0" distL="0" distR="0" wp14:anchorId="210E9FCB" wp14:editId="3859D5DE">
            <wp:extent cx="4391025" cy="2105025"/>
            <wp:effectExtent l="0" t="0" r="0" b="0"/>
            <wp:docPr id="1589902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388C1E96" w14:textId="01855892" w:rsidR="00715B04" w:rsidRPr="00715B04" w:rsidRDefault="00715B04" w:rsidP="00715B04">
      <w:pPr>
        <w:pStyle w:val="Caption"/>
        <w:jc w:val="center"/>
      </w:pPr>
      <w:r>
        <w:t xml:space="preserve">Figure </w:t>
      </w:r>
      <w:r>
        <w:fldChar w:fldCharType="begin"/>
      </w:r>
      <w:r>
        <w:instrText xml:space="preserve"> SEQ Figure \* ARABIC </w:instrText>
      </w:r>
      <w:r>
        <w:fldChar w:fldCharType="separate"/>
      </w:r>
      <w:r w:rsidR="007D2E5A">
        <w:rPr>
          <w:noProof/>
        </w:rPr>
        <w:t>13</w:t>
      </w:r>
      <w:r>
        <w:fldChar w:fldCharType="end"/>
      </w:r>
      <w:r>
        <w:t>: Code based Invitation</w:t>
      </w:r>
    </w:p>
    <w:p w14:paraId="2C535BF5" w14:textId="5E8D86E1" w:rsidR="00426A59" w:rsidRPr="00426A59" w:rsidRDefault="00426A59" w:rsidP="00426A59">
      <w:pPr>
        <w:pStyle w:val="BodyText"/>
      </w:pPr>
      <w:r w:rsidRPr="00426A59">
        <w:t xml:space="preserve">In addition to email-based invitations, some systems support </w:t>
      </w:r>
      <w:r w:rsidRPr="00426A59">
        <w:rPr>
          <w:b/>
          <w:bCs/>
        </w:rPr>
        <w:t>code-based onboarding</w:t>
      </w:r>
      <w:r w:rsidRPr="00426A59">
        <w:t>. In this model, the inviter generates a reusable or single-use access code linked to a predefined context and role. Instead of receiving a direct invitation link, recipients are given the code through other channels—such as printed materials, in-person sessions, or school intranet pages. Upon accessing the system, the user authenticates through an external IdP and enters the code. The system matches the code to a known invitation context, provisions the user (if not already present), and assigns the intended role.</w:t>
      </w:r>
    </w:p>
    <w:p w14:paraId="4F2EAC2A" w14:textId="2706DBBC" w:rsidR="00426A59" w:rsidRDefault="00426A59" w:rsidP="00694766">
      <w:pPr>
        <w:pStyle w:val="BodyText"/>
      </w:pPr>
      <w:r w:rsidRPr="00426A59">
        <w:t>This variant is common in classroom environments, training courses, assessments, or situations where users may not have email addresses or where mass-personalised distribution is impractical. It simplifies logistics but requires tighter controls around code expiry, misuse prevention, and optional approval.</w:t>
      </w:r>
    </w:p>
    <w:p w14:paraId="2CE8F04C" w14:textId="77777777" w:rsidR="00AA4685" w:rsidRDefault="00AA4685" w:rsidP="00AA4685">
      <w:pPr>
        <w:pStyle w:val="Heading2"/>
      </w:pPr>
      <w:bookmarkStart w:id="45" w:name="_Toc201921435"/>
      <w:r w:rsidRPr="00AA4685">
        <w:lastRenderedPageBreak/>
        <w:t>SCIM-Based Provisioning</w:t>
      </w:r>
      <w:bookmarkEnd w:id="45"/>
    </w:p>
    <w:p w14:paraId="4360F57D" w14:textId="77777777" w:rsidR="00830C0B" w:rsidRDefault="00830C0B" w:rsidP="00830C0B">
      <w:pPr>
        <w:pStyle w:val="BodyText"/>
        <w:keepNext/>
        <w:jc w:val="center"/>
      </w:pPr>
      <w:r>
        <w:rPr>
          <w:noProof/>
        </w:rPr>
        <w:drawing>
          <wp:inline distT="0" distB="0" distL="0" distR="0" wp14:anchorId="4A63DDEF" wp14:editId="1130A3E4">
            <wp:extent cx="2486025" cy="819150"/>
            <wp:effectExtent l="0" t="0" r="9525" b="0"/>
            <wp:docPr id="1087185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6025" cy="819150"/>
                    </a:xfrm>
                    <a:prstGeom prst="rect">
                      <a:avLst/>
                    </a:prstGeom>
                    <a:noFill/>
                    <a:ln>
                      <a:noFill/>
                    </a:ln>
                  </pic:spPr>
                </pic:pic>
              </a:graphicData>
            </a:graphic>
          </wp:inline>
        </w:drawing>
      </w:r>
    </w:p>
    <w:p w14:paraId="06DB2652" w14:textId="41EB9D28" w:rsidR="00830C0B" w:rsidRPr="00830C0B" w:rsidRDefault="00830C0B" w:rsidP="00830C0B">
      <w:pPr>
        <w:pStyle w:val="Caption"/>
        <w:jc w:val="center"/>
      </w:pPr>
      <w:r>
        <w:t xml:space="preserve">Figure </w:t>
      </w:r>
      <w:r>
        <w:fldChar w:fldCharType="begin"/>
      </w:r>
      <w:r>
        <w:instrText xml:space="preserve"> SEQ Figure \* ARABIC </w:instrText>
      </w:r>
      <w:r>
        <w:fldChar w:fldCharType="separate"/>
      </w:r>
      <w:r w:rsidR="007D2E5A">
        <w:rPr>
          <w:noProof/>
        </w:rPr>
        <w:t>14</w:t>
      </w:r>
      <w:r>
        <w:fldChar w:fldCharType="end"/>
      </w:r>
      <w:r>
        <w:t>: SCIM based provisioning</w:t>
      </w:r>
    </w:p>
    <w:p w14:paraId="4EA4B37E" w14:textId="0A710567" w:rsidR="00AA4685" w:rsidRPr="00AA4685" w:rsidRDefault="00AA4685" w:rsidP="00AA4685">
      <w:pPr>
        <w:pStyle w:val="BodyText"/>
      </w:pPr>
      <w:r w:rsidRPr="00AA4685">
        <w:t>While invitation-based provisioning is sufficient for most educational and civic systems—allowing existing users to add others with clear context—some enterprise or corporate environments require a more centralised and automated approach. For these use cases, SCIM (System for Cross-domain Identity Management) provides a standardised protocol for synchronising user records between identity authorities and applications.</w:t>
      </w:r>
    </w:p>
    <w:p w14:paraId="72BA68E5" w14:textId="77777777" w:rsidR="00AA4685" w:rsidRDefault="00AA4685" w:rsidP="00AA4685">
      <w:pPr>
        <w:pStyle w:val="BodyText"/>
      </w:pPr>
      <w:r w:rsidRPr="00AA4685">
        <w:t xml:space="preserve">SCIM is typically used when an upstream system, such as a corporate identity provider, school directory service, or HR platform, is responsible for defining who should exist in downstream systems. </w:t>
      </w:r>
    </w:p>
    <w:p w14:paraId="1F86D619" w14:textId="63E24BAF" w:rsidR="00AA4685" w:rsidRPr="00AA4685" w:rsidRDefault="00AA4685" w:rsidP="00AA4685">
      <w:pPr>
        <w:pStyle w:val="BodyText"/>
      </w:pPr>
      <w:r w:rsidRPr="00AA4685">
        <w:t>Through SCIM endpoints</w:t>
      </w:r>
      <w:r>
        <w:t xml:space="preserve"> on the downstream system</w:t>
      </w:r>
      <w:r w:rsidRPr="00AA4685">
        <w:t>, the source system can create, update, or deactivate users without requiring direct user action. This supports high-scale onboarding and consistent account lifecycle management across tools.</w:t>
      </w:r>
    </w:p>
    <w:p w14:paraId="12D03116" w14:textId="77777777" w:rsidR="00AA4685" w:rsidRPr="00AA4685" w:rsidRDefault="00AA4685" w:rsidP="00AA4685">
      <w:pPr>
        <w:pStyle w:val="BodyText"/>
      </w:pPr>
      <w:r w:rsidRPr="00AA4685">
        <w:t>A SCIM-based integration usually results in:</w:t>
      </w:r>
    </w:p>
    <w:p w14:paraId="57F7CEB7" w14:textId="77777777" w:rsidR="00AA4685" w:rsidRPr="00AA4685" w:rsidRDefault="00AA4685" w:rsidP="00B257A4">
      <w:pPr>
        <w:pStyle w:val="BodyText"/>
        <w:numPr>
          <w:ilvl w:val="0"/>
          <w:numId w:val="8"/>
        </w:numPr>
      </w:pPr>
      <w:r w:rsidRPr="00AA4685">
        <w:t>The creation of a User record (including attributes like name and email),</w:t>
      </w:r>
    </w:p>
    <w:p w14:paraId="58C22562" w14:textId="77777777" w:rsidR="00AA4685" w:rsidRPr="00AA4685" w:rsidRDefault="00AA4685" w:rsidP="00B257A4">
      <w:pPr>
        <w:pStyle w:val="BodyText"/>
        <w:numPr>
          <w:ilvl w:val="0"/>
          <w:numId w:val="8"/>
        </w:numPr>
      </w:pPr>
      <w:r w:rsidRPr="00AA4685">
        <w:t>The optional inclusion of group memberships from the source system,</w:t>
      </w:r>
    </w:p>
    <w:p w14:paraId="2B2117D0" w14:textId="77777777" w:rsidR="00AA4685" w:rsidRPr="00AA4685" w:rsidRDefault="00AA4685" w:rsidP="00B257A4">
      <w:pPr>
        <w:pStyle w:val="BodyText"/>
        <w:numPr>
          <w:ilvl w:val="0"/>
          <w:numId w:val="8"/>
        </w:numPr>
      </w:pPr>
      <w:r w:rsidRPr="00AA4685">
        <w:t>The alignment of account activation and deactivation with the source’s policies.</w:t>
      </w:r>
    </w:p>
    <w:p w14:paraId="2F9B6007" w14:textId="77777777" w:rsidR="00AA4685" w:rsidRPr="00AA4685" w:rsidRDefault="00AA4685" w:rsidP="00AA4685">
      <w:pPr>
        <w:pStyle w:val="BodyText"/>
      </w:pPr>
      <w:r w:rsidRPr="00AA4685">
        <w:t xml:space="preserve">However, it is important to note that SCIM </w:t>
      </w:r>
      <w:r w:rsidRPr="00AA4685">
        <w:rPr>
          <w:b/>
          <w:bCs/>
        </w:rPr>
        <w:t>does not convey application-specific context or roles directly</w:t>
      </w:r>
      <w:r w:rsidRPr="00AA4685">
        <w:t>. The groups and roles described in a SCIM payload refer to constructs from the source system (e.g. Active Directory groups), which may not map cleanly to the target system’s concepts of groups, contexts, or permissions.</w:t>
      </w:r>
    </w:p>
    <w:p w14:paraId="76BFC1BC" w14:textId="77777777" w:rsidR="00AA4685" w:rsidRPr="00AA4685" w:rsidRDefault="00AA4685" w:rsidP="00AA4685">
      <w:pPr>
        <w:pStyle w:val="BodyText"/>
      </w:pPr>
      <w:r w:rsidRPr="00AA4685">
        <w:t xml:space="preserve">This leads to one of the key challenges of SCIM: </w:t>
      </w:r>
      <w:r w:rsidRPr="00AA4685">
        <w:rPr>
          <w:b/>
          <w:bCs/>
        </w:rPr>
        <w:t>mapping</w:t>
      </w:r>
      <w:r w:rsidRPr="00AA4685">
        <w:t>. For SCIM-based provisioning to assign roles or place users in meaningful contexts, either:</w:t>
      </w:r>
    </w:p>
    <w:p w14:paraId="3578374B" w14:textId="77777777" w:rsidR="00AA4685" w:rsidRPr="00AA4685" w:rsidRDefault="00AA4685" w:rsidP="00B257A4">
      <w:pPr>
        <w:pStyle w:val="BodyText"/>
        <w:numPr>
          <w:ilvl w:val="0"/>
          <w:numId w:val="9"/>
        </w:numPr>
      </w:pPr>
      <w:r w:rsidRPr="00AA4685">
        <w:t>The source system must place users into specific groups named according to conventions understood by the target application, or</w:t>
      </w:r>
    </w:p>
    <w:p w14:paraId="5FEE0499" w14:textId="77777777" w:rsidR="00AA4685" w:rsidRPr="00AA4685" w:rsidRDefault="00AA4685" w:rsidP="00B257A4">
      <w:pPr>
        <w:pStyle w:val="BodyText"/>
        <w:numPr>
          <w:ilvl w:val="0"/>
          <w:numId w:val="9"/>
        </w:numPr>
      </w:pPr>
      <w:r w:rsidRPr="00AA4685">
        <w:t>The target system must implement custom logic to interpret incoming SCIM group names and map them to internal roles and contexts.</w:t>
      </w:r>
    </w:p>
    <w:p w14:paraId="49333EF1" w14:textId="77777777" w:rsidR="00AA4685" w:rsidRPr="00AA4685" w:rsidRDefault="00AA4685" w:rsidP="00AA4685">
      <w:pPr>
        <w:pStyle w:val="BodyText"/>
      </w:pPr>
      <w:r w:rsidRPr="00AA4685">
        <w:t>This often requires a negotiated agreement between the source and target system owners. In practice, either side may attempt to reduce implementation burden by shifting the complexity to the other. As a result, SCIM is most successful in tightly integrated corporate ecosystems where naming conventions are predictable and change management is centrally controlled.</w:t>
      </w:r>
    </w:p>
    <w:p w14:paraId="49F25F50" w14:textId="1D075BD1" w:rsidR="00D635F3" w:rsidRDefault="00D635F3" w:rsidP="00AA4685">
      <w:pPr>
        <w:pStyle w:val="BodyText"/>
      </w:pPr>
      <w:r w:rsidRPr="00AA4685">
        <w:lastRenderedPageBreak/>
        <w:t xml:space="preserve">SCIM </w:t>
      </w:r>
      <w:r w:rsidR="0063784D">
        <w:t xml:space="preserve">can be used </w:t>
      </w:r>
      <w:r w:rsidRPr="00AA4685">
        <w:t xml:space="preserve">as a provisioning tool for </w:t>
      </w:r>
      <w:r w:rsidRPr="00AA4685">
        <w:rPr>
          <w:b/>
          <w:bCs/>
        </w:rPr>
        <w:t>structured, centrally-governed environments</w:t>
      </w:r>
      <w:r w:rsidRPr="00AA4685">
        <w:t>. It enables automated user creation but does not replace the need for context-setting, role assignment, or identity correlation—all of which must still be handled separately.</w:t>
      </w:r>
    </w:p>
    <w:p w14:paraId="4E0289D4" w14:textId="72B6DA90" w:rsidR="00AA4685" w:rsidRPr="00AA4685" w:rsidRDefault="00AA4685" w:rsidP="00AA4685">
      <w:pPr>
        <w:pStyle w:val="BodyText"/>
      </w:pPr>
      <w:r w:rsidRPr="00AA4685">
        <w:t xml:space="preserve">SCIM </w:t>
      </w:r>
      <w:r w:rsidR="0063784D">
        <w:t xml:space="preserve">should not be seen as a universal solution – it </w:t>
      </w:r>
      <w:r w:rsidRPr="00AA4685">
        <w:t xml:space="preserve">is </w:t>
      </w:r>
      <w:r w:rsidRPr="00AA4685">
        <w:rPr>
          <w:b/>
          <w:bCs/>
        </w:rPr>
        <w:t>poorly suited to federated identity environments</w:t>
      </w:r>
      <w:r w:rsidRPr="00AA4685">
        <w:t>, such as those spanning multiple schools, providers, or regional systems. In these contexts:</w:t>
      </w:r>
    </w:p>
    <w:p w14:paraId="526E6188" w14:textId="62B00A7F" w:rsidR="00AA4685" w:rsidRPr="00AA4685" w:rsidRDefault="00AA4685" w:rsidP="00B257A4">
      <w:pPr>
        <w:pStyle w:val="BodyText"/>
        <w:numPr>
          <w:ilvl w:val="0"/>
          <w:numId w:val="10"/>
        </w:numPr>
      </w:pPr>
      <w:r w:rsidRPr="00AA4685">
        <w:t xml:space="preserve">The identity broker (or IdP hub) </w:t>
      </w:r>
      <w:r w:rsidR="00D635F3">
        <w:t>should</w:t>
      </w:r>
      <w:r w:rsidRPr="00AA4685">
        <w:t xml:space="preserve"> not have complete knowledge of each downstream system’s group structures or access policies,</w:t>
      </w:r>
    </w:p>
    <w:p w14:paraId="6FA07E3D" w14:textId="77777777" w:rsidR="00AA4685" w:rsidRPr="00AA4685" w:rsidRDefault="00AA4685" w:rsidP="00B257A4">
      <w:pPr>
        <w:pStyle w:val="BodyText"/>
        <w:numPr>
          <w:ilvl w:val="0"/>
          <w:numId w:val="10"/>
        </w:numPr>
      </w:pPr>
      <w:r w:rsidRPr="00AA4685">
        <w:t>The federation may involve thousands of semi-autonomous entities, making it infeasible to enforce shared SCIM group structures,</w:t>
      </w:r>
    </w:p>
    <w:p w14:paraId="54B0B31B" w14:textId="7F7B3AD4" w:rsidR="006C673C" w:rsidRDefault="00AA4685" w:rsidP="00B257A4">
      <w:pPr>
        <w:pStyle w:val="BodyText"/>
        <w:numPr>
          <w:ilvl w:val="0"/>
          <w:numId w:val="10"/>
        </w:numPr>
      </w:pPr>
      <w:r w:rsidRPr="00AA4685">
        <w:t>Onboarding is more effectively handled through invitation-based flows, where context and role can be set precisely by each receiving system.</w:t>
      </w:r>
    </w:p>
    <w:p w14:paraId="058867F6" w14:textId="074ED487" w:rsidR="006C673C" w:rsidRDefault="00153B93" w:rsidP="006C673C">
      <w:pPr>
        <w:pStyle w:val="Heading2"/>
      </w:pPr>
      <w:bookmarkStart w:id="46" w:name="_Toc201921436"/>
      <w:r>
        <w:t xml:space="preserve">Considerations: </w:t>
      </w:r>
      <w:r w:rsidR="006C673C" w:rsidRPr="00B45A5D">
        <w:t>Early Identity Matching via Sector Identifiers</w:t>
      </w:r>
      <w:bookmarkEnd w:id="46"/>
    </w:p>
    <w:p w14:paraId="17887F42" w14:textId="77777777" w:rsidR="007D2E5A" w:rsidRDefault="007D2E5A" w:rsidP="007D2E5A">
      <w:pPr>
        <w:pStyle w:val="BodyText"/>
        <w:keepNext/>
        <w:jc w:val="center"/>
      </w:pPr>
      <w:r>
        <w:rPr>
          <w:noProof/>
        </w:rPr>
        <w:drawing>
          <wp:inline distT="0" distB="0" distL="0" distR="0" wp14:anchorId="59B41B67" wp14:editId="61BDB910">
            <wp:extent cx="4391025" cy="2105025"/>
            <wp:effectExtent l="0" t="0" r="0" b="0"/>
            <wp:docPr id="118921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51B62207" w14:textId="266D2358" w:rsidR="007D2E5A" w:rsidRPr="007D2E5A" w:rsidRDefault="007D2E5A" w:rsidP="007D2E5A">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Invitation with embedded system Identifier</w:t>
      </w:r>
      <w:r>
        <w:rPr>
          <w:noProof/>
        </w:rPr>
        <w:t>s</w:t>
      </w:r>
    </w:p>
    <w:p w14:paraId="5D0903A2" w14:textId="77777777" w:rsidR="006C673C" w:rsidRPr="00B45A5D" w:rsidRDefault="006C673C" w:rsidP="006C673C">
      <w:pPr>
        <w:pStyle w:val="BodyText"/>
      </w:pPr>
      <w:r w:rsidRPr="00B45A5D">
        <w:t>In tightly controlled provisioning flows—such as invitations, bulk assignments, or SCIM-based imports—it is technically possible to identify users early by using a known sector or national identifier (such as an NSN) instead of relying solely on email addresses or waiting for identity protocol exchanges like OIDC. This can bypass the need for additional identity resolution services, provided the identifier is known, unambiguous, and correctly entered.</w:t>
      </w:r>
    </w:p>
    <w:p w14:paraId="3DDD51B1" w14:textId="77777777" w:rsidR="006C673C" w:rsidRPr="00B45A5D" w:rsidRDefault="006C673C" w:rsidP="006C673C">
      <w:pPr>
        <w:pStyle w:val="BodyText"/>
      </w:pPr>
      <w:r w:rsidRPr="00B45A5D">
        <w:t>However, this approach introduces significant risks. Identifiers may be mistyped, misassigned, or reused across contexts. It also presumes that the provisioning actor has access to the identifier and understands its proper use, including any constraints on its scope, formatting, or applicability.</w:t>
      </w:r>
    </w:p>
    <w:p w14:paraId="6E93C618" w14:textId="77777777" w:rsidR="006C673C" w:rsidRPr="00B45A5D" w:rsidRDefault="006C673C" w:rsidP="006C673C">
      <w:pPr>
        <w:pStyle w:val="BodyText"/>
      </w:pPr>
      <w:r w:rsidRPr="00B45A5D">
        <w:t xml:space="preserve">Where identifiers are governed, unique, and verified—such as in official sector systems—this pattern may reduce lookup overhead and simplify flows. But where data quality is </w:t>
      </w:r>
      <w:r w:rsidRPr="00B45A5D">
        <w:lastRenderedPageBreak/>
        <w:t>mixed, such shortcuts can lead to incorrect identity-to-person associations, especially when users change affiliations or the same identifier is reused inadvertently.</w:t>
      </w:r>
    </w:p>
    <w:p w14:paraId="59E95C27" w14:textId="77777777" w:rsidR="004275AE" w:rsidRDefault="006C673C" w:rsidP="0070168F">
      <w:pPr>
        <w:pStyle w:val="BodyText"/>
      </w:pPr>
      <w:r w:rsidRPr="00B45A5D">
        <w:t>Use of sector identifiers for pre-resolution must therefore be accompanied by validation steps and audit trails. No roles or access should be granted until identity integrity is confirmed. Even where this method is used, it does not eliminate the need for contextualisation logic to be handled by the relying system.</w:t>
      </w:r>
    </w:p>
    <w:p w14:paraId="4EA7A3C4" w14:textId="75585CB4" w:rsidR="0070168F" w:rsidRPr="0070168F" w:rsidRDefault="0070168F" w:rsidP="004275AE">
      <w:pPr>
        <w:pStyle w:val="Heading1"/>
      </w:pPr>
      <w:bookmarkStart w:id="47" w:name="_Toc201921437"/>
      <w:r w:rsidRPr="0070168F">
        <w:t>Guiding Principles</w:t>
      </w:r>
      <w:bookmarkEnd w:id="47"/>
    </w:p>
    <w:p w14:paraId="10427631" w14:textId="5A1236D8" w:rsidR="0070168F" w:rsidRDefault="004275AE" w:rsidP="0070168F">
      <w:pPr>
        <w:pStyle w:val="BodyText"/>
      </w:pPr>
      <w:r>
        <w:t>The importance of s</w:t>
      </w:r>
      <w:r w:rsidR="0070168F" w:rsidRPr="0070168F">
        <w:t>ystems that manage identity and participation must be designed according to clearly articulated principles. Without these, convenience, legacy patterns, or vendor defaults will shape decisions in ways that undermine long-term clarity, maintainability, and security.</w:t>
      </w:r>
    </w:p>
    <w:p w14:paraId="123594F3" w14:textId="7A5433EB" w:rsidR="004275AE" w:rsidRPr="0070168F" w:rsidRDefault="004275AE" w:rsidP="0070168F">
      <w:pPr>
        <w:pStyle w:val="BodyText"/>
      </w:pPr>
      <w:r w:rsidRPr="0070168F">
        <w:t>Designing systems without clear principles leads to fragile, opaque behaviours that fail under change. Principled systems, by contrast, are resilient, traceable, and respectful of domain separation.</w:t>
      </w:r>
    </w:p>
    <w:p w14:paraId="3187CDF1" w14:textId="77777777" w:rsidR="004275AE" w:rsidRDefault="0070168F" w:rsidP="004275AE">
      <w:pPr>
        <w:pStyle w:val="Heading2"/>
      </w:pPr>
      <w:bookmarkStart w:id="48" w:name="_Toc201921438"/>
      <w:r w:rsidRPr="0070168F">
        <w:t>Identity is not Context</w:t>
      </w:r>
      <w:bookmarkEnd w:id="48"/>
    </w:p>
    <w:p w14:paraId="48798F8B" w14:textId="4E15B32E" w:rsidR="0070168F" w:rsidRPr="0070168F" w:rsidRDefault="0070168F" w:rsidP="004275AE">
      <w:pPr>
        <w:pStyle w:val="BodyText"/>
      </w:pPr>
      <w:r w:rsidRPr="0070168F">
        <w:t>Identity protocols (such as OIDC) exist to assert who a person is—not where they belong or what they are allowed to do. These responsibilities must be separated in system design.</w:t>
      </w:r>
    </w:p>
    <w:p w14:paraId="2E55C1F5" w14:textId="77777777" w:rsidR="004275AE" w:rsidRDefault="0070168F" w:rsidP="004275AE">
      <w:pPr>
        <w:pStyle w:val="Heading2"/>
      </w:pPr>
      <w:bookmarkStart w:id="49" w:name="_Toc201921440"/>
      <w:r w:rsidRPr="0070168F">
        <w:t>Contextual Placement Must Be System-Governed</w:t>
      </w:r>
      <w:bookmarkEnd w:id="49"/>
    </w:p>
    <w:p w14:paraId="500B30EF" w14:textId="48C0FA79" w:rsidR="0070168F" w:rsidRPr="0070168F" w:rsidRDefault="0070168F" w:rsidP="004275AE">
      <w:pPr>
        <w:pStyle w:val="BodyText"/>
      </w:pPr>
      <w:r w:rsidRPr="0070168F">
        <w:t>Group membership, role assignment, and contextual positioning must be governed by the application, using its own rules, data sources, and responsibilities. This maintains domain clarity and auditability.</w:t>
      </w:r>
    </w:p>
    <w:p w14:paraId="6C838F95" w14:textId="77777777" w:rsidR="004275AE" w:rsidRDefault="0070168F" w:rsidP="004275AE">
      <w:pPr>
        <w:pStyle w:val="Heading2"/>
      </w:pPr>
      <w:bookmarkStart w:id="50" w:name="_Toc201921441"/>
      <w:r w:rsidRPr="0070168F">
        <w:t>Sector Identifiers Belong in Sector Systems</w:t>
      </w:r>
      <w:bookmarkEnd w:id="50"/>
    </w:p>
    <w:p w14:paraId="36DFFFE3" w14:textId="77777777" w:rsidR="004275AE" w:rsidRDefault="0070168F" w:rsidP="004275AE">
      <w:pPr>
        <w:pStyle w:val="BodyText"/>
      </w:pPr>
      <w:r w:rsidRPr="0070168F">
        <w:t>If a national or sector identifier is needed, it should be sourced through a verified backchannel from a sector-managed service. This preserves authoritative boundaries and reduces risk.</w:t>
      </w:r>
    </w:p>
    <w:p w14:paraId="5D02815F" w14:textId="660DB4DA" w:rsidR="004275AE" w:rsidRDefault="0070168F" w:rsidP="004275AE">
      <w:pPr>
        <w:pStyle w:val="Heading2"/>
      </w:pPr>
      <w:bookmarkStart w:id="51" w:name="_Toc201921442"/>
      <w:r w:rsidRPr="0070168F">
        <w:t>Design for IdP Independence</w:t>
      </w:r>
      <w:bookmarkEnd w:id="51"/>
    </w:p>
    <w:p w14:paraId="0D220EC0" w14:textId="41AF59EC" w:rsidR="0070168F" w:rsidRDefault="0070168F" w:rsidP="006C673C">
      <w:pPr>
        <w:pStyle w:val="BodyText"/>
      </w:pPr>
      <w:r w:rsidRPr="0070168F">
        <w:t>Systems should expect identity providers to change. To retain continuity, they must track auxiliary metadata (e.g. iss version, first/last seen dates) and support mapping of historical identities.</w:t>
      </w:r>
    </w:p>
    <w:p w14:paraId="17F7593A" w14:textId="77777777" w:rsidR="00341A93" w:rsidRDefault="00341A93" w:rsidP="00341A93">
      <w:pPr>
        <w:pStyle w:val="Heading2"/>
      </w:pPr>
      <w:bookmarkStart w:id="52" w:name="_Toc201921439"/>
      <w:r w:rsidRPr="0070168F">
        <w:lastRenderedPageBreak/>
        <w:t>Avoid Token Enrichment by Brokers</w:t>
      </w:r>
      <w:bookmarkEnd w:id="52"/>
    </w:p>
    <w:p w14:paraId="6BCE9BEE" w14:textId="2F634AE1" w:rsidR="00341A93" w:rsidRDefault="00341A93" w:rsidP="006C673C">
      <w:pPr>
        <w:pStyle w:val="BodyText"/>
      </w:pPr>
      <w:r w:rsidRPr="0070168F">
        <w:t>Brokers and identity providers should not act as data enrichment engines. Their tokens should assert identity only. Adding sector identifiers or contextual claims creates coupling and erodes trust boundaries.</w:t>
      </w:r>
    </w:p>
    <w:p w14:paraId="4BB37E74" w14:textId="77777777" w:rsidR="00021B1F" w:rsidRDefault="00021B1F" w:rsidP="00EB29A2">
      <w:pPr>
        <w:pStyle w:val="BodyText"/>
        <w:rPr>
          <w:rFonts w:eastAsiaTheme="majorEastAsia" w:cstheme="majorBidi"/>
          <w:b/>
          <w:color w:val="2F5496" w:themeColor="accent1" w:themeShade="BF"/>
          <w:sz w:val="36"/>
          <w:szCs w:val="32"/>
        </w:rPr>
      </w:pPr>
      <w:r w:rsidRPr="00021B1F">
        <w:rPr>
          <w:rFonts w:eastAsiaTheme="majorEastAsia" w:cstheme="majorBidi"/>
          <w:b/>
          <w:color w:val="2F5496" w:themeColor="accent1" w:themeShade="BF"/>
          <w:sz w:val="36"/>
          <w:szCs w:val="32"/>
        </w:rPr>
        <w:t>OpenID Connect Overview and Limitations</w:t>
      </w:r>
    </w:p>
    <w:p w14:paraId="4F5D617E" w14:textId="658C1FF9" w:rsidR="004925CA" w:rsidRDefault="004925CA" w:rsidP="00EB29A2">
      <w:pPr>
        <w:pStyle w:val="BodyText"/>
      </w:pPr>
      <w:r w:rsidRPr="004925CA">
        <w:t xml:space="preserve">OpenID Connect (OIDC) is a widely adopted identity protocol that enables federated authentication across systems. It allows a user to prove who they are by authenticating through a trusted identity provider (IdP), which then issues a token that the relying system can verify. </w:t>
      </w:r>
    </w:p>
    <w:p w14:paraId="7DDCB5A0" w14:textId="167CDE00" w:rsidR="00EB29A2" w:rsidRDefault="004925CA" w:rsidP="00EB29A2">
      <w:pPr>
        <w:pStyle w:val="BodyText"/>
        <w:rPr>
          <w:i/>
          <w:iCs/>
        </w:rPr>
      </w:pPr>
      <w:r w:rsidRPr="004925CA">
        <w:t xml:space="preserve">OIDC builds on OAuth 2.0, adding a structured identity layer designed for interoperability, security, and extensibility. It standardises key concepts such as issuers (iss), subjects (sub), scopes, and claims—allowing applications to receive cryptographically signed tokens containing identity assertions. This makes OIDC a sound foundation for asserting </w:t>
      </w:r>
      <w:r w:rsidRPr="004925CA">
        <w:rPr>
          <w:i/>
          <w:iCs/>
        </w:rPr>
        <w:t>who</w:t>
      </w:r>
      <w:r w:rsidRPr="004925CA">
        <w:t xml:space="preserve"> a user is—but not </w:t>
      </w:r>
      <w:r w:rsidRPr="004925CA">
        <w:rPr>
          <w:i/>
          <w:iCs/>
        </w:rPr>
        <w:t>what</w:t>
      </w:r>
      <w:r w:rsidRPr="004925CA">
        <w:t xml:space="preserve"> they can do, </w:t>
      </w:r>
      <w:r w:rsidRPr="004925CA">
        <w:rPr>
          <w:i/>
          <w:iCs/>
        </w:rPr>
        <w:t>what roles</w:t>
      </w:r>
      <w:r w:rsidRPr="004925CA">
        <w:t xml:space="preserve"> they hold, or </w:t>
      </w:r>
      <w:r w:rsidRPr="004925CA">
        <w:rPr>
          <w:i/>
          <w:iCs/>
        </w:rPr>
        <w:t>where</w:t>
      </w:r>
      <w:r w:rsidRPr="004925CA">
        <w:t xml:space="preserve"> they belong. </w:t>
      </w:r>
      <w:r w:rsidRPr="004925CA">
        <w:rPr>
          <w:i/>
          <w:iCs/>
        </w:rPr>
        <w:t>Those aspects lie outside its scope, and must be determined by the relying system.</w:t>
      </w:r>
    </w:p>
    <w:p w14:paraId="4373919D" w14:textId="77777777" w:rsidR="008A12E2" w:rsidRDefault="008A12E2" w:rsidP="00EB29A2">
      <w:pPr>
        <w:pStyle w:val="BodyText"/>
      </w:pPr>
      <w:r w:rsidRPr="008A12E2">
        <w:t xml:space="preserve">While OIDC is well-suited to browser-based authentication and single sign-on across services, it is not a complete solution for all identity-related concerns. It does not model identity continuity across identity provider changes, does not support contextual placement, and should not be extended beyond its intended scope. Attempting to retrofit OIDC tokens to carry enriched attributes or external identifiers undermines system clarity and invites long-term fragility. </w:t>
      </w:r>
    </w:p>
    <w:p w14:paraId="3691026C" w14:textId="10A2532A" w:rsidR="008A12E2" w:rsidRPr="008A12E2" w:rsidRDefault="008A12E2" w:rsidP="00EB29A2">
      <w:pPr>
        <w:pStyle w:val="BodyText"/>
        <w:rPr>
          <w:i/>
          <w:iCs/>
        </w:rPr>
      </w:pPr>
      <w:r w:rsidRPr="008A12E2">
        <w:rPr>
          <w:i/>
          <w:iCs/>
        </w:rPr>
        <w:t>It is essential to treat OIDC as one component—responsible for verifying who the user is—not as a universal substrate for context, continuity, or domain-specific logic.</w:t>
      </w:r>
    </w:p>
    <w:p w14:paraId="7042A114" w14:textId="3EF23519" w:rsidR="00927E9A" w:rsidRDefault="00927E9A" w:rsidP="005B1A15">
      <w:pPr>
        <w:pStyle w:val="Heading2"/>
      </w:pPr>
      <w:bookmarkStart w:id="53" w:name="_Toc201921443"/>
      <w:r w:rsidRPr="00927E9A">
        <w:t>The Limits of OIDC Trust Patterns</w:t>
      </w:r>
      <w:bookmarkEnd w:id="53"/>
    </w:p>
    <w:p w14:paraId="1A387859" w14:textId="77777777" w:rsidR="0015530E" w:rsidRPr="0015530E" w:rsidRDefault="0015530E" w:rsidP="0015530E">
      <w:pPr>
        <w:pStyle w:val="BodyText"/>
      </w:pPr>
      <w:r w:rsidRPr="0015530E">
        <w:t>While the OpenID Connect (OIDC) specification assumes that the combination of iss (issuer) and sub (subject) forms a durable and globally unique user identifier, this does not hold in real-world deployments. Organisations routinely change identity providers due to contract expiry, cost considerations, feature gaps, integration barriers, or policy shifts. These transitions are not theoretical edge cases—they are routine occurrences in most medium-to-large environments.</w:t>
      </w:r>
    </w:p>
    <w:p w14:paraId="036DAF13" w14:textId="28496655" w:rsidR="0015530E" w:rsidRPr="0015530E" w:rsidRDefault="0015530E" w:rsidP="0015530E">
      <w:pPr>
        <w:pStyle w:val="BodyText"/>
      </w:pPr>
      <w:r w:rsidRPr="0015530E">
        <w:t xml:space="preserve">In such transitions, a new IdP will typically generate a different sub for each user—even when the person remains the same. In some cases, the same iss value may be retained despite a change in underlying infrastructure, making it impossible to determine whether a new (iss, sub) pair represents a returning user or an entirely new one. </w:t>
      </w:r>
    </w:p>
    <w:p w14:paraId="21E21CFC" w14:textId="77777777" w:rsidR="0015530E" w:rsidRPr="0015530E" w:rsidRDefault="0015530E" w:rsidP="0015530E">
      <w:pPr>
        <w:pStyle w:val="BodyText"/>
      </w:pPr>
      <w:r w:rsidRPr="0015530E">
        <w:t xml:space="preserve">This challenge becomes significantly more acute in federated architectures, where each IdP is operated by a different organisation. Coordinated management of identity continuity across those entities is rarely feasible, especially in public sector or education </w:t>
      </w:r>
      <w:r w:rsidRPr="0015530E">
        <w:lastRenderedPageBreak/>
        <w:t>scenarios with many independently governed domains. Even where brokers are used, the broker itself may change over time—leaving no stable sub, and no clean way to rebind existing users without administrative rework or manual correlation.</w:t>
      </w:r>
    </w:p>
    <w:p w14:paraId="7A7EA20C" w14:textId="77777777" w:rsidR="0015530E" w:rsidRPr="0015530E" w:rsidRDefault="0015530E" w:rsidP="0015530E">
      <w:pPr>
        <w:pStyle w:val="BodyText"/>
      </w:pPr>
      <w:r w:rsidRPr="0015530E">
        <w:t>The OIDC model is technically compliant but operationally fragile in any environment where identities must persist across IdP changes. Systems that assume iss and sub are permanent risk both data fragmentation and serious user-level failures unless explicit correlation logic is introduced.</w:t>
      </w:r>
    </w:p>
    <w:p w14:paraId="3D0A3D12" w14:textId="5E6B119A" w:rsidR="0015530E" w:rsidRDefault="006108CD" w:rsidP="006108CD">
      <w:pPr>
        <w:pStyle w:val="Heading2"/>
      </w:pPr>
      <w:bookmarkStart w:id="54" w:name="_Toc201921444"/>
      <w:r>
        <w:t>OIDC Incompleteness</w:t>
      </w:r>
      <w:bookmarkEnd w:id="54"/>
    </w:p>
    <w:p w14:paraId="29ACFB10" w14:textId="700B01AB" w:rsidR="006108CD" w:rsidRPr="0015530E" w:rsidRDefault="006108CD" w:rsidP="0015530E">
      <w:pPr>
        <w:pStyle w:val="BodyText"/>
      </w:pPr>
      <w:r>
        <w:t xml:space="preserve">However, </w:t>
      </w:r>
      <w:r w:rsidRPr="0015530E">
        <w:t>OIDC provides no built-in versioning, timestamp, or other metadata to help distinguish one identity issuance from another. It assumes the IdP is stable and authoritative, with no provisions for change.</w:t>
      </w:r>
    </w:p>
    <w:p w14:paraId="5A6860C6" w14:textId="4DF5E625" w:rsidR="00927E9A" w:rsidRPr="00927E9A" w:rsidRDefault="0003621E" w:rsidP="005B1A15">
      <w:pPr>
        <w:pStyle w:val="Heading2"/>
      </w:pPr>
      <w:bookmarkStart w:id="55" w:name="_Toc201921445"/>
      <w:r>
        <w:t xml:space="preserve">OIDC </w:t>
      </w:r>
      <w:r w:rsidR="00927E9A" w:rsidRPr="00927E9A">
        <w:t>Misuse</w:t>
      </w:r>
      <w:bookmarkEnd w:id="55"/>
    </w:p>
    <w:p w14:paraId="7155702E" w14:textId="365B415D" w:rsidR="00927E9A" w:rsidRPr="00927E9A" w:rsidRDefault="00927E9A" w:rsidP="00927E9A">
      <w:pPr>
        <w:pStyle w:val="BodyText"/>
      </w:pPr>
      <w:r w:rsidRPr="00927E9A">
        <w:t xml:space="preserve">From an OIDC compliance perspective, reusing the same iss while rotating all sub values </w:t>
      </w:r>
      <w:r w:rsidRPr="00927E9A">
        <w:rPr>
          <w:b/>
          <w:bCs/>
        </w:rPr>
        <w:t>violates the spirit of the specification</w:t>
      </w:r>
      <w:r w:rsidRPr="00927E9A">
        <w:t xml:space="preserve">, if not its letter. It constitutes a </w:t>
      </w:r>
      <w:r w:rsidRPr="00927E9A">
        <w:rPr>
          <w:b/>
          <w:bCs/>
        </w:rPr>
        <w:t>non-conformant reuse</w:t>
      </w:r>
      <w:r w:rsidRPr="00927E9A">
        <w:t xml:space="preserve"> of an issuer URI and breaks downstream relying parties. However, this pattern is widespread in federated education and enterprise environments, and therefore must be treated as a real, </w:t>
      </w:r>
      <w:r w:rsidR="005B1A15">
        <w:t xml:space="preserve">even </w:t>
      </w:r>
      <w:r w:rsidRPr="00927E9A">
        <w:t>if non-compliant, risk.</w:t>
      </w:r>
    </w:p>
    <w:p w14:paraId="7FD448ED" w14:textId="77777777" w:rsidR="002E4304" w:rsidRDefault="00927E9A" w:rsidP="00927E9A">
      <w:pPr>
        <w:pStyle w:val="BodyText"/>
      </w:pPr>
      <w:r w:rsidRPr="00927E9A">
        <w:t xml:space="preserve">While it is possible to define internal policies prohibiting such IdP reuse, </w:t>
      </w:r>
      <w:r w:rsidR="002E4304">
        <w:t xml:space="preserve">federated </w:t>
      </w:r>
      <w:r w:rsidRPr="00927E9A">
        <w:t xml:space="preserve">systems operating at scale should not assume universal conformance. </w:t>
      </w:r>
    </w:p>
    <w:p w14:paraId="75BD9642" w14:textId="7981B39B" w:rsidR="00927E9A" w:rsidRPr="00927E9A" w:rsidRDefault="00927E9A" w:rsidP="00927E9A">
      <w:pPr>
        <w:pStyle w:val="BodyText"/>
      </w:pPr>
      <w:r w:rsidRPr="00927E9A">
        <w:t>Federation operators and brokers must either:</w:t>
      </w:r>
    </w:p>
    <w:p w14:paraId="053A646E" w14:textId="77777777" w:rsidR="00927E9A" w:rsidRPr="00927E9A" w:rsidRDefault="00927E9A" w:rsidP="00B257A4">
      <w:pPr>
        <w:pStyle w:val="BodyText"/>
        <w:numPr>
          <w:ilvl w:val="0"/>
          <w:numId w:val="13"/>
        </w:numPr>
      </w:pPr>
      <w:r w:rsidRPr="00927E9A">
        <w:t>enforce iss changes when IdPs change key issuance behaviour, or</w:t>
      </w:r>
    </w:p>
    <w:p w14:paraId="2C2B8C94" w14:textId="77777777" w:rsidR="00927E9A" w:rsidRPr="00927E9A" w:rsidRDefault="00927E9A" w:rsidP="00B257A4">
      <w:pPr>
        <w:pStyle w:val="BodyText"/>
        <w:numPr>
          <w:ilvl w:val="0"/>
          <w:numId w:val="13"/>
        </w:numPr>
      </w:pPr>
      <w:r w:rsidRPr="00927E9A">
        <w:t>inject a custom claim (e.g. idp_instance_id, iss_startdate, or similar) to version the IdP’s identity space.</w:t>
      </w:r>
    </w:p>
    <w:p w14:paraId="1DBCE196" w14:textId="77777777" w:rsidR="00927E9A" w:rsidRPr="00927E9A" w:rsidRDefault="00927E9A" w:rsidP="00927E9A">
      <w:pPr>
        <w:pStyle w:val="BodyText"/>
      </w:pPr>
      <w:r w:rsidRPr="00927E9A">
        <w:t>Without this, systems must treat all unknown (iss, sub) pairs as ambiguous, and either:</w:t>
      </w:r>
    </w:p>
    <w:p w14:paraId="7226E678" w14:textId="77777777" w:rsidR="00927E9A" w:rsidRPr="00927E9A" w:rsidRDefault="00927E9A" w:rsidP="00B257A4">
      <w:pPr>
        <w:pStyle w:val="BodyText"/>
        <w:numPr>
          <w:ilvl w:val="0"/>
          <w:numId w:val="14"/>
        </w:numPr>
      </w:pPr>
      <w:r w:rsidRPr="00927E9A">
        <w:rPr>
          <w:b/>
          <w:bCs/>
        </w:rPr>
        <w:t>disable just-in-time (JIT) provisioning</w:t>
      </w:r>
      <w:r w:rsidRPr="00927E9A">
        <w:t xml:space="preserve"> entirely,</w:t>
      </w:r>
    </w:p>
    <w:p w14:paraId="59648586" w14:textId="77777777" w:rsidR="00927E9A" w:rsidRPr="00927E9A" w:rsidRDefault="00927E9A" w:rsidP="00B257A4">
      <w:pPr>
        <w:pStyle w:val="BodyText"/>
        <w:numPr>
          <w:ilvl w:val="0"/>
          <w:numId w:val="14"/>
        </w:numPr>
      </w:pPr>
      <w:r w:rsidRPr="00927E9A">
        <w:rPr>
          <w:b/>
          <w:bCs/>
        </w:rPr>
        <w:t>require manual identity correlation by administrators</w:t>
      </w:r>
      <w:r w:rsidRPr="00927E9A">
        <w:t>, or</w:t>
      </w:r>
    </w:p>
    <w:p w14:paraId="0063504F" w14:textId="77777777" w:rsidR="00927E9A" w:rsidRPr="00927E9A" w:rsidRDefault="00927E9A" w:rsidP="00B257A4">
      <w:pPr>
        <w:pStyle w:val="BodyText"/>
        <w:numPr>
          <w:ilvl w:val="0"/>
          <w:numId w:val="14"/>
        </w:numPr>
      </w:pPr>
      <w:r w:rsidRPr="00927E9A">
        <w:rPr>
          <w:b/>
          <w:bCs/>
        </w:rPr>
        <w:t>implement heuristics or logging-based detection</w:t>
      </w:r>
      <w:r w:rsidRPr="00927E9A">
        <w:t>, such as alerting when a known iss produces a flood of previously unseen sub values in a short period.</w:t>
      </w:r>
    </w:p>
    <w:p w14:paraId="4505B619" w14:textId="77777777" w:rsidR="008A55C4" w:rsidRPr="008A55C4" w:rsidRDefault="008A55C4" w:rsidP="008A55C4">
      <w:pPr>
        <w:pStyle w:val="Heading2"/>
      </w:pPr>
      <w:bookmarkStart w:id="56" w:name="_Toc201921446"/>
      <w:r w:rsidRPr="008A55C4">
        <w:t>Provisioning Failure Modes and Identity Ambiguity</w:t>
      </w:r>
      <w:bookmarkEnd w:id="56"/>
    </w:p>
    <w:p w14:paraId="15BC92E4" w14:textId="5D43AF1F" w:rsidR="008A55C4" w:rsidRDefault="008C171F" w:rsidP="003974FF">
      <w:pPr>
        <w:pStyle w:val="BodyText"/>
      </w:pPr>
      <w:r w:rsidRPr="008C171F">
        <w:t>Even when using compliant IdPs, systems must prepare for failure cases</w:t>
      </w:r>
      <w:r>
        <w:t xml:space="preserve"> as described below.</w:t>
      </w:r>
    </w:p>
    <w:p w14:paraId="6465D9C7" w14:textId="77777777" w:rsidR="00871AB9" w:rsidRDefault="00871AB9" w:rsidP="00CA33FA">
      <w:pPr>
        <w:pStyle w:val="Heading3"/>
      </w:pPr>
      <w:bookmarkStart w:id="57" w:name="_Toc201921447"/>
      <w:r w:rsidRPr="00871AB9">
        <w:t>First-Time Identity with No Match</w:t>
      </w:r>
      <w:bookmarkEnd w:id="57"/>
    </w:p>
    <w:p w14:paraId="3FDE9521" w14:textId="77777777" w:rsidR="00143B74" w:rsidRPr="00143B74" w:rsidRDefault="00143B74" w:rsidP="00143B74">
      <w:pPr>
        <w:pStyle w:val="BodyText"/>
      </w:pPr>
      <w:r w:rsidRPr="00143B74">
        <w:t>A new sign-in with an unknown (iss, sub) might be:</w:t>
      </w:r>
    </w:p>
    <w:p w14:paraId="590BFB79" w14:textId="77777777" w:rsidR="00143B74" w:rsidRPr="00143B74" w:rsidRDefault="00143B74" w:rsidP="00B257A4">
      <w:pPr>
        <w:pStyle w:val="BodyText"/>
        <w:numPr>
          <w:ilvl w:val="0"/>
          <w:numId w:val="15"/>
        </w:numPr>
      </w:pPr>
      <w:r w:rsidRPr="00143B74">
        <w:lastRenderedPageBreak/>
        <w:t>a legitimate new user,</w:t>
      </w:r>
    </w:p>
    <w:p w14:paraId="3BBB4971" w14:textId="77777777" w:rsidR="00143B74" w:rsidRPr="00143B74" w:rsidRDefault="00143B74" w:rsidP="00B257A4">
      <w:pPr>
        <w:pStyle w:val="BodyText"/>
        <w:numPr>
          <w:ilvl w:val="0"/>
          <w:numId w:val="15"/>
        </w:numPr>
      </w:pPr>
      <w:r w:rsidRPr="00143B74">
        <w:t>a returning user after an IdP transition,</w:t>
      </w:r>
    </w:p>
    <w:p w14:paraId="1AFD50E4" w14:textId="77777777" w:rsidR="00143B74" w:rsidRPr="00143B74" w:rsidRDefault="00143B74" w:rsidP="00B257A4">
      <w:pPr>
        <w:pStyle w:val="BodyText"/>
        <w:numPr>
          <w:ilvl w:val="0"/>
          <w:numId w:val="15"/>
        </w:numPr>
      </w:pPr>
      <w:r w:rsidRPr="00143B74">
        <w:t>or a recycled identity.</w:t>
      </w:r>
    </w:p>
    <w:p w14:paraId="45D0EFD1" w14:textId="0F2CA246" w:rsidR="00143B74" w:rsidRPr="00143B74" w:rsidRDefault="00143B74" w:rsidP="00143B74">
      <w:pPr>
        <w:pStyle w:val="BodyText"/>
      </w:pPr>
      <w:r w:rsidRPr="00143B74">
        <w:t>If JIT provisioning is enabled, this creates duplicate records. If disabled, access is denied until manual correlation.</w:t>
      </w:r>
    </w:p>
    <w:p w14:paraId="3F7CB687" w14:textId="77777777" w:rsidR="00871AB9" w:rsidRPr="00871AB9" w:rsidRDefault="00871AB9" w:rsidP="00CA33FA">
      <w:pPr>
        <w:pStyle w:val="Heading3"/>
      </w:pPr>
      <w:bookmarkStart w:id="58" w:name="_Toc201921448"/>
      <w:r w:rsidRPr="00871AB9">
        <w:t>Recycled Email Addresses</w:t>
      </w:r>
      <w:bookmarkEnd w:id="58"/>
    </w:p>
    <w:p w14:paraId="2E732792" w14:textId="77777777" w:rsidR="00871AB9" w:rsidRDefault="00871AB9" w:rsidP="00871AB9">
      <w:pPr>
        <w:pStyle w:val="BodyText"/>
      </w:pPr>
      <w:r w:rsidRPr="00871AB9">
        <w:t>Email addresses are often reused in schools, corporates, and shared environments. When a departing user's email is reassigned to someone new, and email is used for matching or pre-invitation, the new user may inherit the previous user’s record, permissions, or history. This results in silent data leaks, misapplied access, and serious trust violations.</w:t>
      </w:r>
    </w:p>
    <w:p w14:paraId="36823EA7" w14:textId="4661F950" w:rsidR="003D1DF9" w:rsidRPr="00871AB9" w:rsidRDefault="00DA6F9C" w:rsidP="00871AB9">
      <w:pPr>
        <w:pStyle w:val="BodyText"/>
      </w:pPr>
      <w:r w:rsidRPr="00DA6F9C">
        <w:rPr>
          <w:b/>
          <w:bCs/>
        </w:rPr>
        <w:t>Recommendation:</w:t>
      </w:r>
      <w:r>
        <w:t xml:space="preserve"> </w:t>
      </w:r>
      <w:r w:rsidR="009E545A">
        <w:t>matching on email is dangerous and to be avoided. T</w:t>
      </w:r>
      <w:r w:rsidR="003D1DF9">
        <w:t xml:space="preserve">he OIDC protocol’s locally unique sub is the intended </w:t>
      </w:r>
      <w:r>
        <w:t xml:space="preserve">user </w:t>
      </w:r>
      <w:r w:rsidR="003D1DF9">
        <w:t xml:space="preserve">identifier. </w:t>
      </w:r>
    </w:p>
    <w:p w14:paraId="12C1CD4E" w14:textId="77777777" w:rsidR="00871AB9" w:rsidRPr="00871AB9" w:rsidRDefault="00871AB9" w:rsidP="00CA33FA">
      <w:pPr>
        <w:pStyle w:val="Heading3"/>
      </w:pPr>
      <w:bookmarkStart w:id="59" w:name="_Toc201921449"/>
      <w:r w:rsidRPr="00871AB9">
        <w:t>Changed sub with Stable iss</w:t>
      </w:r>
      <w:bookmarkEnd w:id="59"/>
    </w:p>
    <w:p w14:paraId="604645C3" w14:textId="77777777" w:rsidR="00DA6F9C" w:rsidRDefault="00871AB9" w:rsidP="00871AB9">
      <w:pPr>
        <w:pStyle w:val="BodyText"/>
      </w:pPr>
      <w:r w:rsidRPr="00871AB9">
        <w:t xml:space="preserve">In some environments, institutions retain the same IdP endpoint (the iss) while replacing or restructuring the identity </w:t>
      </w:r>
      <w:r w:rsidR="00DA6F9C">
        <w:t>provider service</w:t>
      </w:r>
      <w:r w:rsidRPr="00871AB9">
        <w:t xml:space="preserve">. </w:t>
      </w:r>
    </w:p>
    <w:p w14:paraId="2D2CC562" w14:textId="77777777" w:rsidR="00DA6F9C" w:rsidRDefault="00871AB9" w:rsidP="00871AB9">
      <w:pPr>
        <w:pStyle w:val="BodyText"/>
      </w:pPr>
      <w:r w:rsidRPr="00871AB9">
        <w:t xml:space="preserve">This changes the sub for all users while keeping the iss unchanged. </w:t>
      </w:r>
    </w:p>
    <w:p w14:paraId="2FEDE4D5" w14:textId="02EF30B8" w:rsidR="00871AB9" w:rsidRDefault="00871AB9" w:rsidP="00871AB9">
      <w:pPr>
        <w:pStyle w:val="BodyText"/>
      </w:pPr>
      <w:r w:rsidRPr="00871AB9">
        <w:t>The result is that all existing identities appear to vanish, and all new ones appear unrelated. A system cannot distinguish between new and migrated users without external correlation logic.</w:t>
      </w:r>
    </w:p>
    <w:p w14:paraId="0AE8B29E" w14:textId="6E9D7862" w:rsidR="00704440" w:rsidRPr="00871AB9" w:rsidRDefault="00704440" w:rsidP="00871AB9">
      <w:pPr>
        <w:pStyle w:val="BodyText"/>
        <w:rPr>
          <w:b/>
          <w:bCs/>
        </w:rPr>
      </w:pPr>
      <w:r w:rsidRPr="00704440">
        <w:rPr>
          <w:b/>
          <w:bCs/>
        </w:rPr>
        <w:t>Recommendation:</w:t>
      </w:r>
      <w:r w:rsidR="0003688E">
        <w:rPr>
          <w:b/>
          <w:bCs/>
        </w:rPr>
        <w:t xml:space="preserve"> use versioning.</w:t>
      </w:r>
    </w:p>
    <w:p w14:paraId="54707B65" w14:textId="77777777" w:rsidR="00871AB9" w:rsidRPr="00871AB9" w:rsidRDefault="00871AB9" w:rsidP="00CA33FA">
      <w:pPr>
        <w:pStyle w:val="Heading3"/>
      </w:pPr>
      <w:bookmarkStart w:id="60" w:name="_Toc201921450"/>
      <w:r w:rsidRPr="00871AB9">
        <w:t>Reused sub in a Different Context</w:t>
      </w:r>
      <w:bookmarkEnd w:id="60"/>
    </w:p>
    <w:p w14:paraId="7A3ABE7C" w14:textId="77777777" w:rsidR="00871AB9" w:rsidRDefault="00871AB9" w:rsidP="00871AB9">
      <w:pPr>
        <w:pStyle w:val="BodyText"/>
      </w:pPr>
      <w:r w:rsidRPr="00871AB9">
        <w:t>Although unlikely in compliant IdPs, poorly designed identity systems may issue the same sub to multiple people over time. If iss and sub are naively treated as a global key, a new person may be treated as an existing one, inheriting roles or data.</w:t>
      </w:r>
    </w:p>
    <w:p w14:paraId="46E5D1D3" w14:textId="4BA6B2E6" w:rsidR="0024590F" w:rsidRPr="00871AB9" w:rsidRDefault="0024590F" w:rsidP="0024590F">
      <w:pPr>
        <w:pStyle w:val="BodyText"/>
      </w:pPr>
      <w:r w:rsidRPr="00DA6F9C">
        <w:rPr>
          <w:b/>
          <w:bCs/>
        </w:rPr>
        <w:t>Recommendation:</w:t>
      </w:r>
      <w:r>
        <w:t xml:space="preserve"> </w:t>
      </w:r>
      <w:r>
        <w:t>use compliant identity providers. T</w:t>
      </w:r>
      <w:r>
        <w:t xml:space="preserve">he OIDC protocol’s locally unique sub is the intended user identifier. </w:t>
      </w:r>
    </w:p>
    <w:p w14:paraId="3AAA915C" w14:textId="77777777" w:rsidR="00871AB9" w:rsidRPr="00871AB9" w:rsidRDefault="00871AB9" w:rsidP="00CA33FA">
      <w:pPr>
        <w:pStyle w:val="Heading3"/>
      </w:pPr>
      <w:bookmarkStart w:id="61" w:name="_Toc201921451"/>
      <w:r w:rsidRPr="00871AB9">
        <w:t>No Issued Time or Subject Provenance</w:t>
      </w:r>
      <w:bookmarkEnd w:id="61"/>
    </w:p>
    <w:p w14:paraId="3C974911" w14:textId="77777777" w:rsidR="00871AB9" w:rsidRDefault="00871AB9" w:rsidP="00871AB9">
      <w:pPr>
        <w:pStyle w:val="BodyText"/>
      </w:pPr>
      <w:r w:rsidRPr="00871AB9">
        <w:t>OpenID Connect does not include subject issuance time or lifecycle metadata. A new sub is indistinguishable from a reissued one. The system has no way to tell whether the identifier is trustworthy, recently created, or reassigned. This creates uncertainty in any model that treats sub as a durable identifier.</w:t>
      </w:r>
    </w:p>
    <w:p w14:paraId="7FE88FFF" w14:textId="77777777" w:rsidR="00EA6BA4" w:rsidRDefault="00EA6BA4" w:rsidP="00871AB9">
      <w:pPr>
        <w:pStyle w:val="BodyText"/>
      </w:pPr>
    </w:p>
    <w:p w14:paraId="044481B3" w14:textId="377C69D7" w:rsidR="00EA6BA4" w:rsidRDefault="00EA6BA4" w:rsidP="00EA6BA4">
      <w:pPr>
        <w:pStyle w:val="Heading2"/>
      </w:pPr>
      <w:bookmarkStart w:id="62" w:name="_Toc201921452"/>
      <w:r w:rsidRPr="00EA6BA4">
        <w:lastRenderedPageBreak/>
        <w:t xml:space="preserve">Recommended </w:t>
      </w:r>
      <w:r w:rsidR="00BE1D27">
        <w:t xml:space="preserve">Relying </w:t>
      </w:r>
      <w:r w:rsidRPr="00EA6BA4">
        <w:t>System Practices</w:t>
      </w:r>
      <w:bookmarkEnd w:id="62"/>
    </w:p>
    <w:p w14:paraId="2C0DBD24" w14:textId="7DEB175B" w:rsidR="00BE1D27" w:rsidRPr="00BE1D27" w:rsidRDefault="00BE1D27" w:rsidP="00BE1D27">
      <w:pPr>
        <w:pStyle w:val="BodyText"/>
      </w:pPr>
      <w:r w:rsidRPr="00BE1D27">
        <w:t xml:space="preserve">The practices described below apply to the </w:t>
      </w:r>
      <w:r w:rsidRPr="00BE1D27">
        <w:rPr>
          <w:i/>
          <w:iCs/>
        </w:rPr>
        <w:t>relying system</w:t>
      </w:r>
      <w:r w:rsidRPr="00BE1D27">
        <w:t>—not to the identity provider or broker. While upstream systems may help by including additional claims (such as idp_instance_id), it is the responsibility of the relying party to manage ambiguity, protect continuity, and ensure security of its own user base.</w:t>
      </w:r>
    </w:p>
    <w:p w14:paraId="4D520748" w14:textId="1570FA9F" w:rsidR="004F2FBD" w:rsidRDefault="004F2FBD" w:rsidP="004F2FBD">
      <w:pPr>
        <w:pStyle w:val="Heading3"/>
      </w:pPr>
      <w:bookmarkStart w:id="63" w:name="_Toc201921453"/>
      <w:r w:rsidRPr="00EA6BA4">
        <w:t xml:space="preserve">Avoid </w:t>
      </w:r>
      <w:r w:rsidR="006F53D5">
        <w:t>relying on email</w:t>
      </w:r>
      <w:bookmarkEnd w:id="63"/>
    </w:p>
    <w:p w14:paraId="501F7F28" w14:textId="24D60D38" w:rsidR="002538D6" w:rsidRPr="002538D6" w:rsidRDefault="002538D6" w:rsidP="002538D6">
      <w:pPr>
        <w:pStyle w:val="BodyText"/>
      </w:pPr>
      <w:r w:rsidRPr="002538D6">
        <w:t>Email should not be assumed present. The OIDC protocol does not guarantee its inclusion. The email scope must be explicitly requested by the relying party and approved by the user. Only iss (issuer) and sub (subject) are guaranteed.</w:t>
      </w:r>
    </w:p>
    <w:p w14:paraId="35FD3F64" w14:textId="7025DD86" w:rsidR="004A2497" w:rsidRDefault="004A2497" w:rsidP="004A2497">
      <w:pPr>
        <w:pStyle w:val="Heading3"/>
      </w:pPr>
      <w:bookmarkStart w:id="64" w:name="_Toc201921454"/>
      <w:r w:rsidRPr="00EA6BA4">
        <w:t>Avoid using email as a primary key</w:t>
      </w:r>
      <w:bookmarkEnd w:id="64"/>
    </w:p>
    <w:p w14:paraId="24E8CE7A" w14:textId="241B0D21" w:rsidR="00351C50" w:rsidRPr="00351C50" w:rsidRDefault="00351C50" w:rsidP="00351C50">
      <w:pPr>
        <w:pStyle w:val="BodyText"/>
      </w:pPr>
      <w:r w:rsidRPr="00351C50">
        <w:t>Where email is received, treat it as a mutable contact attribute, not a stable identity anchor. It is suitable for communication, not identity correlation.</w:t>
      </w:r>
    </w:p>
    <w:p w14:paraId="3B74EB8C" w14:textId="415C8B56" w:rsidR="0045291B" w:rsidRDefault="00EA6BA4" w:rsidP="002F2DFE">
      <w:pPr>
        <w:pStyle w:val="Heading3"/>
      </w:pPr>
      <w:bookmarkStart w:id="65" w:name="_Toc201921455"/>
      <w:r w:rsidRPr="00EA6BA4">
        <w:t>Track iss, sub</w:t>
      </w:r>
      <w:bookmarkEnd w:id="65"/>
    </w:p>
    <w:p w14:paraId="7537C58E" w14:textId="16F4ACAF" w:rsidR="00C738BB" w:rsidRDefault="00351C50" w:rsidP="00EA6BA4">
      <w:pPr>
        <w:pStyle w:val="BodyText"/>
      </w:pPr>
      <w:r w:rsidRPr="00351C50">
        <w:t>In the relying system, all identity associations must be keyed using the combination of iss:sub. This is the only durable and guaranteed identifier in OIDC.</w:t>
      </w:r>
    </w:p>
    <w:p w14:paraId="403624DD" w14:textId="13726FF4" w:rsidR="000A39E6" w:rsidRDefault="000A39E6" w:rsidP="008E4D10">
      <w:pPr>
        <w:pStyle w:val="Heading3"/>
      </w:pPr>
      <w:bookmarkStart w:id="66" w:name="_Toc201921456"/>
      <w:r>
        <w:t>Track email</w:t>
      </w:r>
      <w:r w:rsidR="00CD408A">
        <w:t xml:space="preserve"> if available</w:t>
      </w:r>
      <w:bookmarkEnd w:id="66"/>
    </w:p>
    <w:p w14:paraId="6B3D8E32" w14:textId="7BBB2516" w:rsidR="0045291B" w:rsidRDefault="00D4015C" w:rsidP="00EA6BA4">
      <w:pPr>
        <w:pStyle w:val="BodyText"/>
      </w:pPr>
      <w:r w:rsidRPr="00D4015C">
        <w:t>When email is present, record it as a contact attribute—useful for communications, invitations, and correlation, but not for identification.</w:t>
      </w:r>
    </w:p>
    <w:p w14:paraId="5E93234B" w14:textId="59700A95" w:rsidR="00CD408A" w:rsidRDefault="00CD408A" w:rsidP="00CD408A">
      <w:pPr>
        <w:pStyle w:val="Heading3"/>
      </w:pPr>
      <w:bookmarkStart w:id="67" w:name="_Toc201921457"/>
      <w:r>
        <w:t>Permit changes to email</w:t>
      </w:r>
      <w:bookmarkEnd w:id="67"/>
    </w:p>
    <w:p w14:paraId="4B5BDCBB" w14:textId="05938F97" w:rsidR="00D4015C" w:rsidRPr="00D4015C" w:rsidRDefault="00D4015C" w:rsidP="00D4015C">
      <w:pPr>
        <w:pStyle w:val="BodyText"/>
      </w:pPr>
      <w:r w:rsidRPr="00D4015C">
        <w:t>Emails often change—for correction, aliasing, family name changes, or reassignment. Permit changes to the email attribute within records found via iss:sub.</w:t>
      </w:r>
    </w:p>
    <w:p w14:paraId="1D0C4B20" w14:textId="358BE09B" w:rsidR="00046590" w:rsidRDefault="00046590" w:rsidP="00046590">
      <w:pPr>
        <w:pStyle w:val="Heading3"/>
      </w:pPr>
      <w:bookmarkStart w:id="68" w:name="_Toc201921458"/>
      <w:r w:rsidRPr="00EA6BA4">
        <w:t xml:space="preserve">Track </w:t>
      </w:r>
      <w:r>
        <w:t xml:space="preserve">activity </w:t>
      </w:r>
      <w:r w:rsidRPr="00EA6BA4">
        <w:t>metadata</w:t>
      </w:r>
      <w:bookmarkEnd w:id="68"/>
    </w:p>
    <w:p w14:paraId="56625D58" w14:textId="48CEA7DF" w:rsidR="00482964" w:rsidRPr="00482964" w:rsidRDefault="00482964" w:rsidP="00482964">
      <w:pPr>
        <w:pStyle w:val="BodyText"/>
      </w:pPr>
      <w:r w:rsidRPr="00482964">
        <w:t>Log first-seen and last-used timestamps for each identity. This enables later anomaly detection, continuity verification, and support diagnostics.</w:t>
      </w:r>
    </w:p>
    <w:p w14:paraId="5D0684FF" w14:textId="0771B048" w:rsidR="00457C21" w:rsidRDefault="00457C21" w:rsidP="00457C21">
      <w:pPr>
        <w:pStyle w:val="Heading3"/>
      </w:pPr>
      <w:bookmarkStart w:id="69" w:name="_Toc201921459"/>
      <w:r w:rsidRPr="00EA6BA4">
        <w:t>Provide merge tooling</w:t>
      </w:r>
      <w:bookmarkEnd w:id="69"/>
    </w:p>
    <w:p w14:paraId="3551352C" w14:textId="6F96AC9D" w:rsidR="00482964" w:rsidRPr="00482964" w:rsidRDefault="00482964" w:rsidP="00482964">
      <w:pPr>
        <w:pStyle w:val="BodyText"/>
      </w:pPr>
      <w:r w:rsidRPr="00482964">
        <w:t xml:space="preserve">The system </w:t>
      </w:r>
      <w:r>
        <w:t>should</w:t>
      </w:r>
      <w:r w:rsidRPr="00482964">
        <w:t xml:space="preserve"> support admin-driven </w:t>
      </w:r>
      <w:r>
        <w:t xml:space="preserve">manual </w:t>
      </w:r>
      <w:r w:rsidRPr="00482964">
        <w:t>correlation of identity records. This includes functionality to associate multiple iss:sub combinations with a single internal user where continuity is confirmed.</w:t>
      </w:r>
    </w:p>
    <w:p w14:paraId="44F4FC2E" w14:textId="54669375" w:rsidR="00750E5E" w:rsidRDefault="00750E5E" w:rsidP="00750E5E">
      <w:pPr>
        <w:pStyle w:val="Heading3"/>
      </w:pPr>
      <w:bookmarkStart w:id="70" w:name="_Toc201921460"/>
      <w:r w:rsidRPr="00EA6BA4">
        <w:t>Support identity rotation</w:t>
      </w:r>
      <w:bookmarkEnd w:id="70"/>
    </w:p>
    <w:p w14:paraId="4863F780" w14:textId="77777777" w:rsidR="00FE725B" w:rsidRDefault="00FE725B" w:rsidP="00750E5E">
      <w:pPr>
        <w:pStyle w:val="BodyText"/>
      </w:pPr>
      <w:r w:rsidRPr="00FE725B">
        <w:t xml:space="preserve">Where IdP transitions are known in advance, support pre-registration or manual linking of new identities. </w:t>
      </w:r>
    </w:p>
    <w:p w14:paraId="65C83651" w14:textId="2DBD0B37" w:rsidR="00750E5E" w:rsidRPr="00EA6BA4" w:rsidRDefault="00FE725B" w:rsidP="00750E5E">
      <w:pPr>
        <w:pStyle w:val="BodyText"/>
      </w:pPr>
      <w:r w:rsidRPr="00FE725B">
        <w:lastRenderedPageBreak/>
        <w:t>Within the relying system, consider adding an issReset flag to affected user records to temporarily relax identifier stability constraints.</w:t>
      </w:r>
      <w:r w:rsidR="00750E5E">
        <w:t xml:space="preserve"> </w:t>
      </w:r>
    </w:p>
    <w:p w14:paraId="4BDA086A" w14:textId="3E1ABE05" w:rsidR="009A3A13" w:rsidRDefault="009A3A13" w:rsidP="009A3A13">
      <w:pPr>
        <w:pStyle w:val="Heading3"/>
      </w:pPr>
      <w:bookmarkStart w:id="71" w:name="_Toc201921461"/>
      <w:r w:rsidRPr="00EA6BA4">
        <w:t xml:space="preserve">Treat new issuers as new </w:t>
      </w:r>
      <w:r w:rsidR="00071455">
        <w:t>users</w:t>
      </w:r>
      <w:r w:rsidRPr="00EA6BA4">
        <w:t xml:space="preserve"> unless mapped</w:t>
      </w:r>
      <w:bookmarkEnd w:id="71"/>
    </w:p>
    <w:p w14:paraId="232DCF08" w14:textId="77777777" w:rsidR="00D2404A" w:rsidRDefault="00FE725B" w:rsidP="009A3A13">
      <w:pPr>
        <w:pStyle w:val="BodyText"/>
      </w:pPr>
      <w:r w:rsidRPr="00FE725B">
        <w:t xml:space="preserve">When a previously unseen iss value is encountered, treat it as a new and distinct issuer unless it has been explicitly mapped to a known identity space. </w:t>
      </w:r>
    </w:p>
    <w:p w14:paraId="06819D88" w14:textId="2B0613AE" w:rsidR="009A3A13" w:rsidRDefault="00FE725B" w:rsidP="009A3A13">
      <w:pPr>
        <w:pStyle w:val="BodyText"/>
      </w:pPr>
      <w:r w:rsidRPr="00FE725B">
        <w:t>This includes cases where the same email is present but no continuity can be proven.</w:t>
      </w:r>
    </w:p>
    <w:p w14:paraId="4633A54C" w14:textId="5C273AD7" w:rsidR="00CD2711" w:rsidRDefault="00CD2711" w:rsidP="00CD2711">
      <w:pPr>
        <w:pStyle w:val="Heading3"/>
      </w:pPr>
      <w:bookmarkStart w:id="72" w:name="_Toc201921462"/>
      <w:r>
        <w:t xml:space="preserve">Permit changes of </w:t>
      </w:r>
      <w:r w:rsidR="00B70C15">
        <w:t xml:space="preserve">iss and </w:t>
      </w:r>
      <w:r>
        <w:t>sub</w:t>
      </w:r>
      <w:bookmarkEnd w:id="72"/>
    </w:p>
    <w:p w14:paraId="579700A0" w14:textId="77777777" w:rsidR="00D8546D" w:rsidRPr="00D8546D" w:rsidRDefault="00D8546D" w:rsidP="00D8546D">
      <w:pPr>
        <w:pStyle w:val="BodyText"/>
      </w:pPr>
      <w:r w:rsidRPr="00D8546D">
        <w:t>When a user signs in with the same email but presents a different sub (and potentially a different iss), check if the issReset flag is present on an existing record. If so:</w:t>
      </w:r>
    </w:p>
    <w:p w14:paraId="56FFEA24" w14:textId="77777777" w:rsidR="00D8546D" w:rsidRPr="00D8546D" w:rsidRDefault="00D8546D" w:rsidP="00B257A4">
      <w:pPr>
        <w:pStyle w:val="BodyText"/>
        <w:numPr>
          <w:ilvl w:val="0"/>
          <w:numId w:val="16"/>
        </w:numPr>
      </w:pPr>
      <w:r w:rsidRPr="00D8546D">
        <w:t>Allow replacement of sub with the new value.</w:t>
      </w:r>
    </w:p>
    <w:p w14:paraId="73A6E4BF" w14:textId="6D497CD2" w:rsidR="00CD2711" w:rsidRDefault="00D8546D" w:rsidP="00B257A4">
      <w:pPr>
        <w:pStyle w:val="BodyText"/>
        <w:numPr>
          <w:ilvl w:val="0"/>
          <w:numId w:val="16"/>
        </w:numPr>
      </w:pPr>
      <w:r w:rsidRPr="00D8546D">
        <w:t>Unset the issReset flag to prevent repeated overwrites.</w:t>
      </w:r>
    </w:p>
    <w:p w14:paraId="7C7F4093" w14:textId="77777777" w:rsidR="009C1D46" w:rsidRDefault="009C1D46" w:rsidP="009C1D46">
      <w:pPr>
        <w:pStyle w:val="Heading3"/>
      </w:pPr>
      <w:bookmarkStart w:id="73" w:name="_Toc201921463"/>
      <w:r w:rsidRPr="00EA6BA4">
        <w:t>Halt suspicious merges</w:t>
      </w:r>
      <w:bookmarkEnd w:id="73"/>
    </w:p>
    <w:p w14:paraId="25C7EFDD" w14:textId="77777777" w:rsidR="00EE0B5B" w:rsidRPr="00EE0B5B" w:rsidRDefault="00EE0B5B" w:rsidP="00EE0B5B">
      <w:pPr>
        <w:pStyle w:val="BodyText"/>
      </w:pPr>
      <w:r w:rsidRPr="00EE0B5B">
        <w:t>When a new sign-in presents a sub unknown to the system but a known email:</w:t>
      </w:r>
    </w:p>
    <w:p w14:paraId="0249B83F" w14:textId="17140E86" w:rsidR="00EE0B5B" w:rsidRPr="00EE0B5B" w:rsidRDefault="00EE0B5B" w:rsidP="00B257A4">
      <w:pPr>
        <w:pStyle w:val="BodyText"/>
        <w:numPr>
          <w:ilvl w:val="0"/>
          <w:numId w:val="17"/>
        </w:numPr>
      </w:pPr>
      <w:r w:rsidRPr="00EE0B5B">
        <w:t xml:space="preserve">If the existing user has issReset enabled, permit update </w:t>
      </w:r>
      <w:r w:rsidR="00737310">
        <w:t>the sub and lower flag.</w:t>
      </w:r>
    </w:p>
    <w:p w14:paraId="612DFCE3" w14:textId="77777777" w:rsidR="00EE0B5B" w:rsidRPr="00EE0B5B" w:rsidRDefault="00EE0B5B" w:rsidP="00B257A4">
      <w:pPr>
        <w:pStyle w:val="BodyText"/>
        <w:numPr>
          <w:ilvl w:val="0"/>
          <w:numId w:val="17"/>
        </w:numPr>
      </w:pPr>
      <w:r w:rsidRPr="00EE0B5B">
        <w:t>Otherwise:</w:t>
      </w:r>
    </w:p>
    <w:p w14:paraId="3C4B6C8E" w14:textId="38C7243F" w:rsidR="00EE0B5B" w:rsidRPr="00EE0B5B" w:rsidRDefault="00EE0B5B" w:rsidP="00B257A4">
      <w:pPr>
        <w:pStyle w:val="BodyText"/>
        <w:numPr>
          <w:ilvl w:val="1"/>
          <w:numId w:val="17"/>
        </w:numPr>
      </w:pPr>
      <w:r w:rsidRPr="00EE0B5B">
        <w:t xml:space="preserve">If merge tooling exists, create the new user record as </w:t>
      </w:r>
      <w:r w:rsidRPr="00EE0B5B">
        <w:rPr>
          <w:b/>
          <w:bCs/>
        </w:rPr>
        <w:t>disabled</w:t>
      </w:r>
      <w:r w:rsidRPr="00EE0B5B">
        <w:t>, flagging for admin review.</w:t>
      </w:r>
    </w:p>
    <w:p w14:paraId="34905722" w14:textId="77777777" w:rsidR="00EE0B5B" w:rsidRPr="00EE0B5B" w:rsidRDefault="00EE0B5B" w:rsidP="00B257A4">
      <w:pPr>
        <w:pStyle w:val="BodyText"/>
        <w:numPr>
          <w:ilvl w:val="1"/>
          <w:numId w:val="17"/>
        </w:numPr>
      </w:pPr>
      <w:r w:rsidRPr="00EE0B5B">
        <w:t>If no tooling is available, deny the association and require the user to supply an alternative email address or submit to a manual resolution process.</w:t>
      </w:r>
    </w:p>
    <w:p w14:paraId="064ED556" w14:textId="6D4B6D9A" w:rsidR="00C21CA5" w:rsidRDefault="00C21CA5" w:rsidP="00871AB9">
      <w:pPr>
        <w:pStyle w:val="BodyText"/>
      </w:pPr>
      <w:r w:rsidRPr="00C21CA5">
        <w:t>Not all SaaS platforms will be willing or able to implement these practices. In such cases, the responsibility falls to the provider to explain how their system will avoid account crossover, identity confusion, or silent merges. Where continuity cannot be guaranteed, services must default to treating identities as distinct unless explicitly proven otherwise. This may involve disallowing reuse of email, enforcing manual identity verification, or maintaining parallel records until correlation is confirmed. Whatever the approach, the burden of clarity rests with the service.</w:t>
      </w:r>
    </w:p>
    <w:p w14:paraId="219E7220" w14:textId="77777777" w:rsidR="006837D1" w:rsidRPr="006837D1" w:rsidRDefault="006837D1" w:rsidP="00AB01AF">
      <w:pPr>
        <w:pStyle w:val="Heading2"/>
      </w:pPr>
      <w:bookmarkStart w:id="74" w:name="_Toc201921464"/>
      <w:r w:rsidRPr="006837D1">
        <w:t>Why National or Sector Identifiers Must Not Appear in Identity Tokens</w:t>
      </w:r>
      <w:bookmarkEnd w:id="74"/>
    </w:p>
    <w:p w14:paraId="568D038D" w14:textId="77777777" w:rsidR="006837D1" w:rsidRPr="006837D1" w:rsidRDefault="006837D1" w:rsidP="006837D1">
      <w:pPr>
        <w:pStyle w:val="BodyText"/>
      </w:pPr>
      <w:r w:rsidRPr="006837D1">
        <w:t>There is frequent interest—particularly in education, health, and government systems—in enriching identity tokens with national or sector-specific identifiers, such as a National Student Number (NSN), taxpayer ID, or health system ID. This practice appears convenient but constitutes a serious architectural flaw.</w:t>
      </w:r>
    </w:p>
    <w:p w14:paraId="7ACE0E76" w14:textId="77777777" w:rsidR="006837D1" w:rsidRPr="006837D1" w:rsidRDefault="006837D1" w:rsidP="006837D1">
      <w:pPr>
        <w:pStyle w:val="BodyText"/>
      </w:pPr>
      <w:r w:rsidRPr="006837D1">
        <w:t xml:space="preserve">These identifiers are not identity attributes. They are contextual identifiers assigned by specific domains to support administrative or operational purposes. Their meaning, </w:t>
      </w:r>
      <w:r w:rsidRPr="006837D1">
        <w:lastRenderedPageBreak/>
        <w:t>governance, and lifecycle are all tied to participation in that domain. Embedding them into identity tokens collapses critical boundaries between authentication and context, leading to several risks:</w:t>
      </w:r>
    </w:p>
    <w:p w14:paraId="4E0DC7B1" w14:textId="77777777" w:rsidR="006837D1" w:rsidRPr="006837D1" w:rsidRDefault="006837D1" w:rsidP="006837D1">
      <w:pPr>
        <w:pStyle w:val="BodyText"/>
      </w:pPr>
      <w:r w:rsidRPr="006837D1">
        <w:t>First, it breaks the separation of concerns. Identity providers are responsible for authenticating a person—not for asserting enrolment, funding, or medical records. Injecting domain-specific identifiers into tokens presumes that the IdP is authoritative across all domains, which it is not. Brokers should not attempt to inject such data either—they only amplify the design error.</w:t>
      </w:r>
    </w:p>
    <w:p w14:paraId="01B2B0D7" w14:textId="77777777" w:rsidR="006837D1" w:rsidRPr="006837D1" w:rsidRDefault="006837D1" w:rsidP="006837D1">
      <w:pPr>
        <w:pStyle w:val="BodyText"/>
      </w:pPr>
      <w:r w:rsidRPr="006837D1">
        <w:t>Second, it invites incorrect assumptions about global uniqueness and persistence. Sector identifiers are often reassigned, merged, or revoked. They may not exist for all individuals, especially those new to the domain. Treating such identifiers as primary identity anchors leads to brittle systems and creates false continuity.</w:t>
      </w:r>
    </w:p>
    <w:p w14:paraId="3F36CBEC" w14:textId="77777777" w:rsidR="006837D1" w:rsidRPr="006837D1" w:rsidRDefault="006837D1" w:rsidP="006837D1">
      <w:pPr>
        <w:pStyle w:val="BodyText"/>
      </w:pPr>
      <w:r w:rsidRPr="006837D1">
        <w:t>Third, it introduces unnecessary privacy and security exposure. National or sector identifiers are typically linked to sensitive records. Transmitting them in tokens—especially if opaque, unscoped, or passed between services—risks unauthorised use or correlation across domains.</w:t>
      </w:r>
    </w:p>
    <w:p w14:paraId="3439EFD5" w14:textId="77777777" w:rsidR="006837D1" w:rsidRPr="006837D1" w:rsidRDefault="006837D1" w:rsidP="006837D1">
      <w:pPr>
        <w:pStyle w:val="BodyText"/>
      </w:pPr>
      <w:r w:rsidRPr="006837D1">
        <w:t>Fourth, it undermines cross-domain and future-facing design. An identifier issued by the education system may be irrelevant to health or social services. Relying on sector identifiers in identity tokens hardcodes assumptions that restrict extensibility, interoperation, and reuse.</w:t>
      </w:r>
    </w:p>
    <w:p w14:paraId="0C6A4017" w14:textId="617A132C" w:rsidR="00AB01AF" w:rsidRDefault="008C1200" w:rsidP="006837D1">
      <w:pPr>
        <w:pStyle w:val="BodyText"/>
      </w:pPr>
      <w:r>
        <w:t>In conclusion, s</w:t>
      </w:r>
      <w:r w:rsidR="006837D1" w:rsidRPr="006837D1">
        <w:t xml:space="preserve">ector identifiers must be resolved only </w:t>
      </w:r>
      <w:r w:rsidR="006837D1" w:rsidRPr="006837D1">
        <w:rPr>
          <w:b/>
          <w:bCs/>
          <w:i/>
          <w:iCs/>
        </w:rPr>
        <w:t>after</w:t>
      </w:r>
      <w:r w:rsidR="006837D1" w:rsidRPr="006837D1">
        <w:t xml:space="preserve"> identity is established—not embedded within it. They should be retrieved by the relying system, through authorised channels, under domain-specific access controls. Identity infrastructure must support modularity and information compartmentalisation. Identity tokens are not enrichment vessels. They are pointers—not payloads.</w:t>
      </w:r>
    </w:p>
    <w:p w14:paraId="44E2A026" w14:textId="77777777" w:rsidR="00F235F1" w:rsidRPr="00F235F1" w:rsidRDefault="00F235F1" w:rsidP="00C36F3F">
      <w:pPr>
        <w:pStyle w:val="Heading1"/>
      </w:pPr>
      <w:bookmarkStart w:id="75" w:name="_Toc201921465"/>
      <w:r w:rsidRPr="00F235F1">
        <w:t>Retrieving Sector Identifiers via Authorised Post-Authentication Calls</w:t>
      </w:r>
      <w:bookmarkEnd w:id="75"/>
    </w:p>
    <w:p w14:paraId="2AFD91B7" w14:textId="77777777" w:rsidR="000B6410" w:rsidRPr="000B6410" w:rsidRDefault="000B6410" w:rsidP="000B6410">
      <w:pPr>
        <w:pStyle w:val="BodyText"/>
      </w:pPr>
      <w:r w:rsidRPr="000B6410">
        <w:t>Once a user has authenticated via an identity provider (IdP), the relying system receives an access token—often accompanied by a profile or email scope, if granted. The token asserts only what the IdP is responsible for: a unique identity reference (via iss and sub) and optionally, personal attributes such as given_name, family_name, email, and birthdate. These are identity-level attributes, not sector-level identifiers, and they reflect the IdP’s understanding of the person—not their enrolment in any external system.</w:t>
      </w:r>
    </w:p>
    <w:p w14:paraId="5CCBD280" w14:textId="77777777" w:rsidR="000B6410" w:rsidRPr="000B6410" w:rsidRDefault="000B6410" w:rsidP="000B6410">
      <w:pPr>
        <w:pStyle w:val="BodyText"/>
      </w:pPr>
      <w:r w:rsidRPr="000B6410">
        <w:t xml:space="preserve">To retrieve sector-specific identifiers such as a National Student Number (NSN), a second, explicitly authorised call must be made—using the OAuth credentials of the relying system—to the domain system responsible for managing that identifier. This is the </w:t>
      </w:r>
      <w:r w:rsidRPr="000B6410">
        <w:lastRenderedPageBreak/>
        <w:t xml:space="preserve">correct pattern. It cleanly separates responsibilities: the IdP proves </w:t>
      </w:r>
      <w:r w:rsidRPr="000B6410">
        <w:rPr>
          <w:i/>
          <w:iCs/>
        </w:rPr>
        <w:t>who</w:t>
      </w:r>
      <w:r w:rsidRPr="000B6410">
        <w:t xml:space="preserve">, and the domain system confirms </w:t>
      </w:r>
      <w:r w:rsidRPr="000B6410">
        <w:rPr>
          <w:i/>
          <w:iCs/>
        </w:rPr>
        <w:t>which</w:t>
      </w:r>
      <w:r w:rsidRPr="000B6410">
        <w:t xml:space="preserve"> identifier applies to that person </w:t>
      </w:r>
      <w:r w:rsidRPr="000B6410">
        <w:rPr>
          <w:i/>
          <w:iCs/>
        </w:rPr>
        <w:t>in its context</w:t>
      </w:r>
      <w:r w:rsidRPr="000B6410">
        <w:t>.</w:t>
      </w:r>
    </w:p>
    <w:p w14:paraId="12575B1C" w14:textId="77777777" w:rsidR="000B6410" w:rsidRPr="000B6410" w:rsidRDefault="000B6410" w:rsidP="000B6410">
      <w:pPr>
        <w:pStyle w:val="BodyText"/>
      </w:pPr>
      <w:r w:rsidRPr="000B6410">
        <w:t>The data required for such a match—typically given_name, family_name, and birthdate—may not be sufficient in all cases to uniquely identify a person. Therefore, it must be explicitly agreed between the relying system and the identifier service what minimum set of attributes will be used to attempt a match. These must be present and consistent in the user’s IdP profile at time of sign-in.</w:t>
      </w:r>
    </w:p>
    <w:p w14:paraId="3C4EF626" w14:textId="4C5FFCBC" w:rsidR="000B6410" w:rsidRPr="000B6410" w:rsidRDefault="000B6410" w:rsidP="000B6410">
      <w:pPr>
        <w:pStyle w:val="BodyText"/>
      </w:pPr>
      <w:r w:rsidRPr="000B6410">
        <w:t xml:space="preserve">Email should generally be avoided as a matching attribute. While it may be present, it is not stable across time or organisations—especially for children or students who change </w:t>
      </w:r>
      <w:r w:rsidR="00EE6D5C">
        <w:t xml:space="preserve">or are in multiple </w:t>
      </w:r>
      <w:r w:rsidRPr="000B6410">
        <w:t>schools. Email addresses may be institutionally reassigned, revoked, or misattributed. Using email as a secondary matching factor may seem attractive but often introduces false positives or data leakage risks. It should only be used if strong controls exist, and even then, treated as supplementary—not primary—evidence.</w:t>
      </w:r>
    </w:p>
    <w:p w14:paraId="3C45D364" w14:textId="1D236A6C" w:rsidR="000B6410" w:rsidRPr="000B6410" w:rsidRDefault="000B6410" w:rsidP="000B6410">
      <w:pPr>
        <w:pStyle w:val="BodyText"/>
      </w:pPr>
      <w:r w:rsidRPr="000B6410">
        <w:t xml:space="preserve">If a unique match cannot be found from the provided attributes, the identifier service should return no result. It must not return a best guess. Silent misbinding of a contextual identifier </w:t>
      </w:r>
      <w:r w:rsidR="005A4596">
        <w:t xml:space="preserve">at scale </w:t>
      </w:r>
      <w:r w:rsidRPr="000B6410">
        <w:t xml:space="preserve">is </w:t>
      </w:r>
      <w:r w:rsidR="005A4596">
        <w:t xml:space="preserve">considered </w:t>
      </w:r>
      <w:r w:rsidRPr="000B6410">
        <w:t>worse than no binding at all.</w:t>
      </w:r>
    </w:p>
    <w:p w14:paraId="5DCB7706" w14:textId="5D982561" w:rsidR="000B6410" w:rsidRPr="000B6410" w:rsidRDefault="000B6410" w:rsidP="000B6410">
      <w:pPr>
        <w:pStyle w:val="BodyText"/>
      </w:pPr>
      <w:r w:rsidRPr="000B6410">
        <w:t>This model requires an additional HTTP</w:t>
      </w:r>
      <w:r w:rsidR="005A4596">
        <w:t>/S</w:t>
      </w:r>
      <w:r w:rsidRPr="000B6410">
        <w:t xml:space="preserve"> call, but this is not a flaw. Making secure, OAuth-authorised REST calls between services is standard practice. It supports good design, traceability, and minimal trust between components. Critically, it avoids polluting the original authentication token with sector-specific data—preserving the modularity and neutrality of the IdP.</w:t>
      </w:r>
    </w:p>
    <w:p w14:paraId="439EC2F5" w14:textId="4A6207C4" w:rsidR="00C21CA5" w:rsidRPr="00871AB9" w:rsidRDefault="000B6410" w:rsidP="00871AB9">
      <w:pPr>
        <w:pStyle w:val="BodyText"/>
      </w:pPr>
      <w:r w:rsidRPr="000B6410">
        <w:t>In short: do not expect the IdP to be responsible for sector identity. It is the responsibility of the consuming service to call the system that is. And that call must be deliberate, auditable, and based on clearly agreed matching rules.</w:t>
      </w:r>
    </w:p>
    <w:p w14:paraId="29BC5DE1" w14:textId="3A6A4AFE" w:rsidR="00095385" w:rsidRDefault="00095385" w:rsidP="00095385">
      <w:pPr>
        <w:pStyle w:val="Heading1"/>
      </w:pPr>
      <w:bookmarkStart w:id="76" w:name="_Toc201921466"/>
      <w:r>
        <w:t>C</w:t>
      </w:r>
      <w:r w:rsidRPr="00095385">
        <w:rPr>
          <w:rFonts w:eastAsiaTheme="minorHAnsi"/>
        </w:rPr>
        <w:t>ontextualisation</w:t>
      </w:r>
      <w:bookmarkEnd w:id="76"/>
    </w:p>
    <w:p w14:paraId="7DA2395B" w14:textId="77777777" w:rsidR="00600293" w:rsidRPr="00600293" w:rsidRDefault="00600293" w:rsidP="00600293">
      <w:pPr>
        <w:pStyle w:val="BodyText"/>
      </w:pPr>
      <w:r w:rsidRPr="00600293">
        <w:t>While provisioning answers the question of who the user is—across systems and institutions—contextualisation answers where they belong in relation to specific domains, groups, or responsibilities. These contexts may originate in external organisational structures (such as schools, ministries, or teams), but must be mapped, validated, and governed within the system itself. Contextualisation determines how a known identity participates: what they are part of, what authority they hold, and what scope of action is appropriate.</w:t>
      </w:r>
    </w:p>
    <w:p w14:paraId="537F53EA" w14:textId="77777777" w:rsidR="00600293" w:rsidRPr="00600293" w:rsidRDefault="00600293" w:rsidP="00600293">
      <w:pPr>
        <w:pStyle w:val="BodyText"/>
      </w:pPr>
      <w:r w:rsidRPr="00600293">
        <w:t>This process is not merely about assigning permissions. It is about defining the user's presence in a context: which organisation they are joining, what role they occupy, what visibility they are entitled to, and what resources they can interact with. While some of this information may be known at the point of provisioning (e.g. invited to a specific group), it must always be treated as distinct from identity. Identity establishes the individual; contextualisation governs their place and purpose.</w:t>
      </w:r>
    </w:p>
    <w:p w14:paraId="56C31B96" w14:textId="77777777" w:rsidR="00600293" w:rsidRPr="00600293" w:rsidRDefault="00600293" w:rsidP="00600293">
      <w:pPr>
        <w:pStyle w:val="BodyText"/>
      </w:pPr>
      <w:r w:rsidRPr="00600293">
        <w:lastRenderedPageBreak/>
        <w:t>It is a design error to conflate identity with context. Identity is authenticated through protocols like OIDC. Context is determined by the system based on its own logic, data, and external references. The two must remain distinct.</w:t>
      </w:r>
    </w:p>
    <w:p w14:paraId="618C092E" w14:textId="14D622DE" w:rsidR="00757C09" w:rsidRDefault="00F60461" w:rsidP="006636CB">
      <w:pPr>
        <w:pStyle w:val="Heading2"/>
      </w:pPr>
      <w:bookmarkStart w:id="77" w:name="_Toc201921467"/>
      <w:r>
        <w:t xml:space="preserve">Modelling </w:t>
      </w:r>
      <w:r w:rsidR="00757C09" w:rsidRPr="00757C09">
        <w:t xml:space="preserve">Group Membership </w:t>
      </w:r>
      <w:r w:rsidR="0070166A">
        <w:t>and Roles</w:t>
      </w:r>
      <w:bookmarkEnd w:id="77"/>
    </w:p>
    <w:p w14:paraId="16576AE2" w14:textId="77777777" w:rsidR="004D35FA" w:rsidRDefault="004D35FA" w:rsidP="004D35FA">
      <w:pPr>
        <w:pStyle w:val="BodyText"/>
        <w:keepNext/>
      </w:pPr>
      <w:r>
        <w:rPr>
          <w:noProof/>
        </w:rPr>
        <w:drawing>
          <wp:inline distT="0" distB="0" distL="0" distR="0" wp14:anchorId="2D4312FA" wp14:editId="23FA20AF">
            <wp:extent cx="5534025" cy="1457325"/>
            <wp:effectExtent l="0" t="0" r="9525" b="0"/>
            <wp:docPr id="2005500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34025" cy="1457325"/>
                    </a:xfrm>
                    <a:prstGeom prst="rect">
                      <a:avLst/>
                    </a:prstGeom>
                    <a:noFill/>
                    <a:ln>
                      <a:noFill/>
                    </a:ln>
                  </pic:spPr>
                </pic:pic>
              </a:graphicData>
            </a:graphic>
          </wp:inline>
        </w:drawing>
      </w:r>
    </w:p>
    <w:p w14:paraId="2FFFBD40" w14:textId="3A049A5F" w:rsidR="004D35FA" w:rsidRPr="004D35FA" w:rsidRDefault="004D35FA" w:rsidP="004D35FA">
      <w:pPr>
        <w:pStyle w:val="Caption"/>
        <w:jc w:val="center"/>
      </w:pPr>
      <w:r>
        <w:t xml:space="preserve">Figure </w:t>
      </w:r>
      <w:r>
        <w:fldChar w:fldCharType="begin"/>
      </w:r>
      <w:r>
        <w:instrText xml:space="preserve"> SEQ Figure \* ARABIC </w:instrText>
      </w:r>
      <w:r>
        <w:fldChar w:fldCharType="separate"/>
      </w:r>
      <w:r w:rsidR="007D2E5A">
        <w:rPr>
          <w:noProof/>
        </w:rPr>
        <w:t>16</w:t>
      </w:r>
      <w:r>
        <w:fldChar w:fldCharType="end"/>
      </w:r>
      <w:r>
        <w:t>: Membership and Roles</w:t>
      </w:r>
    </w:p>
    <w:p w14:paraId="61A3872F" w14:textId="77777777" w:rsidR="00D81A45" w:rsidRPr="00D81A45" w:rsidRDefault="00D81A45" w:rsidP="00D81A45">
      <w:pPr>
        <w:pStyle w:val="BodyText"/>
      </w:pPr>
      <w:r w:rsidRPr="00D81A45">
        <w:t>Membership and role are distinct concepts. Membership is the structural association—it means the person is part of the group. Role is a description of what that membership means in practice: what the person can do, what authority they hold, or how they participate. By modelling them separately, systems can express varied and overlapping relationships, such as someone who is an Observer in one group, a Lead in another, and a Contributor elsewhere. Combining these into a single notion risks confusion, reduces flexibility, and may lead to incorrect assumptions about permissions and responsibilities.</w:t>
      </w:r>
    </w:p>
    <w:p w14:paraId="59860AF6" w14:textId="77777777" w:rsidR="00D81A45" w:rsidRPr="00D81A45" w:rsidRDefault="00D81A45" w:rsidP="00D81A45">
      <w:pPr>
        <w:pStyle w:val="BodyText"/>
      </w:pPr>
      <w:r w:rsidRPr="00D81A45">
        <w:t>In most systems, a Persona exists meaningfully only in relationship to one or more groups. These groups may represent organisations, cohorts, teams, classes, or temporary collectives—and they define the boundaries within which a user acts, is recognised, or holds responsibility.</w:t>
      </w:r>
    </w:p>
    <w:p w14:paraId="065F66FF" w14:textId="77777777" w:rsidR="00D81A45" w:rsidRPr="00D81A45" w:rsidRDefault="00D81A45" w:rsidP="00D81A45">
      <w:pPr>
        <w:pStyle w:val="BodyText"/>
      </w:pPr>
      <w:r w:rsidRPr="00D81A45">
        <w:t>Group structures vary widely by domain. In organisational systems, they may follow a nested hierarchy—such as departments within branches within a company. In education, users often belong to multiple groupings, such as a class group, a year cohort, a sports team, and a pastoral care group. These may be defined structurally (e.g. “Class 10A” within “School XYZ”) or logically (e.g. “All students aged 14–16”). In communication systems, such as chat platforms, groups may be ad hoc—formed around a thread, event, or shared resource.</w:t>
      </w:r>
    </w:p>
    <w:p w14:paraId="14FF0022" w14:textId="77777777" w:rsidR="00D81A45" w:rsidRPr="00D81A45" w:rsidRDefault="00D81A45" w:rsidP="00D81A45">
      <w:pPr>
        <w:pStyle w:val="BodyText"/>
      </w:pPr>
      <w:r w:rsidRPr="00D81A45">
        <w:t>A single Persona is therefore typically associated with multiple groups, some in nested sequence (e.g. Department → Faculty → Institution), and others in parallel (e.g. enrolled courses, clubs, responsibilities). Groups may also evolve independently over time, with no guarantee of stable structure or naming.</w:t>
      </w:r>
    </w:p>
    <w:p w14:paraId="15B4D45F" w14:textId="77777777" w:rsidR="00D81A45" w:rsidRPr="00D81A45" w:rsidRDefault="00D81A45" w:rsidP="00D81A45">
      <w:pPr>
        <w:pStyle w:val="BodyText"/>
      </w:pPr>
      <w:r w:rsidRPr="00D81A45">
        <w:t>Participation in a group is modelled as a membership, which may carry a role—such as Creator, Member, Contributor, Observer, or Lead. These roles describe the person’s position or authority within that group, and are separate from system-wide roles like Administrator or Auditor.</w:t>
      </w:r>
    </w:p>
    <w:p w14:paraId="0466CFD5" w14:textId="733FAAEC" w:rsidR="00D81A45" w:rsidRPr="00D81A45" w:rsidRDefault="00D81A45" w:rsidP="00D81A45">
      <w:pPr>
        <w:pStyle w:val="BodyText"/>
      </w:pPr>
      <w:r w:rsidRPr="00D81A45">
        <w:lastRenderedPageBreak/>
        <w:t>This relationship—between a person and a group, with an associated role—is foundational to system logic. It informs access control, notifications, visibility, delegation, and audit.</w:t>
      </w:r>
    </w:p>
    <w:p w14:paraId="55AA21CE" w14:textId="77777777" w:rsidR="00D77587" w:rsidRDefault="00D77587" w:rsidP="00D77587">
      <w:pPr>
        <w:pStyle w:val="Heading2"/>
      </w:pPr>
      <w:bookmarkStart w:id="78" w:name="_Toc201921468"/>
      <w:r w:rsidRPr="00D77587">
        <w:t>The Misuse of Identity Providers for Group and Role Context</w:t>
      </w:r>
      <w:bookmarkEnd w:id="78"/>
    </w:p>
    <w:p w14:paraId="47B3A36B" w14:textId="4C54360B" w:rsidR="00D77587" w:rsidRPr="00D77587" w:rsidRDefault="00D77587" w:rsidP="00D77587">
      <w:pPr>
        <w:pStyle w:val="BodyText"/>
      </w:pPr>
      <w:r w:rsidRPr="00D77587">
        <w:t>Over time, a significant and persistent architectural error has emerged: the misuse of identity providers to supply contextual group and role information. This problem has deep historical roots—originating in the LAN-era use of Microsoft Active Directory (AD), where organisational units (OUs) and security groups were often conflated with application-level roles and permissions.</w:t>
      </w:r>
    </w:p>
    <w:p w14:paraId="5191294B" w14:textId="77777777" w:rsidR="00D77587" w:rsidRPr="00D77587" w:rsidRDefault="00D77587" w:rsidP="00D77587">
      <w:pPr>
        <w:pStyle w:val="BodyText"/>
      </w:pPr>
      <w:r w:rsidRPr="00D77587">
        <w:t>In many organisations, the AD structure became the de facto source of both identity and access. Teams would create OUs such as AccountingLeader, AccountingMember, or SalesViewer, and then assign permissions in applications based on group membership within AD. This tightly coupled authentication, authorisation, and organisational logic, creating fragile and overlapping domains of responsibility.</w:t>
      </w:r>
    </w:p>
    <w:p w14:paraId="48EA11E4" w14:textId="77777777" w:rsidR="00D77587" w:rsidRPr="00D77587" w:rsidRDefault="00D77587" w:rsidP="00D77587">
      <w:pPr>
        <w:pStyle w:val="BodyText"/>
      </w:pPr>
      <w:r w:rsidRPr="00D77587">
        <w:t>Even as the architectural landscape shifted—moving away from OUs and toward cloud-native identity providers—the problem persisted. Modern identity platforms like Azure AD continue to blur the line by supporting custom role claims, group claims, and application-specific scopes in tokens. What was once an overreach of directory structure has returned under new labels, now carried invisibly within signed tokens and reused across environments.</w:t>
      </w:r>
    </w:p>
    <w:p w14:paraId="56BD2407" w14:textId="77777777" w:rsidR="00D77587" w:rsidRPr="00D77587" w:rsidRDefault="00D77587" w:rsidP="00D77587">
      <w:pPr>
        <w:pStyle w:val="BodyText"/>
      </w:pPr>
      <w:r w:rsidRPr="00D77587">
        <w:t xml:space="preserve">At best, these claims can function as </w:t>
      </w:r>
      <w:r w:rsidRPr="00D77587">
        <w:rPr>
          <w:b/>
          <w:bCs/>
        </w:rPr>
        <w:t>logical tags</w:t>
      </w:r>
      <w:r w:rsidRPr="00D77587">
        <w:t xml:space="preserve">—informative metadata that downstream systems may choose to interpret. But the moment an application begins </w:t>
      </w:r>
      <w:r w:rsidRPr="00D77587">
        <w:rPr>
          <w:b/>
          <w:bCs/>
        </w:rPr>
        <w:t>trusting</w:t>
      </w:r>
      <w:r w:rsidRPr="00D77587">
        <w:t xml:space="preserve"> these claims for group placement, role assignment, or access control, the IdP becomes entangled in business logic it cannot understand and cannot validate. This undermines system boundaries and creates brittle, untraceable dependencies between authentication infrastructure and application logic.</w:t>
      </w:r>
    </w:p>
    <w:p w14:paraId="311C1655" w14:textId="77777777" w:rsidR="00D77587" w:rsidRPr="00D77587" w:rsidRDefault="00D77587" w:rsidP="00D77587">
      <w:pPr>
        <w:pStyle w:val="BodyText"/>
      </w:pPr>
      <w:r w:rsidRPr="00D77587">
        <w:t xml:space="preserve">An identity provider should have </w:t>
      </w:r>
      <w:r w:rsidRPr="00D77587">
        <w:rPr>
          <w:b/>
          <w:bCs/>
        </w:rPr>
        <w:t>no downstream dependencies</w:t>
      </w:r>
      <w:r w:rsidRPr="00D77587">
        <w:t>. It is responsible only for asserting that the user is who they say they are—not for deciding what that user can do in any particular system. Group membership, role assignment, and context must be governed by the application, informed by its own rules, data, and trust relationships—not assumed from token claims issued in another domain.</w:t>
      </w:r>
    </w:p>
    <w:p w14:paraId="1D91830A" w14:textId="77777777" w:rsidR="00D77587" w:rsidRPr="00D77587" w:rsidRDefault="00D77587" w:rsidP="00D77587">
      <w:pPr>
        <w:pStyle w:val="BodyText"/>
      </w:pPr>
      <w:r w:rsidRPr="00D77587">
        <w:t>Hinting, while seemingly convenient, can become insidious. A “hint” from an IdP is often treated as authoritative by the consuming system, especially when automation or time pressure leads to skipping validation. This creates hard-to-detect data leakage, over-permissioning, and operational ambiguity when roles change but token hints persist. These outcomes may go unnoticed until a breach, audit, or failure exposes the underlying assumptions.</w:t>
      </w:r>
    </w:p>
    <w:p w14:paraId="1DC5DCA7" w14:textId="7BA58BCE" w:rsidR="0084088E" w:rsidRDefault="00D77587" w:rsidP="00095385">
      <w:pPr>
        <w:pStyle w:val="BodyText"/>
      </w:pPr>
      <w:r w:rsidRPr="00D77587">
        <w:lastRenderedPageBreak/>
        <w:t>The correct design is to treat identity and context as separate concerns. Identity providers authenticate the user; contextualisation systems and the application itself determine placement and permissions. This separation not only improves system integrity, but also allows each component to evolve independently.</w:t>
      </w:r>
    </w:p>
    <w:p w14:paraId="2179F51A" w14:textId="77777777" w:rsidR="0084088E" w:rsidRDefault="0084088E" w:rsidP="0084088E">
      <w:pPr>
        <w:pStyle w:val="Heading2"/>
        <w:rPr>
          <w:bCs/>
        </w:rPr>
      </w:pPr>
      <w:bookmarkStart w:id="79" w:name="_Toc201921469"/>
      <w:r w:rsidRPr="0084088E">
        <w:rPr>
          <w:bCs/>
        </w:rPr>
        <w:t>On Token Enrichment and Architectural Overreach</w:t>
      </w:r>
      <w:bookmarkEnd w:id="79"/>
    </w:p>
    <w:p w14:paraId="0A200D30" w14:textId="77777777" w:rsidR="00856D32" w:rsidRPr="00856D32" w:rsidRDefault="00856D32" w:rsidP="00856D32">
      <w:pPr>
        <w:pStyle w:val="BodyText"/>
      </w:pPr>
      <w:r w:rsidRPr="00856D32">
        <w:t>It is tempting, especially in federated environments, to solve identity problems by enriching tokens with additional attributes such as sector identifiers, school codes, or national IDs. This temptation is strongest when data consumers face integration delays or lack access to trusted resolution services. However, this approach is a mistake.</w:t>
      </w:r>
    </w:p>
    <w:p w14:paraId="0AA69094" w14:textId="77777777" w:rsidR="00856D32" w:rsidRPr="00856D32" w:rsidRDefault="00856D32" w:rsidP="00856D32">
      <w:pPr>
        <w:pStyle w:val="BodyText"/>
      </w:pPr>
      <w:r w:rsidRPr="00856D32">
        <w:t>Brokers or identity middleware that insert sector identifiers into tokens breach architectural boundaries and obscure responsibility. Identity Providers (IdPs) assert who a user is within their own system. They are not responsible for providing sector-level identifiers, and doing so creates dangerous coupling between unrelated domains. It also removes the relying party's ability to verify, audit, or govern how those identifiers were determined.</w:t>
      </w:r>
    </w:p>
    <w:p w14:paraId="330542B3" w14:textId="77777777" w:rsidR="00856D32" w:rsidRPr="00856D32" w:rsidRDefault="00856D32" w:rsidP="00856D32">
      <w:pPr>
        <w:pStyle w:val="BodyText"/>
      </w:pPr>
      <w:r w:rsidRPr="00856D32">
        <w:t>The risk is compounded when token enrichment uses inferred data—such as matching a user’s name and date of birth to an external database—to embed identifiers like the NSN. These matches may be ambiguous, temporary, or incorrect. Once embedded in a token, however, they are treated as authoritative and immutable. If a later correction is made, downstream systems may not detect or accept it, leading to duplication, mis-association, or denial of access.</w:t>
      </w:r>
    </w:p>
    <w:p w14:paraId="6BDCAB0F" w14:textId="77777777" w:rsidR="00856D32" w:rsidRPr="00856D32" w:rsidRDefault="00856D32" w:rsidP="00856D32">
      <w:pPr>
        <w:pStyle w:val="BodyText"/>
      </w:pPr>
      <w:r w:rsidRPr="00856D32">
        <w:t>Instead, sector or national identifiers must be retrieved by the relying system through explicit, authenticated service calls to a trusted resolution source. This preserves control, ensures traceability, and allows identifier lookup to occur only when required. It also avoids burdening identity flows with cross-domain logic, and maintains separation between identity authentication and attribute acquisition.</w:t>
      </w:r>
    </w:p>
    <w:p w14:paraId="63D2A924" w14:textId="78236A9D" w:rsidR="00856D32" w:rsidRPr="00856D32" w:rsidRDefault="00856D32" w:rsidP="00856D32">
      <w:pPr>
        <w:pStyle w:val="BodyText"/>
      </w:pPr>
      <w:r w:rsidRPr="00856D32">
        <w:t>Identity providers should not be asked to "enrich" identity tokens with data they do not own. Systems should be designed to call dedicated services to retrieve authoritative identifiers, based on a clear and well-scoped interface. The token should remain clean—asserting only identity, not inferred or foreign attributes.</w:t>
      </w:r>
    </w:p>
    <w:p w14:paraId="592919D5" w14:textId="77777777" w:rsidR="00D245D7" w:rsidRPr="005F57C1" w:rsidRDefault="00D245D7" w:rsidP="00D245D7">
      <w:pPr>
        <w:pStyle w:val="Heading2"/>
      </w:pPr>
      <w:bookmarkStart w:id="80" w:name="_Toc201921470"/>
      <w:r w:rsidRPr="005F57C1">
        <w:t>Source and Timing of Contextualisation</w:t>
      </w:r>
      <w:bookmarkEnd w:id="80"/>
    </w:p>
    <w:p w14:paraId="18D0F366" w14:textId="77777777" w:rsidR="00D245D7" w:rsidRDefault="00D245D7" w:rsidP="00D245D7">
      <w:pPr>
        <w:pStyle w:val="BodyText"/>
      </w:pPr>
      <w:r w:rsidRPr="005F57C1">
        <w:t xml:space="preserve">As systems move beyond initial identity establishment via OIDC tokens, they must treat contextual placement as a separate and deliberate responsibility. Identity tokens may include </w:t>
      </w:r>
      <w:r>
        <w:t xml:space="preserve">source system (i.e., the IdP’s) </w:t>
      </w:r>
      <w:r w:rsidRPr="005F57C1">
        <w:t xml:space="preserve">group or role claims, but these are often stale, misaligned with the </w:t>
      </w:r>
      <w:r>
        <w:t>relying</w:t>
      </w:r>
      <w:r w:rsidRPr="005F57C1">
        <w:t xml:space="preserve"> system’s structure. While such claims might </w:t>
      </w:r>
      <w:r>
        <w:t xml:space="preserve">appear to </w:t>
      </w:r>
      <w:r w:rsidRPr="005F57C1">
        <w:t xml:space="preserve">be convenient hints, relying on them </w:t>
      </w:r>
      <w:r>
        <w:t xml:space="preserve">as authoritative information </w:t>
      </w:r>
      <w:r w:rsidRPr="005F57C1">
        <w:t xml:space="preserve">creates brittle dependencies and risks misassigning users. </w:t>
      </w:r>
    </w:p>
    <w:p w14:paraId="23163C90" w14:textId="77777777" w:rsidR="00D245D7" w:rsidRDefault="00D245D7" w:rsidP="00D245D7">
      <w:pPr>
        <w:pStyle w:val="BodyText"/>
      </w:pPr>
      <w:r w:rsidRPr="00B12CD8">
        <w:lastRenderedPageBreak/>
        <w:t>Contextualisation must be driven by system-side rules and data, not inferred from third-party claims embedded in identity flows. While identity providers assert who a person is within their own scope, they are unaware of broader sectoral identity relationships, role assignments, or evolving group memberships maintained elsewhere. Therefore, even when identity has been established and optionally added to from external sector identity lookup services, contextual placement must still be performed by the relying system according to its own domain logic and policies. The combination of identity data from the IdP and additional reference data from trusted sector services enables accurate contextualisation, but only if the relying system remains the authoritative decision-maker.</w:t>
      </w:r>
    </w:p>
    <w:p w14:paraId="271E361B" w14:textId="77777777" w:rsidR="00D245D7" w:rsidRPr="005F57C1" w:rsidRDefault="00D245D7" w:rsidP="00D245D7">
      <w:pPr>
        <w:pStyle w:val="BodyText"/>
      </w:pPr>
      <w:r>
        <w:t>Additionally, c</w:t>
      </w:r>
      <w:r w:rsidRPr="005F57C1">
        <w:t>ontextualisation can occur at different stages in the user lifecycle. The stage at which it occurs has implications for system accuracy, flexibility, and security:</w:t>
      </w:r>
    </w:p>
    <w:p w14:paraId="4D0E82D3" w14:textId="77777777" w:rsidR="00D245D7" w:rsidRPr="005F57C1" w:rsidRDefault="00D245D7" w:rsidP="00D245D7">
      <w:pPr>
        <w:pStyle w:val="BodyText"/>
      </w:pPr>
      <w:r w:rsidRPr="005F57C1">
        <w:rPr>
          <w:b/>
          <w:bCs/>
        </w:rPr>
        <w:t>Pre-Provisioning Contextualisation</w:t>
      </w:r>
      <w:r w:rsidRPr="005F57C1">
        <w:t xml:space="preserve"> occurs prior to the user being created in the system. It depends on the target group or context already existing, so that it can be referenced during the provisioning event—such as in an invitation that assigns the invitee to a specific role within a specific group. This includes workflows like bulk uploads, SCIM-based data feeds, or invitation-based flows. These offer a high degree of control, but also carry dependency on upstream data quality and the correctness of the contextual mapping asserted at the time of assignment.</w:t>
      </w:r>
    </w:p>
    <w:p w14:paraId="40BDAA66" w14:textId="77777777" w:rsidR="00D245D7" w:rsidRPr="005F57C1" w:rsidRDefault="00D245D7" w:rsidP="00D245D7">
      <w:pPr>
        <w:pStyle w:val="BodyText"/>
      </w:pPr>
      <w:r w:rsidRPr="005F57C1">
        <w:rPr>
          <w:b/>
          <w:bCs/>
        </w:rPr>
        <w:t>Provision-Time Contextualisation</w:t>
      </w:r>
      <w:r w:rsidRPr="005F57C1">
        <w:t xml:space="preserve"> takes place during the provisioning flow itself—typically when a user signs in for the first time and a group or workspace is created then and there to associate the user to it. For example, a self-registration flow might assign the user as administrator of their own new organisation or project. This approach is efficient for isolated or tenant-based contexts but risks granting elevated permissions if not clearly bounded.</w:t>
      </w:r>
    </w:p>
    <w:p w14:paraId="302839EC" w14:textId="1A75CC3C" w:rsidR="00FB6175" w:rsidRDefault="00D245D7" w:rsidP="00095385">
      <w:pPr>
        <w:pStyle w:val="BodyText"/>
      </w:pPr>
      <w:r w:rsidRPr="005F57C1">
        <w:rPr>
          <w:b/>
          <w:bCs/>
        </w:rPr>
        <w:t>Post-Provisioning Contextualisation</w:t>
      </w:r>
      <w:r w:rsidRPr="005F57C1">
        <w:t xml:space="preserve"> refers to the assignment or adjustment of a user's contextual relationships after their identity is confirmed and a user account has been created in the system. This may happen manually—such as when administrators review newly created users and assign them to relevant groups—or automatically, by using trusted data sources to map users into appropriate contexts. Automated contextualisation offers the greatest flexibility and responsiveness to real-world changes but must be implemented with clear rules, robust audit trails, and protections against invalid mappings, accidental privilege escalation, or misuse of external data.</w:t>
      </w:r>
    </w:p>
    <w:p w14:paraId="62358321" w14:textId="3540D334" w:rsidR="00B52F63" w:rsidRDefault="00B52F63" w:rsidP="00AE4578">
      <w:pPr>
        <w:pStyle w:val="Heading1"/>
      </w:pPr>
      <w:r>
        <w:t>When to Enrich tokens</w:t>
      </w:r>
    </w:p>
    <w:p w14:paraId="20744664" w14:textId="77777777" w:rsidR="00AE4578" w:rsidRDefault="00611705" w:rsidP="00095385">
      <w:pPr>
        <w:pStyle w:val="BodyText"/>
      </w:pPr>
      <w:r>
        <w:t xml:space="preserve">While Enriching tokens is </w:t>
      </w:r>
      <w:r w:rsidR="00AE4578">
        <w:t xml:space="preserve">warned against, it can’t always be avoided. </w:t>
      </w:r>
    </w:p>
    <w:p w14:paraId="197F4430" w14:textId="7373CE45" w:rsidR="00B52F63" w:rsidRDefault="00B52F63" w:rsidP="00095385">
      <w:pPr>
        <w:pStyle w:val="BodyText"/>
      </w:pPr>
      <w:r>
        <w:t xml:space="preserve">If the system to invoke </w:t>
      </w:r>
      <w:r w:rsidR="00611705">
        <w:t>is a SaaS that may be replaced over time</w:t>
      </w:r>
      <w:r w:rsidR="00AE4578">
        <w:t xml:space="preserve">, or doesn’t have APIs with sufficient capability to be used as designed, then there may be no choice but accept a sub-optimal outcome, solve this via the IdP broker having sufficient logic to query and cache Ids. </w:t>
      </w:r>
    </w:p>
    <w:p w14:paraId="45349847" w14:textId="77777777" w:rsidR="003325B5" w:rsidRDefault="003325B5" w:rsidP="003325B5">
      <w:pPr>
        <w:pStyle w:val="Heading1"/>
      </w:pPr>
      <w:bookmarkStart w:id="81" w:name="_Toc201921471"/>
      <w:r>
        <w:lastRenderedPageBreak/>
        <w:t>Conclusion</w:t>
      </w:r>
      <w:bookmarkEnd w:id="81"/>
    </w:p>
    <w:p w14:paraId="1F323CA8" w14:textId="77777777" w:rsidR="00B2694C" w:rsidRDefault="003325B5" w:rsidP="003325B5">
      <w:r w:rsidRPr="003325B5">
        <w:t xml:space="preserve">Temptation to embed sector or national identifiers directly into the identity token is understandable—but flawed. While it might seem efficient to use the IdP as a central point of enrichment, this </w:t>
      </w:r>
      <w:r w:rsidR="00B2694C">
        <w:t xml:space="preserve">introduces </w:t>
      </w:r>
      <w:r w:rsidRPr="003325B5">
        <w:t xml:space="preserve">responsibilities </w:t>
      </w:r>
      <w:r w:rsidR="00B2694C">
        <w:t xml:space="preserve">that can’t be met </w:t>
      </w:r>
      <w:r w:rsidRPr="003325B5">
        <w:t xml:space="preserve">and introduces dangerous coupling between systems with different scopes and obligations. </w:t>
      </w:r>
    </w:p>
    <w:p w14:paraId="5D37F2CE" w14:textId="7B3AF0BB" w:rsidR="003325B5" w:rsidRPr="003325B5" w:rsidRDefault="003325B5" w:rsidP="003325B5">
      <w:r w:rsidRPr="003325B5">
        <w:t>Identity providers should remain focused solely on authentication. Sector identifiers should be sourced from services that specialise in identity relationships. Contextual placement should be governed by the relying system itself.</w:t>
      </w:r>
    </w:p>
    <w:p w14:paraId="466AA872" w14:textId="77777777" w:rsidR="003325B5" w:rsidRPr="003325B5" w:rsidRDefault="003325B5" w:rsidP="003325B5">
      <w:r w:rsidRPr="003325B5">
        <w:t>OIDC remains a mature and robust protocol, and its adoption as the standard for federated authentication is appropriate. However, like all protocols, its correct use depends on understanding its limits. Identity tokens should not be treated as containers for everything. Systems should design with explicit separations: the IdP provides a local identity; an identity enrichment service may provide additional identifiers; and the application governs context.</w:t>
      </w:r>
    </w:p>
    <w:p w14:paraId="04CCEE91" w14:textId="77777777" w:rsidR="003325B5" w:rsidRPr="003325B5" w:rsidRDefault="003325B5" w:rsidP="003325B5">
      <w:r w:rsidRPr="003325B5">
        <w:t>Where IdP migration or instability is expected, systems may need to maintain auxiliary metadata (such as tracking issuer version, first seen dates, and last seen dates) and support continuity mechanisms for mapping historical identities to current ones. But this too is best handled by the relying system—not by attempting to coerce the broker into managing information it cannot verify.</w:t>
      </w:r>
    </w:p>
    <w:p w14:paraId="44E8D949" w14:textId="77777777" w:rsidR="003325B5" w:rsidRPr="003325B5" w:rsidRDefault="003325B5" w:rsidP="003325B5">
      <w:r w:rsidRPr="003325B5">
        <w:t>Use each system for what it is good at, and maintain clean boundaries between identity, enrichment, and context.</w:t>
      </w:r>
    </w:p>
    <w:p w14:paraId="6B053DDF" w14:textId="23887671" w:rsidR="00BA75B3" w:rsidRDefault="00BA75B3">
      <w:r>
        <w:br w:type="page"/>
      </w:r>
    </w:p>
    <w:p w14:paraId="0CEDF4A5" w14:textId="77777777" w:rsidR="005255FC" w:rsidRDefault="005255FC" w:rsidP="005255FC">
      <w:pPr>
        <w:pStyle w:val="Appendices"/>
      </w:pPr>
      <w:bookmarkStart w:id="82" w:name="Location_Appendices"/>
      <w:bookmarkStart w:id="83" w:name="_Toc145049430"/>
      <w:bookmarkStart w:id="84" w:name="_Toc201921472"/>
      <w:bookmarkEnd w:id="82"/>
      <w:r>
        <w:lastRenderedPageBreak/>
        <w:t>Appendices</w:t>
      </w:r>
      <w:bookmarkEnd w:id="83"/>
      <w:bookmarkEnd w:id="84"/>
    </w:p>
    <w:p w14:paraId="2F89881E" w14:textId="1FCDE4B2" w:rsidR="000D0A25" w:rsidRDefault="005255FC" w:rsidP="005C7C13">
      <w:pPr>
        <w:pStyle w:val="Appendix"/>
      </w:pPr>
      <w:bookmarkStart w:id="85" w:name="_Toc145049431"/>
      <w:bookmarkStart w:id="86" w:name="_Toc201921473"/>
      <w:r w:rsidRPr="005C7C13">
        <w:t xml:space="preserve">Appendix A - </w:t>
      </w:r>
      <w:r w:rsidR="008C39DC" w:rsidRPr="005C7C13">
        <w:t>Document</w:t>
      </w:r>
      <w:r w:rsidR="00DA59D0" w:rsidRPr="005C7C13">
        <w:t xml:space="preserve"> Information</w:t>
      </w:r>
      <w:bookmarkEnd w:id="85"/>
      <w:bookmarkEnd w:id="86"/>
    </w:p>
    <w:p w14:paraId="0067885D" w14:textId="021C57E9" w:rsidR="00FF1C92" w:rsidRDefault="00FF1C92" w:rsidP="00FF1C92">
      <w:pPr>
        <w:pStyle w:val="NotContents-Heading3"/>
      </w:pPr>
      <w:r>
        <w:t>Authors &amp; Collaborators</w:t>
      </w:r>
    </w:p>
    <w:p w14:paraId="0B587FEA" w14:textId="5886D0EC" w:rsidR="00FF1C92" w:rsidRDefault="00FF1C92" w:rsidP="00B257A4">
      <w:pPr>
        <w:pStyle w:val="ListParagraph"/>
        <w:numPr>
          <w:ilvl w:val="0"/>
          <w:numId w:val="4"/>
        </w:numPr>
      </w:pPr>
      <w:r>
        <w:t>Sky Sigal, Solution Architect</w:t>
      </w:r>
    </w:p>
    <w:p w14:paraId="38CB33FE" w14:textId="25209161" w:rsidR="00E87D24" w:rsidRDefault="00E87D24" w:rsidP="00E87D24">
      <w:pPr>
        <w:pStyle w:val="Heading3"/>
      </w:pPr>
      <w:bookmarkStart w:id="87" w:name="_Toc201921474"/>
      <w:r>
        <w:t>Versions</w:t>
      </w:r>
      <w:bookmarkEnd w:id="87"/>
    </w:p>
    <w:p w14:paraId="38948784" w14:textId="389B3378" w:rsidR="00E87D24" w:rsidRDefault="00E87D24" w:rsidP="00B257A4">
      <w:pPr>
        <w:pStyle w:val="BodyText"/>
        <w:numPr>
          <w:ilvl w:val="1"/>
          <w:numId w:val="3"/>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88" w:name="_Toc201921475"/>
      <w:r>
        <w:t>Images</w:t>
      </w:r>
      <w:bookmarkEnd w:id="88"/>
    </w:p>
    <w:p w14:paraId="17782ED4" w14:textId="03DBB06E" w:rsidR="00BF3D12"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1899523" w:history="1">
        <w:r w:rsidR="00BF3D12" w:rsidRPr="00ED22E8">
          <w:rPr>
            <w:rStyle w:val="Hyperlink"/>
            <w:noProof/>
          </w:rPr>
          <w:t>Figure 1: Different types of attributes</w:t>
        </w:r>
        <w:r w:rsidR="00BF3D12">
          <w:rPr>
            <w:noProof/>
            <w:webHidden/>
          </w:rPr>
          <w:tab/>
        </w:r>
        <w:r w:rsidR="00BF3D12">
          <w:rPr>
            <w:noProof/>
            <w:webHidden/>
          </w:rPr>
          <w:fldChar w:fldCharType="begin"/>
        </w:r>
        <w:r w:rsidR="00BF3D12">
          <w:rPr>
            <w:noProof/>
            <w:webHidden/>
          </w:rPr>
          <w:instrText xml:space="preserve"> PAGEREF _Toc201899523 \h </w:instrText>
        </w:r>
        <w:r w:rsidR="00BF3D12">
          <w:rPr>
            <w:noProof/>
            <w:webHidden/>
          </w:rPr>
        </w:r>
        <w:r w:rsidR="00BF3D12">
          <w:rPr>
            <w:noProof/>
            <w:webHidden/>
          </w:rPr>
          <w:fldChar w:fldCharType="separate"/>
        </w:r>
        <w:r w:rsidR="006C03AF">
          <w:rPr>
            <w:noProof/>
            <w:webHidden/>
          </w:rPr>
          <w:t>9</w:t>
        </w:r>
        <w:r w:rsidR="00BF3D12">
          <w:rPr>
            <w:noProof/>
            <w:webHidden/>
          </w:rPr>
          <w:fldChar w:fldCharType="end"/>
        </w:r>
      </w:hyperlink>
    </w:p>
    <w:p w14:paraId="78A9451E" w14:textId="5335B0D0"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4" w:history="1">
        <w:r w:rsidRPr="00ED22E8">
          <w:rPr>
            <w:rStyle w:val="Hyperlink"/>
            <w:noProof/>
          </w:rPr>
          <w:t>Figure 2: Unmodelled Systems</w:t>
        </w:r>
        <w:r>
          <w:rPr>
            <w:noProof/>
            <w:webHidden/>
          </w:rPr>
          <w:tab/>
        </w:r>
        <w:r>
          <w:rPr>
            <w:noProof/>
            <w:webHidden/>
          </w:rPr>
          <w:fldChar w:fldCharType="begin"/>
        </w:r>
        <w:r>
          <w:rPr>
            <w:noProof/>
            <w:webHidden/>
          </w:rPr>
          <w:instrText xml:space="preserve"> PAGEREF _Toc201899524 \h </w:instrText>
        </w:r>
        <w:r>
          <w:rPr>
            <w:noProof/>
            <w:webHidden/>
          </w:rPr>
        </w:r>
        <w:r>
          <w:rPr>
            <w:noProof/>
            <w:webHidden/>
          </w:rPr>
          <w:fldChar w:fldCharType="separate"/>
        </w:r>
        <w:r w:rsidR="006C03AF">
          <w:rPr>
            <w:noProof/>
            <w:webHidden/>
          </w:rPr>
          <w:t>10</w:t>
        </w:r>
        <w:r>
          <w:rPr>
            <w:noProof/>
            <w:webHidden/>
          </w:rPr>
          <w:fldChar w:fldCharType="end"/>
        </w:r>
      </w:hyperlink>
    </w:p>
    <w:p w14:paraId="10CD8264" w14:textId="4E33BC75"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5" w:history="1">
        <w:r w:rsidRPr="00ED22E8">
          <w:rPr>
            <w:rStyle w:val="Hyperlink"/>
            <w:noProof/>
          </w:rPr>
          <w:t>Figure 3: Each System has its own Users.</w:t>
        </w:r>
        <w:r>
          <w:rPr>
            <w:noProof/>
            <w:webHidden/>
          </w:rPr>
          <w:tab/>
        </w:r>
        <w:r>
          <w:rPr>
            <w:noProof/>
            <w:webHidden/>
          </w:rPr>
          <w:fldChar w:fldCharType="begin"/>
        </w:r>
        <w:r>
          <w:rPr>
            <w:noProof/>
            <w:webHidden/>
          </w:rPr>
          <w:instrText xml:space="preserve"> PAGEREF _Toc201899525 \h </w:instrText>
        </w:r>
        <w:r>
          <w:rPr>
            <w:noProof/>
            <w:webHidden/>
          </w:rPr>
        </w:r>
        <w:r>
          <w:rPr>
            <w:noProof/>
            <w:webHidden/>
          </w:rPr>
          <w:fldChar w:fldCharType="separate"/>
        </w:r>
        <w:r w:rsidR="006C03AF">
          <w:rPr>
            <w:noProof/>
            <w:webHidden/>
          </w:rPr>
          <w:t>12</w:t>
        </w:r>
        <w:r>
          <w:rPr>
            <w:noProof/>
            <w:webHidden/>
          </w:rPr>
          <w:fldChar w:fldCharType="end"/>
        </w:r>
      </w:hyperlink>
    </w:p>
    <w:p w14:paraId="370FFEC9" w14:textId="528AA99E"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6" w:history="1">
        <w:r w:rsidRPr="00ED22E8">
          <w:rPr>
            <w:rStyle w:val="Hyperlink"/>
            <w:noProof/>
          </w:rPr>
          <w:t>Figure 4: Access To is distinct from Access Within a system</w:t>
        </w:r>
        <w:r>
          <w:rPr>
            <w:noProof/>
            <w:webHidden/>
          </w:rPr>
          <w:tab/>
        </w:r>
        <w:r>
          <w:rPr>
            <w:noProof/>
            <w:webHidden/>
          </w:rPr>
          <w:fldChar w:fldCharType="begin"/>
        </w:r>
        <w:r>
          <w:rPr>
            <w:noProof/>
            <w:webHidden/>
          </w:rPr>
          <w:instrText xml:space="preserve"> PAGEREF _Toc201899526 \h </w:instrText>
        </w:r>
        <w:r>
          <w:rPr>
            <w:noProof/>
            <w:webHidden/>
          </w:rPr>
        </w:r>
        <w:r>
          <w:rPr>
            <w:noProof/>
            <w:webHidden/>
          </w:rPr>
          <w:fldChar w:fldCharType="separate"/>
        </w:r>
        <w:r w:rsidR="006C03AF">
          <w:rPr>
            <w:noProof/>
            <w:webHidden/>
          </w:rPr>
          <w:t>13</w:t>
        </w:r>
        <w:r>
          <w:rPr>
            <w:noProof/>
            <w:webHidden/>
          </w:rPr>
          <w:fldChar w:fldCharType="end"/>
        </w:r>
      </w:hyperlink>
    </w:p>
    <w:p w14:paraId="7BAE314B" w14:textId="2792D723"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7" w:history="1">
        <w:r w:rsidRPr="00ED22E8">
          <w:rPr>
            <w:rStyle w:val="Hyperlink"/>
            <w:noProof/>
          </w:rPr>
          <w:t>Figure 5: Authorisation Management and Implementation is Local</w:t>
        </w:r>
        <w:r>
          <w:rPr>
            <w:noProof/>
            <w:webHidden/>
          </w:rPr>
          <w:tab/>
        </w:r>
        <w:r>
          <w:rPr>
            <w:noProof/>
            <w:webHidden/>
          </w:rPr>
          <w:fldChar w:fldCharType="begin"/>
        </w:r>
        <w:r>
          <w:rPr>
            <w:noProof/>
            <w:webHidden/>
          </w:rPr>
          <w:instrText xml:space="preserve"> PAGEREF _Toc201899527 \h </w:instrText>
        </w:r>
        <w:r>
          <w:rPr>
            <w:noProof/>
            <w:webHidden/>
          </w:rPr>
        </w:r>
        <w:r>
          <w:rPr>
            <w:noProof/>
            <w:webHidden/>
          </w:rPr>
          <w:fldChar w:fldCharType="separate"/>
        </w:r>
        <w:r w:rsidR="006C03AF">
          <w:rPr>
            <w:noProof/>
            <w:webHidden/>
          </w:rPr>
          <w:t>13</w:t>
        </w:r>
        <w:r>
          <w:rPr>
            <w:noProof/>
            <w:webHidden/>
          </w:rPr>
          <w:fldChar w:fldCharType="end"/>
        </w:r>
      </w:hyperlink>
    </w:p>
    <w:p w14:paraId="64A60700" w14:textId="00CCA87B"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8" w:history="1">
        <w:r w:rsidRPr="00ED22E8">
          <w:rPr>
            <w:rStyle w:val="Hyperlink"/>
            <w:noProof/>
          </w:rPr>
          <w:t>Figure 6: retrieve identity and context from separate, appropriate, sources</w:t>
        </w:r>
        <w:r>
          <w:rPr>
            <w:noProof/>
            <w:webHidden/>
          </w:rPr>
          <w:tab/>
        </w:r>
        <w:r>
          <w:rPr>
            <w:noProof/>
            <w:webHidden/>
          </w:rPr>
          <w:fldChar w:fldCharType="begin"/>
        </w:r>
        <w:r>
          <w:rPr>
            <w:noProof/>
            <w:webHidden/>
          </w:rPr>
          <w:instrText xml:space="preserve"> PAGEREF _Toc201899528 \h </w:instrText>
        </w:r>
        <w:r>
          <w:rPr>
            <w:noProof/>
            <w:webHidden/>
          </w:rPr>
        </w:r>
        <w:r>
          <w:rPr>
            <w:noProof/>
            <w:webHidden/>
          </w:rPr>
          <w:fldChar w:fldCharType="separate"/>
        </w:r>
        <w:r w:rsidR="006C03AF">
          <w:rPr>
            <w:noProof/>
            <w:webHidden/>
          </w:rPr>
          <w:t>14</w:t>
        </w:r>
        <w:r>
          <w:rPr>
            <w:noProof/>
            <w:webHidden/>
          </w:rPr>
          <w:fldChar w:fldCharType="end"/>
        </w:r>
      </w:hyperlink>
    </w:p>
    <w:p w14:paraId="2DD82614" w14:textId="50677579" w:rsidR="008C39DC" w:rsidRDefault="008C39DC" w:rsidP="008C39DC">
      <w:r>
        <w:fldChar w:fldCharType="end"/>
      </w:r>
    </w:p>
    <w:p w14:paraId="5ED594EB" w14:textId="18C9D77A" w:rsidR="008C39DC" w:rsidRPr="001E2299" w:rsidRDefault="008C39DC" w:rsidP="001E2299">
      <w:pPr>
        <w:pStyle w:val="Heading3"/>
      </w:pPr>
      <w:bookmarkStart w:id="89" w:name="_Toc201921476"/>
      <w:r w:rsidRPr="001E2299">
        <w:t>Tables</w:t>
      </w:r>
      <w:bookmarkEnd w:id="89"/>
    </w:p>
    <w:p w14:paraId="71191E87" w14:textId="382AEF56"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fldChar w:fldCharType="separate"/>
        </w:r>
        <w:r w:rsidR="006C03AF">
          <w:rPr>
            <w:b/>
            <w:bCs/>
            <w:noProof/>
            <w:webHidden/>
            <w:lang w:val="en-US"/>
          </w:rPr>
          <w:t>Error! Bookmark not defined.</w:t>
        </w:r>
        <w:r w:rsidR="00660C49">
          <w:rPr>
            <w:noProof/>
            <w:webHidden/>
          </w:rPr>
          <w:fldChar w:fldCharType="end"/>
        </w:r>
      </w:hyperlink>
    </w:p>
    <w:p w14:paraId="6BB50E36" w14:textId="7D5215FD"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fldChar w:fldCharType="separate"/>
        </w:r>
        <w:r w:rsidR="006C03AF">
          <w:rPr>
            <w:b/>
            <w:bCs/>
            <w:noProof/>
            <w:webHidden/>
            <w:lang w:val="en-US"/>
          </w:rPr>
          <w:t>Error! Bookmark not defined.</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90" w:name="_Toc201921477"/>
      <w:r>
        <w:t>References</w:t>
      </w:r>
      <w:bookmarkEnd w:id="9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91" w:name="_Toc201921478"/>
      <w:r>
        <w:t>Review Distribution</w:t>
      </w:r>
      <w:bookmarkEnd w:id="9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9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93" w:name="_Toc201921479"/>
      <w:bookmarkEnd w:id="92"/>
      <w:r>
        <w:lastRenderedPageBreak/>
        <w:t>Audience</w:t>
      </w:r>
      <w:bookmarkEnd w:id="9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94" w:name="_Toc201921480"/>
      <w:r>
        <w:t>Structure</w:t>
      </w:r>
      <w:bookmarkEnd w:id="9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95" w:name="_Toc201921481"/>
      <w:r>
        <w:t>Diagrams</w:t>
      </w:r>
      <w:bookmarkEnd w:id="95"/>
    </w:p>
    <w:p w14:paraId="65008B06" w14:textId="1507D50E" w:rsidR="00660C49" w:rsidRDefault="00660C49" w:rsidP="008C39DC">
      <w:pPr>
        <w:pStyle w:val="BodyText"/>
      </w:pPr>
      <w:bookmarkStart w:id="96"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97" w:name="_Hlk174689663"/>
      <w:bookmarkStart w:id="98" w:name="_Toc201921482"/>
      <w:bookmarkEnd w:id="96"/>
      <w:r>
        <w:t>Acronyms</w:t>
      </w:r>
      <w:bookmarkEnd w:id="98"/>
    </w:p>
    <w:p w14:paraId="3FF05247" w14:textId="77777777" w:rsidR="00A8163B" w:rsidRPr="00A8163B" w:rsidRDefault="00A8163B" w:rsidP="006D133E">
      <w:pPr>
        <w:pStyle w:val="Term-Def"/>
        <w:rPr>
          <w:vanish/>
          <w:specVanish/>
        </w:rPr>
      </w:pPr>
      <w:bookmarkStart w:id="99" w:name="Acronym_API"/>
      <w:bookmarkEnd w:id="99"/>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100" w:name="Acronym_GUI"/>
      <w:bookmarkEnd w:id="100"/>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101" w:name="Acronym_UI"/>
      <w:bookmarkStart w:id="102" w:name="Acronym_ICT"/>
      <w:bookmarkEnd w:id="101"/>
      <w:bookmarkEnd w:id="102"/>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103" w:name="Acronym_IT"/>
      <w:bookmarkEnd w:id="103"/>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104" w:name="_Toc201921483"/>
      <w:r>
        <w:t>Terms</w:t>
      </w:r>
      <w:bookmarkEnd w:id="104"/>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105" w:name="Term_ApplicationProgrammingInterface"/>
      <w:bookmarkEnd w:id="105"/>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lastRenderedPageBreak/>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106" w:name="Term_User"/>
      <w:bookmarkEnd w:id="106"/>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107" w:name="Term_UserInterface"/>
      <w:bookmarkEnd w:id="107"/>
      <w:r>
        <w:t>User Interface</w:t>
      </w:r>
    </w:p>
    <w:p w14:paraId="7D93165A" w14:textId="38770A48" w:rsidR="0012615C" w:rsidRDefault="00A8163B" w:rsidP="0012615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97"/>
    </w:p>
    <w:p w14:paraId="7AA9D6F5" w14:textId="0C475C68" w:rsidR="00135DAF" w:rsidRPr="00135DAF" w:rsidRDefault="008B4AEE" w:rsidP="00135DAF">
      <w:pPr>
        <w:pStyle w:val="Appendix"/>
      </w:pPr>
      <w:bookmarkStart w:id="108" w:name="_Toc201921484"/>
      <w:r w:rsidRPr="005C7C13">
        <w:t xml:space="preserve">Appendix </w:t>
      </w:r>
      <w:r>
        <w:t>B</w:t>
      </w:r>
      <w:r w:rsidRPr="005C7C13">
        <w:t xml:space="preserve"> - Document Information</w:t>
      </w:r>
      <w:bookmarkEnd w:id="108"/>
    </w:p>
    <w:p w14:paraId="60A8676B" w14:textId="77777777" w:rsidR="00135DAF" w:rsidRPr="00135DAF" w:rsidRDefault="00135DAF" w:rsidP="00B257A4">
      <w:pPr>
        <w:pStyle w:val="BodyText"/>
        <w:numPr>
          <w:ilvl w:val="0"/>
          <w:numId w:val="18"/>
        </w:numPr>
      </w:pPr>
      <w:r w:rsidRPr="00135DAF">
        <w:rPr>
          <w:b/>
          <w:bCs/>
        </w:rPr>
        <w:t>OIDC Core Spec</w:t>
      </w:r>
      <w:r w:rsidRPr="00135DAF">
        <w:t xml:space="preserve"> – https://openid.net/specs/openid-connect-core-1_0.html</w:t>
      </w:r>
    </w:p>
    <w:p w14:paraId="37945BCC" w14:textId="77777777" w:rsidR="00135DAF" w:rsidRPr="00135DAF" w:rsidRDefault="00135DAF" w:rsidP="00B257A4">
      <w:pPr>
        <w:pStyle w:val="BodyText"/>
        <w:numPr>
          <w:ilvl w:val="0"/>
          <w:numId w:val="18"/>
        </w:numPr>
      </w:pPr>
      <w:r w:rsidRPr="00135DAF">
        <w:rPr>
          <w:b/>
          <w:bCs/>
        </w:rPr>
        <w:t>Microsoft: Best Practices for Token Validation</w:t>
      </w:r>
      <w:r w:rsidRPr="00135DAF">
        <w:t xml:space="preserve"> – </w:t>
      </w:r>
      <w:hyperlink r:id="rId27" w:anchor="validating-tokens" w:tgtFrame="_new" w:history="1">
        <w:r w:rsidRPr="00135DAF">
          <w:rPr>
            <w:rStyle w:val="Hyperlink"/>
          </w:rPr>
          <w:t>https://learn.microsoft.com/en-us/azure/active-directory/develop/access-tokens#validating-tokens</w:t>
        </w:r>
      </w:hyperlink>
    </w:p>
    <w:p w14:paraId="5192787A" w14:textId="77777777" w:rsidR="00135DAF" w:rsidRPr="00135DAF" w:rsidRDefault="00135DAF" w:rsidP="00B257A4">
      <w:pPr>
        <w:pStyle w:val="BodyText"/>
        <w:numPr>
          <w:ilvl w:val="0"/>
          <w:numId w:val="18"/>
        </w:numPr>
      </w:pPr>
      <w:r w:rsidRPr="00135DAF">
        <w:rPr>
          <w:b/>
          <w:bCs/>
        </w:rPr>
        <w:t>Google Workspace Identity Platform Docs</w:t>
      </w:r>
      <w:r w:rsidRPr="00135DAF">
        <w:t xml:space="preserve"> – for understanding GCP token claim limitations</w:t>
      </w:r>
    </w:p>
    <w:p w14:paraId="7B24B237" w14:textId="77777777" w:rsidR="00135DAF" w:rsidRPr="00135DAF" w:rsidRDefault="00135DAF" w:rsidP="00B257A4">
      <w:pPr>
        <w:pStyle w:val="BodyText"/>
        <w:numPr>
          <w:ilvl w:val="0"/>
          <w:numId w:val="18"/>
        </w:numPr>
      </w:pPr>
      <w:r w:rsidRPr="00135DAF">
        <w:rPr>
          <w:b/>
          <w:bCs/>
        </w:rPr>
        <w:t>NIST SP 800-63C</w:t>
      </w:r>
      <w:r w:rsidRPr="00135DAF">
        <w:t xml:space="preserve"> – </w:t>
      </w:r>
      <w:r w:rsidRPr="00135DAF">
        <w:rPr>
          <w:i/>
          <w:iCs/>
        </w:rPr>
        <w:t>Digital Identity Guidelines: Federation and Assertions</w:t>
      </w:r>
    </w:p>
    <w:p w14:paraId="49D5D646" w14:textId="2A359CB0" w:rsidR="00135DAF" w:rsidRPr="00135DAF" w:rsidRDefault="00135DAF" w:rsidP="00B257A4">
      <w:pPr>
        <w:pStyle w:val="BodyText"/>
        <w:numPr>
          <w:ilvl w:val="0"/>
          <w:numId w:val="18"/>
        </w:numPr>
      </w:pPr>
      <w:r w:rsidRPr="00135DAF">
        <w:rPr>
          <w:b/>
          <w:bCs/>
        </w:rPr>
        <w:t>NZ Government Digital Identity Trust Framework (Te Tari Taiwhenua)</w:t>
      </w:r>
      <w:r w:rsidRPr="00135DAF">
        <w:t xml:space="preserve"> </w:t>
      </w:r>
    </w:p>
    <w:p w14:paraId="6D86B0E8" w14:textId="77777777" w:rsidR="00135DAF" w:rsidRPr="00135DAF" w:rsidRDefault="00135DAF" w:rsidP="00B257A4">
      <w:pPr>
        <w:pStyle w:val="BodyText"/>
        <w:numPr>
          <w:ilvl w:val="0"/>
          <w:numId w:val="18"/>
        </w:numPr>
      </w:pPr>
      <w:r w:rsidRPr="00135DAF">
        <w:rPr>
          <w:b/>
          <w:bCs/>
        </w:rPr>
        <w:t>RFC 7643/7644 (SCIM 2.0)</w:t>
      </w:r>
      <w:r w:rsidRPr="00135DAF">
        <w:t xml:space="preserve"> – for provisioning clarity</w:t>
      </w:r>
    </w:p>
    <w:p w14:paraId="633D9C0E" w14:textId="77777777" w:rsidR="00135DAF" w:rsidRPr="00135DAF" w:rsidRDefault="00135DAF" w:rsidP="00B257A4">
      <w:pPr>
        <w:pStyle w:val="BodyText"/>
        <w:numPr>
          <w:ilvl w:val="0"/>
          <w:numId w:val="18"/>
        </w:numPr>
      </w:pPr>
      <w:r w:rsidRPr="00135DAF">
        <w:rPr>
          <w:b/>
          <w:bCs/>
        </w:rPr>
        <w:t>NZ Government Privacy Impact Assessments (PIA) and Security Risk Assessments (SRA) Guides</w:t>
      </w:r>
    </w:p>
    <w:p w14:paraId="73EA09A0" w14:textId="59C2692D" w:rsidR="0012615C" w:rsidRDefault="00135DAF" w:rsidP="00B257A4">
      <w:pPr>
        <w:pStyle w:val="BodyText"/>
        <w:numPr>
          <w:ilvl w:val="0"/>
          <w:numId w:val="18"/>
        </w:numPr>
      </w:pPr>
      <w:r w:rsidRPr="00135DAF">
        <w:rPr>
          <w:b/>
          <w:bCs/>
        </w:rPr>
        <w:t>Te Rito Guidance &amp; SMS Standards</w:t>
      </w:r>
      <w:r w:rsidRPr="00135DAF">
        <w:t xml:space="preserve"> – where available</w:t>
      </w:r>
    </w:p>
    <w:p w14:paraId="48515EE4" w14:textId="34F6A910" w:rsidR="002A5E6D" w:rsidRPr="00B00AAC" w:rsidRDefault="002A5E6D" w:rsidP="002A5E6D">
      <w:pPr>
        <w:pStyle w:val="Appendix"/>
      </w:pPr>
      <w:bookmarkStart w:id="109" w:name="_Toc201144459"/>
      <w:bookmarkStart w:id="110" w:name="_Toc201921485"/>
      <w:r w:rsidRPr="00450309">
        <w:t xml:space="preserve">Appendix </w:t>
      </w:r>
      <w:r>
        <w:t>C</w:t>
      </w:r>
      <w:r w:rsidRPr="00450309">
        <w:t xml:space="preserve"> – </w:t>
      </w:r>
      <w:r>
        <w:t>Use Sub to disambiguate users</w:t>
      </w:r>
      <w:bookmarkEnd w:id="109"/>
      <w:bookmarkEnd w:id="110"/>
    </w:p>
    <w:p w14:paraId="74B233A8" w14:textId="77777777" w:rsidR="002A5E6D" w:rsidRDefault="002A5E6D" w:rsidP="002A5E6D">
      <w:pPr>
        <w:pStyle w:val="BodyText"/>
      </w:pPr>
      <w:r>
        <w:t>While email is conceptually sufficiently unique to disambiguate users, emails are insufficient for this purpose in long living, large user base, systems such as government systems for education. While sufficient to disambiguate two parallel learners with the same name (</w:t>
      </w:r>
      <w:hyperlink r:id="rId28" w:history="1">
        <w:r w:rsidRPr="00BE66CD">
          <w:rPr>
            <w:rStyle w:val="Hyperlink"/>
          </w:rPr>
          <w:t>john.smith@schoolA.org</w:t>
        </w:r>
      </w:hyperlink>
      <w:r>
        <w:t xml:space="preserve"> versus </w:t>
      </w:r>
      <w:hyperlink r:id="rId29" w:history="1">
        <w:r w:rsidRPr="00BE66CD">
          <w:rPr>
            <w:rStyle w:val="Hyperlink"/>
          </w:rPr>
          <w:t>john.smith@schoolB.org</w:t>
        </w:r>
      </w:hyperlink>
      <w:r>
        <w:t xml:space="preserve">, or even </w:t>
      </w:r>
      <w:hyperlink r:id="rId30" w:history="1">
        <w:r w:rsidRPr="00BE66CD">
          <w:rPr>
            <w:rStyle w:val="Hyperlink"/>
          </w:rPr>
          <w:t>john1.smith@schoolA.org</w:t>
        </w:r>
      </w:hyperlink>
      <w:r>
        <w:t xml:space="preserve"> and </w:t>
      </w:r>
      <w:hyperlink r:id="rId31" w:history="1">
        <w:r w:rsidRPr="00BE66CD">
          <w:rPr>
            <w:rStyle w:val="Hyperlink"/>
          </w:rPr>
          <w:t>john2.smith@schoolA.org</w:t>
        </w:r>
      </w:hyperlink>
      <w:r>
        <w:t>), emails may be reused over time (</w:t>
      </w:r>
      <w:hyperlink r:id="rId32" w:history="1">
        <w:r w:rsidRPr="00BE66CD">
          <w:rPr>
            <w:rStyle w:val="Hyperlink"/>
          </w:rPr>
          <w:t>john.smith@schooA.org</w:t>
        </w:r>
      </w:hyperlink>
      <w:r>
        <w:t xml:space="preserve"> in 2010, and john </w:t>
      </w:r>
      <w:hyperlink r:id="rId33" w:history="1">
        <w:r w:rsidRPr="00BE66CD">
          <w:rPr>
            <w:rStyle w:val="Hyperlink"/>
          </w:rPr>
          <w:t>smith@schoolA.org</w:t>
        </w:r>
      </w:hyperlink>
      <w:r>
        <w:t xml:space="preserve"> in 2020). </w:t>
      </w:r>
    </w:p>
    <w:p w14:paraId="7374A445" w14:textId="77777777" w:rsidR="002A5E6D" w:rsidRDefault="002A5E6D" w:rsidP="002A5E6D">
      <w:pPr>
        <w:pStyle w:val="BodyText"/>
      </w:pPr>
      <w:r>
        <w:t xml:space="preserve">For this, </w:t>
      </w:r>
      <w:r w:rsidRPr="00AF7530">
        <w:t>the OIDC specification</w:t>
      </w:r>
      <w:r>
        <w:t xml:space="preserve"> provides the solution:</w:t>
      </w:r>
    </w:p>
    <w:p w14:paraId="5CCEEF2A" w14:textId="77777777" w:rsidR="002A5E6D" w:rsidRDefault="002A5E6D" w:rsidP="00B257A4">
      <w:pPr>
        <w:pStyle w:val="BodyText"/>
        <w:numPr>
          <w:ilvl w:val="0"/>
          <w:numId w:val="20"/>
        </w:numPr>
        <w:rPr>
          <w:b/>
          <w:bCs/>
        </w:rPr>
      </w:pPr>
      <w:r w:rsidRPr="005C3643">
        <w:rPr>
          <w:b/>
          <w:bCs/>
        </w:rPr>
        <w:t>OIDC Core 1.0 Specification – Section 2:</w:t>
      </w:r>
      <w:r>
        <w:rPr>
          <w:b/>
          <w:bCs/>
        </w:rPr>
        <w:br/>
      </w:r>
      <w:r w:rsidRPr="005C3643">
        <w:rPr>
          <w:b/>
          <w:bCs/>
        </w:rPr>
        <w:t>Subject Identifier</w:t>
      </w:r>
      <w:r w:rsidRPr="005C3643">
        <w:br/>
        <w:t>A locally unique and never reassigned identifier within the Issuer for the End-User, which is intended to be consumed by the Client.</w:t>
      </w:r>
    </w:p>
    <w:p w14:paraId="09BA0118" w14:textId="77777777" w:rsidR="002A5E6D" w:rsidRDefault="002A5E6D" w:rsidP="00B257A4">
      <w:pPr>
        <w:pStyle w:val="BodyText"/>
        <w:numPr>
          <w:ilvl w:val="0"/>
          <w:numId w:val="20"/>
        </w:numPr>
        <w:rPr>
          <w:b/>
          <w:bCs/>
        </w:rPr>
      </w:pPr>
      <w:r w:rsidRPr="005C3643">
        <w:rPr>
          <w:b/>
          <w:bCs/>
        </w:rPr>
        <w:t>Section 5.1 – Standard Claims:</w:t>
      </w:r>
      <w:r>
        <w:rPr>
          <w:b/>
          <w:bCs/>
        </w:rPr>
        <w:br/>
      </w:r>
      <w:r w:rsidRPr="005C3643">
        <w:rPr>
          <w:b/>
          <w:bCs/>
        </w:rPr>
        <w:t>sub</w:t>
      </w:r>
      <w:r w:rsidRPr="005C3643">
        <w:br/>
      </w:r>
      <w:r w:rsidRPr="005C3643">
        <w:rPr>
          <w:i/>
          <w:iCs/>
        </w:rPr>
        <w:t>Subject - Identifier for the End-User at the Issuer.</w:t>
      </w:r>
      <w:r w:rsidRPr="005C3643">
        <w:br/>
        <w:t xml:space="preserve">It is a </w:t>
      </w:r>
      <w:r w:rsidRPr="005C3643">
        <w:rPr>
          <w:b/>
          <w:bCs/>
        </w:rPr>
        <w:t>locally unique and never reassigned identifier</w:t>
      </w:r>
      <w:r w:rsidRPr="005C3643">
        <w:t xml:space="preserve"> within the Issuer. It </w:t>
      </w:r>
      <w:r w:rsidRPr="005C3643">
        <w:rPr>
          <w:b/>
          <w:bCs/>
        </w:rPr>
        <w:t>must not be personally identifiable information (PII)</w:t>
      </w:r>
      <w:r w:rsidRPr="005C3643">
        <w:t xml:space="preserve"> such as an email address.</w:t>
      </w:r>
    </w:p>
    <w:p w14:paraId="3FC8993C" w14:textId="77777777" w:rsidR="002A5E6D" w:rsidRPr="003456F1" w:rsidRDefault="002A5E6D" w:rsidP="002A5E6D">
      <w:pPr>
        <w:pStyle w:val="BodyText"/>
        <w:rPr>
          <w:b/>
          <w:bCs/>
        </w:rPr>
      </w:pPr>
    </w:p>
    <w:p w14:paraId="0DAB7063" w14:textId="77777777" w:rsidR="002A5E6D" w:rsidRPr="003456F1" w:rsidRDefault="002A5E6D" w:rsidP="002A5E6D">
      <w:pPr>
        <w:pStyle w:val="BodyText"/>
        <w:rPr>
          <w:b/>
          <w:bCs/>
        </w:rPr>
      </w:pPr>
      <w:r w:rsidRPr="00AF7530">
        <w:t xml:space="preserve">However, a poorly implemented broker </w:t>
      </w:r>
      <w:r w:rsidRPr="00AF7530">
        <w:rPr>
          <w:i/>
          <w:iCs/>
        </w:rPr>
        <w:t>can</w:t>
      </w:r>
      <w:r w:rsidRPr="00AF7530">
        <w:t xml:space="preserve"> (incorrectly) use email as the </w:t>
      </w:r>
      <w:r w:rsidRPr="00AF7530">
        <w:rPr>
          <w:b/>
          <w:bCs/>
        </w:rPr>
        <w:t>sub</w:t>
      </w:r>
      <w:r w:rsidRPr="00AF7530">
        <w:t>.</w:t>
      </w:r>
      <w:r>
        <w:br/>
        <w:t xml:space="preserve"> </w:t>
      </w:r>
      <w:r>
        <w:br/>
      </w:r>
      <w:r w:rsidRPr="00484171">
        <w:t>If that</w:t>
      </w:r>
      <w:r>
        <w:t xml:space="preserve"> is</w:t>
      </w:r>
      <w:r w:rsidRPr="00484171">
        <w:t xml:space="preserve"> the case, and email addresses are reassigned (e.g. two John Smiths reusing jsmith@school.nz), the sub becomes unstable—violating OIDC intent and making identity correlation unreliable.</w:t>
      </w:r>
    </w:p>
    <w:p w14:paraId="0503346D" w14:textId="77777777" w:rsidR="002A5E6D" w:rsidRDefault="002A5E6D" w:rsidP="002A5E6D">
      <w:pPr>
        <w:pStyle w:val="BodyText"/>
      </w:pPr>
      <w:r>
        <w:t>Options to fix this include:</w:t>
      </w:r>
    </w:p>
    <w:p w14:paraId="66FEDE63" w14:textId="77777777" w:rsidR="002A5E6D" w:rsidRDefault="002A5E6D" w:rsidP="00B257A4">
      <w:pPr>
        <w:pStyle w:val="BodyText"/>
        <w:numPr>
          <w:ilvl w:val="0"/>
          <w:numId w:val="19"/>
        </w:numPr>
      </w:pPr>
      <w:r>
        <w:t xml:space="preserve">Return sub to not being an email, </w:t>
      </w:r>
      <w:r w:rsidRPr="005C0880">
        <w:rPr>
          <w:b/>
          <w:bCs/>
        </w:rPr>
        <w:t>and</w:t>
      </w:r>
      <w:r>
        <w:t xml:space="preserve"> either make it:</w:t>
      </w:r>
    </w:p>
    <w:p w14:paraId="5AA65CEC" w14:textId="77777777" w:rsidR="002A5E6D" w:rsidRDefault="002A5E6D" w:rsidP="00B257A4">
      <w:pPr>
        <w:pStyle w:val="BodyText"/>
        <w:numPr>
          <w:ilvl w:val="1"/>
          <w:numId w:val="19"/>
        </w:numPr>
      </w:pPr>
      <w:r>
        <w:t>Only Locally unique, while instructing clients use a composite key (iss+sub)</w:t>
      </w:r>
      <w:r>
        <w:br/>
        <w:t xml:space="preserve">to find identity records associated to a system user, </w:t>
      </w:r>
      <w:r w:rsidRPr="005C0880">
        <w:rPr>
          <w:b/>
          <w:bCs/>
        </w:rPr>
        <w:t>or</w:t>
      </w:r>
    </w:p>
    <w:p w14:paraId="3B47A539" w14:textId="77777777" w:rsidR="002A5E6D" w:rsidRDefault="002A5E6D" w:rsidP="00B257A4">
      <w:pPr>
        <w:pStyle w:val="BodyText"/>
        <w:numPr>
          <w:ilvl w:val="1"/>
          <w:numId w:val="19"/>
        </w:numPr>
      </w:pPr>
      <w:r>
        <w:t xml:space="preserve">Be globally unique (a UUID is satisfactory), while instructing clients use a composite key (iss+sub) </w:t>
      </w:r>
      <w:r w:rsidRPr="00351770">
        <w:rPr>
          <w:i/>
          <w:iCs/>
        </w:rPr>
        <w:t>anyway</w:t>
      </w:r>
      <w:r>
        <w:t xml:space="preserve"> to find identity records associated to a system user (the addition of the iss prefix provides higher entropy), </w:t>
      </w:r>
      <w:r w:rsidRPr="005C0880">
        <w:rPr>
          <w:b/>
          <w:bCs/>
        </w:rPr>
        <w:t>or</w:t>
      </w:r>
      <w:r>
        <w:t xml:space="preserve"> </w:t>
      </w:r>
    </w:p>
    <w:p w14:paraId="469A4D3B" w14:textId="77777777" w:rsidR="002A5E6D" w:rsidRPr="009A6B8D" w:rsidRDefault="002A5E6D" w:rsidP="00B257A4">
      <w:pPr>
        <w:pStyle w:val="BodyText"/>
        <w:numPr>
          <w:ilvl w:val="0"/>
          <w:numId w:val="19"/>
        </w:numPr>
      </w:pPr>
      <w:r>
        <w:t>Instruct brokered IdPs use a valid from/to (least preferred option, due to change management complexity).</w:t>
      </w:r>
    </w:p>
    <w:p w14:paraId="4ED008F8" w14:textId="662DF6AB" w:rsidR="0012615C" w:rsidRPr="00472093" w:rsidRDefault="0012615C" w:rsidP="008C39DC">
      <w:pPr>
        <w:pStyle w:val="BodyText"/>
        <w:rPr>
          <w:lang w:val="en-US"/>
        </w:rPr>
      </w:pPr>
    </w:p>
    <w:sectPr w:rsidR="0012615C" w:rsidRPr="00472093" w:rsidSect="00A2102D">
      <w:headerReference w:type="even" r:id="rId34"/>
      <w:headerReference w:type="default" r:id="rId35"/>
      <w:footerReference w:type="even" r:id="rId36"/>
      <w:footerReference w:type="default" r:id="rId37"/>
      <w:headerReference w:type="first" r:id="rId38"/>
      <w:footerReference w:type="first" r:id="rId3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9EAE9" w14:textId="77777777" w:rsidR="00925A2A" w:rsidRDefault="00925A2A" w:rsidP="0021141C">
      <w:pPr>
        <w:spacing w:before="0" w:after="0" w:line="240" w:lineRule="auto"/>
      </w:pPr>
      <w:r>
        <w:separator/>
      </w:r>
    </w:p>
    <w:p w14:paraId="0265BC72" w14:textId="77777777" w:rsidR="00925A2A" w:rsidRDefault="00925A2A"/>
  </w:endnote>
  <w:endnote w:type="continuationSeparator" w:id="0">
    <w:p w14:paraId="24EF82E3" w14:textId="77777777" w:rsidR="00925A2A" w:rsidRDefault="00925A2A" w:rsidP="0021141C">
      <w:pPr>
        <w:spacing w:before="0" w:after="0" w:line="240" w:lineRule="auto"/>
      </w:pPr>
      <w:r>
        <w:continuationSeparator/>
      </w:r>
    </w:p>
    <w:p w14:paraId="137D17DB" w14:textId="77777777" w:rsidR="00925A2A" w:rsidRDefault="00925A2A"/>
  </w:endnote>
  <w:endnote w:type="continuationNotice" w:id="1">
    <w:p w14:paraId="1089BCC6" w14:textId="77777777" w:rsidR="00925A2A" w:rsidRDefault="00925A2A">
      <w:pPr>
        <w:spacing w:before="0" w:after="0" w:line="240" w:lineRule="auto"/>
      </w:pPr>
    </w:p>
    <w:p w14:paraId="0F1BC3E9" w14:textId="77777777" w:rsidR="00925A2A" w:rsidRDefault="00925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6533" w14:textId="77777777" w:rsidR="00925A2A" w:rsidRDefault="00925A2A" w:rsidP="0021141C">
      <w:pPr>
        <w:spacing w:before="0" w:after="0" w:line="240" w:lineRule="auto"/>
      </w:pPr>
      <w:r>
        <w:separator/>
      </w:r>
    </w:p>
    <w:p w14:paraId="4CC83762" w14:textId="77777777" w:rsidR="00925A2A" w:rsidRDefault="00925A2A"/>
  </w:footnote>
  <w:footnote w:type="continuationSeparator" w:id="0">
    <w:p w14:paraId="2E8A65FB" w14:textId="77777777" w:rsidR="00925A2A" w:rsidRDefault="00925A2A" w:rsidP="0021141C">
      <w:pPr>
        <w:spacing w:before="0" w:after="0" w:line="240" w:lineRule="auto"/>
      </w:pPr>
      <w:r>
        <w:continuationSeparator/>
      </w:r>
    </w:p>
    <w:p w14:paraId="0E771E23" w14:textId="77777777" w:rsidR="00925A2A" w:rsidRDefault="00925A2A"/>
  </w:footnote>
  <w:footnote w:type="continuationNotice" w:id="1">
    <w:p w14:paraId="481ACE04" w14:textId="77777777" w:rsidR="00925A2A" w:rsidRDefault="00925A2A">
      <w:pPr>
        <w:spacing w:before="0" w:after="0" w:line="240" w:lineRule="auto"/>
      </w:pPr>
    </w:p>
    <w:p w14:paraId="475E58F4" w14:textId="77777777" w:rsidR="00925A2A" w:rsidRDefault="00925A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4B4"/>
    <w:multiLevelType w:val="multilevel"/>
    <w:tmpl w:val="DC8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057"/>
    <w:multiLevelType w:val="hybridMultilevel"/>
    <w:tmpl w:val="2C3421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E911DB"/>
    <w:multiLevelType w:val="multilevel"/>
    <w:tmpl w:val="6C8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34BBF"/>
    <w:multiLevelType w:val="multilevel"/>
    <w:tmpl w:val="525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3D31"/>
    <w:multiLevelType w:val="multilevel"/>
    <w:tmpl w:val="964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4E17"/>
    <w:multiLevelType w:val="multilevel"/>
    <w:tmpl w:val="386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D302A"/>
    <w:multiLevelType w:val="multilevel"/>
    <w:tmpl w:val="002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47FD"/>
    <w:multiLevelType w:val="multilevel"/>
    <w:tmpl w:val="129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221B4"/>
    <w:multiLevelType w:val="multilevel"/>
    <w:tmpl w:val="4F8E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4A5A304B"/>
    <w:multiLevelType w:val="multilevel"/>
    <w:tmpl w:val="F064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A732BB"/>
    <w:multiLevelType w:val="multilevel"/>
    <w:tmpl w:val="E37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560F2E"/>
    <w:multiLevelType w:val="multilevel"/>
    <w:tmpl w:val="191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0315"/>
    <w:multiLevelType w:val="multilevel"/>
    <w:tmpl w:val="FB8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9054A"/>
    <w:multiLevelType w:val="multilevel"/>
    <w:tmpl w:val="3D1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E5131"/>
    <w:multiLevelType w:val="multilevel"/>
    <w:tmpl w:val="1FD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83A93"/>
    <w:multiLevelType w:val="multilevel"/>
    <w:tmpl w:val="B9C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157700034">
    <w:abstractNumId w:val="19"/>
  </w:num>
  <w:num w:numId="3" w16cid:durableId="2007513129">
    <w:abstractNumId w:val="12"/>
  </w:num>
  <w:num w:numId="4" w16cid:durableId="1956790793">
    <w:abstractNumId w:val="13"/>
  </w:num>
  <w:num w:numId="5" w16cid:durableId="82462581">
    <w:abstractNumId w:val="3"/>
  </w:num>
  <w:num w:numId="6" w16cid:durableId="87889255">
    <w:abstractNumId w:val="17"/>
  </w:num>
  <w:num w:numId="7" w16cid:durableId="1335380697">
    <w:abstractNumId w:val="18"/>
  </w:num>
  <w:num w:numId="8" w16cid:durableId="1677347610">
    <w:abstractNumId w:val="0"/>
  </w:num>
  <w:num w:numId="9" w16cid:durableId="1676567881">
    <w:abstractNumId w:val="15"/>
  </w:num>
  <w:num w:numId="10" w16cid:durableId="1198005919">
    <w:abstractNumId w:val="16"/>
  </w:num>
  <w:num w:numId="11" w16cid:durableId="987397433">
    <w:abstractNumId w:val="10"/>
  </w:num>
  <w:num w:numId="12" w16cid:durableId="456292289">
    <w:abstractNumId w:val="14"/>
  </w:num>
  <w:num w:numId="13" w16cid:durableId="950088951">
    <w:abstractNumId w:val="11"/>
  </w:num>
  <w:num w:numId="14" w16cid:durableId="1072655270">
    <w:abstractNumId w:val="4"/>
  </w:num>
  <w:num w:numId="15" w16cid:durableId="1547182635">
    <w:abstractNumId w:val="5"/>
  </w:num>
  <w:num w:numId="16" w16cid:durableId="979699578">
    <w:abstractNumId w:val="2"/>
  </w:num>
  <w:num w:numId="17" w16cid:durableId="23101403">
    <w:abstractNumId w:val="6"/>
  </w:num>
  <w:num w:numId="18" w16cid:durableId="1631670623">
    <w:abstractNumId w:val="7"/>
  </w:num>
  <w:num w:numId="19" w16cid:durableId="1643578046">
    <w:abstractNumId w:val="8"/>
  </w:num>
  <w:num w:numId="20" w16cid:durableId="143952708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1B1F"/>
    <w:rsid w:val="00026DC8"/>
    <w:rsid w:val="00032953"/>
    <w:rsid w:val="0003621E"/>
    <w:rsid w:val="00036876"/>
    <w:rsid w:val="0003688E"/>
    <w:rsid w:val="00046590"/>
    <w:rsid w:val="00054E18"/>
    <w:rsid w:val="00055EB4"/>
    <w:rsid w:val="000708F4"/>
    <w:rsid w:val="00071455"/>
    <w:rsid w:val="000765FB"/>
    <w:rsid w:val="00082777"/>
    <w:rsid w:val="00084C95"/>
    <w:rsid w:val="000872B0"/>
    <w:rsid w:val="00087BBD"/>
    <w:rsid w:val="00092DFD"/>
    <w:rsid w:val="00095385"/>
    <w:rsid w:val="00095D25"/>
    <w:rsid w:val="000A39E6"/>
    <w:rsid w:val="000A6932"/>
    <w:rsid w:val="000A6FB8"/>
    <w:rsid w:val="000B104B"/>
    <w:rsid w:val="000B6410"/>
    <w:rsid w:val="000C5625"/>
    <w:rsid w:val="000C59D1"/>
    <w:rsid w:val="000D0A25"/>
    <w:rsid w:val="000D0BFD"/>
    <w:rsid w:val="000E664F"/>
    <w:rsid w:val="000E7EB0"/>
    <w:rsid w:val="000F10AE"/>
    <w:rsid w:val="000F125C"/>
    <w:rsid w:val="000F5590"/>
    <w:rsid w:val="00106AA0"/>
    <w:rsid w:val="0011016B"/>
    <w:rsid w:val="00114111"/>
    <w:rsid w:val="00117A5F"/>
    <w:rsid w:val="00120B89"/>
    <w:rsid w:val="00126099"/>
    <w:rsid w:val="0012615C"/>
    <w:rsid w:val="00127122"/>
    <w:rsid w:val="00130E9B"/>
    <w:rsid w:val="001339E0"/>
    <w:rsid w:val="00135DAF"/>
    <w:rsid w:val="00143B74"/>
    <w:rsid w:val="00145945"/>
    <w:rsid w:val="00153B93"/>
    <w:rsid w:val="001543C3"/>
    <w:rsid w:val="00154D3E"/>
    <w:rsid w:val="0015530E"/>
    <w:rsid w:val="00161ADD"/>
    <w:rsid w:val="001766EA"/>
    <w:rsid w:val="001814CF"/>
    <w:rsid w:val="00184008"/>
    <w:rsid w:val="001927A5"/>
    <w:rsid w:val="001A233C"/>
    <w:rsid w:val="001A4ED4"/>
    <w:rsid w:val="001A5907"/>
    <w:rsid w:val="001B51F2"/>
    <w:rsid w:val="001C5C37"/>
    <w:rsid w:val="001E1230"/>
    <w:rsid w:val="001E1564"/>
    <w:rsid w:val="001E2299"/>
    <w:rsid w:val="001F0D43"/>
    <w:rsid w:val="001F2275"/>
    <w:rsid w:val="001F35A9"/>
    <w:rsid w:val="001F5EF1"/>
    <w:rsid w:val="001F62DD"/>
    <w:rsid w:val="00201C1F"/>
    <w:rsid w:val="00202092"/>
    <w:rsid w:val="002031CE"/>
    <w:rsid w:val="0021141C"/>
    <w:rsid w:val="00213DAA"/>
    <w:rsid w:val="0021547D"/>
    <w:rsid w:val="002160CC"/>
    <w:rsid w:val="00223763"/>
    <w:rsid w:val="0022601E"/>
    <w:rsid w:val="002278B8"/>
    <w:rsid w:val="00233BDC"/>
    <w:rsid w:val="0024225D"/>
    <w:rsid w:val="00242D7F"/>
    <w:rsid w:val="0024590F"/>
    <w:rsid w:val="00245E6E"/>
    <w:rsid w:val="00252D75"/>
    <w:rsid w:val="002538D6"/>
    <w:rsid w:val="00255972"/>
    <w:rsid w:val="00264AD7"/>
    <w:rsid w:val="00292D89"/>
    <w:rsid w:val="0029311E"/>
    <w:rsid w:val="00295525"/>
    <w:rsid w:val="002A26D7"/>
    <w:rsid w:val="002A52D1"/>
    <w:rsid w:val="002A5E6D"/>
    <w:rsid w:val="002A784F"/>
    <w:rsid w:val="002B1109"/>
    <w:rsid w:val="002B7AFC"/>
    <w:rsid w:val="002C004F"/>
    <w:rsid w:val="002D18E9"/>
    <w:rsid w:val="002D1D53"/>
    <w:rsid w:val="002D4280"/>
    <w:rsid w:val="002E188B"/>
    <w:rsid w:val="002E4304"/>
    <w:rsid w:val="002E5B94"/>
    <w:rsid w:val="002F2DFE"/>
    <w:rsid w:val="0030404C"/>
    <w:rsid w:val="00305836"/>
    <w:rsid w:val="0031118F"/>
    <w:rsid w:val="00321A4B"/>
    <w:rsid w:val="00331BC9"/>
    <w:rsid w:val="003325B5"/>
    <w:rsid w:val="0033731A"/>
    <w:rsid w:val="00341A93"/>
    <w:rsid w:val="00344E6C"/>
    <w:rsid w:val="00351C50"/>
    <w:rsid w:val="00354EF2"/>
    <w:rsid w:val="00356787"/>
    <w:rsid w:val="00356FDE"/>
    <w:rsid w:val="00373711"/>
    <w:rsid w:val="003767EB"/>
    <w:rsid w:val="00382BDA"/>
    <w:rsid w:val="003900D6"/>
    <w:rsid w:val="0039423A"/>
    <w:rsid w:val="003974FF"/>
    <w:rsid w:val="003A4FD7"/>
    <w:rsid w:val="003B5D52"/>
    <w:rsid w:val="003C3370"/>
    <w:rsid w:val="003D1DF9"/>
    <w:rsid w:val="003D2E5A"/>
    <w:rsid w:val="003D2FA9"/>
    <w:rsid w:val="003D736B"/>
    <w:rsid w:val="003D7DCC"/>
    <w:rsid w:val="003E2A80"/>
    <w:rsid w:val="003F5014"/>
    <w:rsid w:val="00400028"/>
    <w:rsid w:val="00400A3B"/>
    <w:rsid w:val="004028EC"/>
    <w:rsid w:val="00403A74"/>
    <w:rsid w:val="00406FE9"/>
    <w:rsid w:val="00415946"/>
    <w:rsid w:val="00423249"/>
    <w:rsid w:val="0042508B"/>
    <w:rsid w:val="00426A59"/>
    <w:rsid w:val="004275AE"/>
    <w:rsid w:val="00441793"/>
    <w:rsid w:val="00443795"/>
    <w:rsid w:val="00450AD9"/>
    <w:rsid w:val="0045291B"/>
    <w:rsid w:val="0045306F"/>
    <w:rsid w:val="004552B2"/>
    <w:rsid w:val="00457123"/>
    <w:rsid w:val="00457C21"/>
    <w:rsid w:val="0046200D"/>
    <w:rsid w:val="00463A83"/>
    <w:rsid w:val="00472093"/>
    <w:rsid w:val="0048213F"/>
    <w:rsid w:val="00482964"/>
    <w:rsid w:val="00486B4D"/>
    <w:rsid w:val="00486E24"/>
    <w:rsid w:val="00491255"/>
    <w:rsid w:val="00491649"/>
    <w:rsid w:val="004925CA"/>
    <w:rsid w:val="00494AFA"/>
    <w:rsid w:val="004A2497"/>
    <w:rsid w:val="004B03AD"/>
    <w:rsid w:val="004D1F0C"/>
    <w:rsid w:val="004D35FA"/>
    <w:rsid w:val="004D5390"/>
    <w:rsid w:val="004D7B91"/>
    <w:rsid w:val="004F2FBD"/>
    <w:rsid w:val="0050196C"/>
    <w:rsid w:val="00523622"/>
    <w:rsid w:val="005255FC"/>
    <w:rsid w:val="00532332"/>
    <w:rsid w:val="00533C27"/>
    <w:rsid w:val="005432E3"/>
    <w:rsid w:val="00543F19"/>
    <w:rsid w:val="00554B54"/>
    <w:rsid w:val="005571FD"/>
    <w:rsid w:val="005604D5"/>
    <w:rsid w:val="00560A3D"/>
    <w:rsid w:val="00563AF9"/>
    <w:rsid w:val="005672F4"/>
    <w:rsid w:val="00572EE3"/>
    <w:rsid w:val="005921D1"/>
    <w:rsid w:val="00594C1D"/>
    <w:rsid w:val="005A4596"/>
    <w:rsid w:val="005A54A0"/>
    <w:rsid w:val="005B19C4"/>
    <w:rsid w:val="005B1A15"/>
    <w:rsid w:val="005B1D86"/>
    <w:rsid w:val="005C1C26"/>
    <w:rsid w:val="005C7C13"/>
    <w:rsid w:val="005E317D"/>
    <w:rsid w:val="005F0A38"/>
    <w:rsid w:val="005F0DC4"/>
    <w:rsid w:val="005F57C1"/>
    <w:rsid w:val="005F792B"/>
    <w:rsid w:val="00600293"/>
    <w:rsid w:val="006108CD"/>
    <w:rsid w:val="00611705"/>
    <w:rsid w:val="00612935"/>
    <w:rsid w:val="006143DD"/>
    <w:rsid w:val="0063784D"/>
    <w:rsid w:val="00637D43"/>
    <w:rsid w:val="006407E9"/>
    <w:rsid w:val="00643D8D"/>
    <w:rsid w:val="006467B8"/>
    <w:rsid w:val="00650EDA"/>
    <w:rsid w:val="00660C49"/>
    <w:rsid w:val="006636CB"/>
    <w:rsid w:val="006646CD"/>
    <w:rsid w:val="00670F7A"/>
    <w:rsid w:val="00672F27"/>
    <w:rsid w:val="00674A30"/>
    <w:rsid w:val="00675068"/>
    <w:rsid w:val="006837D1"/>
    <w:rsid w:val="00694766"/>
    <w:rsid w:val="0069602E"/>
    <w:rsid w:val="006A2843"/>
    <w:rsid w:val="006B1311"/>
    <w:rsid w:val="006B2CC1"/>
    <w:rsid w:val="006C03AF"/>
    <w:rsid w:val="006C4C9A"/>
    <w:rsid w:val="006C673C"/>
    <w:rsid w:val="006D133E"/>
    <w:rsid w:val="006D322C"/>
    <w:rsid w:val="006D419F"/>
    <w:rsid w:val="006D5B4C"/>
    <w:rsid w:val="006D6622"/>
    <w:rsid w:val="006E0BDE"/>
    <w:rsid w:val="006F53D5"/>
    <w:rsid w:val="0070166A"/>
    <w:rsid w:val="0070168F"/>
    <w:rsid w:val="00702ADE"/>
    <w:rsid w:val="00704440"/>
    <w:rsid w:val="0071118C"/>
    <w:rsid w:val="00715207"/>
    <w:rsid w:val="00715B04"/>
    <w:rsid w:val="00720548"/>
    <w:rsid w:val="00737310"/>
    <w:rsid w:val="007409DD"/>
    <w:rsid w:val="007414F0"/>
    <w:rsid w:val="0074591A"/>
    <w:rsid w:val="007479A3"/>
    <w:rsid w:val="00750E5E"/>
    <w:rsid w:val="00753774"/>
    <w:rsid w:val="00757C09"/>
    <w:rsid w:val="00762300"/>
    <w:rsid w:val="0077333E"/>
    <w:rsid w:val="00776A21"/>
    <w:rsid w:val="00776DCC"/>
    <w:rsid w:val="00777D1C"/>
    <w:rsid w:val="00777F4B"/>
    <w:rsid w:val="007803C4"/>
    <w:rsid w:val="00784B4F"/>
    <w:rsid w:val="00784C1E"/>
    <w:rsid w:val="007942F2"/>
    <w:rsid w:val="007C7FA0"/>
    <w:rsid w:val="007D13C5"/>
    <w:rsid w:val="007D2E5A"/>
    <w:rsid w:val="007D5AB4"/>
    <w:rsid w:val="007D7BF7"/>
    <w:rsid w:val="007E0184"/>
    <w:rsid w:val="007E0335"/>
    <w:rsid w:val="007E35C9"/>
    <w:rsid w:val="007E7720"/>
    <w:rsid w:val="008059D9"/>
    <w:rsid w:val="00813161"/>
    <w:rsid w:val="008173B1"/>
    <w:rsid w:val="00820A28"/>
    <w:rsid w:val="00821494"/>
    <w:rsid w:val="00830C0B"/>
    <w:rsid w:val="00840295"/>
    <w:rsid w:val="0084088E"/>
    <w:rsid w:val="00855420"/>
    <w:rsid w:val="00856D32"/>
    <w:rsid w:val="008659DA"/>
    <w:rsid w:val="0086618B"/>
    <w:rsid w:val="00871AB9"/>
    <w:rsid w:val="00873F86"/>
    <w:rsid w:val="00882316"/>
    <w:rsid w:val="00887DCB"/>
    <w:rsid w:val="008948E7"/>
    <w:rsid w:val="008A12E2"/>
    <w:rsid w:val="008A55C4"/>
    <w:rsid w:val="008A72D9"/>
    <w:rsid w:val="008B4458"/>
    <w:rsid w:val="008B4AEE"/>
    <w:rsid w:val="008C0889"/>
    <w:rsid w:val="008C1200"/>
    <w:rsid w:val="008C171F"/>
    <w:rsid w:val="008C39DC"/>
    <w:rsid w:val="008C7EE4"/>
    <w:rsid w:val="008E13CD"/>
    <w:rsid w:val="008E2DED"/>
    <w:rsid w:val="008E4D10"/>
    <w:rsid w:val="008F1CA3"/>
    <w:rsid w:val="008F6A4A"/>
    <w:rsid w:val="00902E32"/>
    <w:rsid w:val="009116EA"/>
    <w:rsid w:val="00914742"/>
    <w:rsid w:val="00921365"/>
    <w:rsid w:val="00921A51"/>
    <w:rsid w:val="00925A2A"/>
    <w:rsid w:val="00927E9A"/>
    <w:rsid w:val="00930A11"/>
    <w:rsid w:val="00942F16"/>
    <w:rsid w:val="00943A59"/>
    <w:rsid w:val="00962CC7"/>
    <w:rsid w:val="0097530D"/>
    <w:rsid w:val="009814B0"/>
    <w:rsid w:val="009824E0"/>
    <w:rsid w:val="00991567"/>
    <w:rsid w:val="009966BF"/>
    <w:rsid w:val="009A3A13"/>
    <w:rsid w:val="009B646B"/>
    <w:rsid w:val="009B7FDD"/>
    <w:rsid w:val="009C0245"/>
    <w:rsid w:val="009C1D46"/>
    <w:rsid w:val="009D62A4"/>
    <w:rsid w:val="009E05F6"/>
    <w:rsid w:val="009E0DA1"/>
    <w:rsid w:val="009E545A"/>
    <w:rsid w:val="00A00ADB"/>
    <w:rsid w:val="00A0173F"/>
    <w:rsid w:val="00A053C8"/>
    <w:rsid w:val="00A1189D"/>
    <w:rsid w:val="00A1262C"/>
    <w:rsid w:val="00A15219"/>
    <w:rsid w:val="00A16525"/>
    <w:rsid w:val="00A2026B"/>
    <w:rsid w:val="00A2102D"/>
    <w:rsid w:val="00A24ACD"/>
    <w:rsid w:val="00A35493"/>
    <w:rsid w:val="00A452E3"/>
    <w:rsid w:val="00A50624"/>
    <w:rsid w:val="00A518F7"/>
    <w:rsid w:val="00A54DEA"/>
    <w:rsid w:val="00A618D1"/>
    <w:rsid w:val="00A666E1"/>
    <w:rsid w:val="00A66ADD"/>
    <w:rsid w:val="00A8163B"/>
    <w:rsid w:val="00A823BD"/>
    <w:rsid w:val="00A85DA6"/>
    <w:rsid w:val="00A940C5"/>
    <w:rsid w:val="00A9507E"/>
    <w:rsid w:val="00A9559B"/>
    <w:rsid w:val="00A978EF"/>
    <w:rsid w:val="00AA4685"/>
    <w:rsid w:val="00AA5B0D"/>
    <w:rsid w:val="00AA7607"/>
    <w:rsid w:val="00AB01AF"/>
    <w:rsid w:val="00AB1636"/>
    <w:rsid w:val="00AB55CB"/>
    <w:rsid w:val="00AB7E1E"/>
    <w:rsid w:val="00AC1216"/>
    <w:rsid w:val="00AC5B4C"/>
    <w:rsid w:val="00AD0A7D"/>
    <w:rsid w:val="00AD55F2"/>
    <w:rsid w:val="00AD66BD"/>
    <w:rsid w:val="00AE2E49"/>
    <w:rsid w:val="00AE4578"/>
    <w:rsid w:val="00AE6B61"/>
    <w:rsid w:val="00AF5C08"/>
    <w:rsid w:val="00B01CB4"/>
    <w:rsid w:val="00B02745"/>
    <w:rsid w:val="00B10A35"/>
    <w:rsid w:val="00B12CD8"/>
    <w:rsid w:val="00B250AB"/>
    <w:rsid w:val="00B257A4"/>
    <w:rsid w:val="00B2694C"/>
    <w:rsid w:val="00B34B72"/>
    <w:rsid w:val="00B367A2"/>
    <w:rsid w:val="00B45A5D"/>
    <w:rsid w:val="00B46438"/>
    <w:rsid w:val="00B468CE"/>
    <w:rsid w:val="00B47D23"/>
    <w:rsid w:val="00B52F63"/>
    <w:rsid w:val="00B6302C"/>
    <w:rsid w:val="00B706A0"/>
    <w:rsid w:val="00B70C15"/>
    <w:rsid w:val="00B7414F"/>
    <w:rsid w:val="00B76EF9"/>
    <w:rsid w:val="00B815E4"/>
    <w:rsid w:val="00B847C1"/>
    <w:rsid w:val="00B848D5"/>
    <w:rsid w:val="00B84F58"/>
    <w:rsid w:val="00B909CF"/>
    <w:rsid w:val="00B9271A"/>
    <w:rsid w:val="00BA5D9F"/>
    <w:rsid w:val="00BA65BB"/>
    <w:rsid w:val="00BA75B3"/>
    <w:rsid w:val="00BB0D70"/>
    <w:rsid w:val="00BB4E57"/>
    <w:rsid w:val="00BB7ED3"/>
    <w:rsid w:val="00BC480D"/>
    <w:rsid w:val="00BC7A2B"/>
    <w:rsid w:val="00BD3E51"/>
    <w:rsid w:val="00BE1D27"/>
    <w:rsid w:val="00BE3828"/>
    <w:rsid w:val="00BE4015"/>
    <w:rsid w:val="00BF078D"/>
    <w:rsid w:val="00BF1522"/>
    <w:rsid w:val="00BF3D12"/>
    <w:rsid w:val="00C01F2C"/>
    <w:rsid w:val="00C06696"/>
    <w:rsid w:val="00C074FC"/>
    <w:rsid w:val="00C11629"/>
    <w:rsid w:val="00C13001"/>
    <w:rsid w:val="00C16547"/>
    <w:rsid w:val="00C21CA5"/>
    <w:rsid w:val="00C242AF"/>
    <w:rsid w:val="00C343D3"/>
    <w:rsid w:val="00C36F3F"/>
    <w:rsid w:val="00C43885"/>
    <w:rsid w:val="00C512D1"/>
    <w:rsid w:val="00C534A1"/>
    <w:rsid w:val="00C559C1"/>
    <w:rsid w:val="00C60968"/>
    <w:rsid w:val="00C72A06"/>
    <w:rsid w:val="00C736AE"/>
    <w:rsid w:val="00C738BB"/>
    <w:rsid w:val="00C74B8A"/>
    <w:rsid w:val="00C87630"/>
    <w:rsid w:val="00C919E0"/>
    <w:rsid w:val="00C920EF"/>
    <w:rsid w:val="00CA0CF5"/>
    <w:rsid w:val="00CA1319"/>
    <w:rsid w:val="00CA1795"/>
    <w:rsid w:val="00CA33FA"/>
    <w:rsid w:val="00CA7F0E"/>
    <w:rsid w:val="00CC05A0"/>
    <w:rsid w:val="00CD2711"/>
    <w:rsid w:val="00CD408A"/>
    <w:rsid w:val="00CD5A39"/>
    <w:rsid w:val="00CF0801"/>
    <w:rsid w:val="00D07404"/>
    <w:rsid w:val="00D13428"/>
    <w:rsid w:val="00D227BE"/>
    <w:rsid w:val="00D2404A"/>
    <w:rsid w:val="00D245D7"/>
    <w:rsid w:val="00D27A89"/>
    <w:rsid w:val="00D3663F"/>
    <w:rsid w:val="00D37061"/>
    <w:rsid w:val="00D4015C"/>
    <w:rsid w:val="00D44A12"/>
    <w:rsid w:val="00D47728"/>
    <w:rsid w:val="00D635F3"/>
    <w:rsid w:val="00D65922"/>
    <w:rsid w:val="00D7253D"/>
    <w:rsid w:val="00D77587"/>
    <w:rsid w:val="00D80A62"/>
    <w:rsid w:val="00D812C7"/>
    <w:rsid w:val="00D81A45"/>
    <w:rsid w:val="00D83583"/>
    <w:rsid w:val="00D8546D"/>
    <w:rsid w:val="00D8584C"/>
    <w:rsid w:val="00D85D97"/>
    <w:rsid w:val="00D862FC"/>
    <w:rsid w:val="00D87D54"/>
    <w:rsid w:val="00DA1034"/>
    <w:rsid w:val="00DA59D0"/>
    <w:rsid w:val="00DA6F9C"/>
    <w:rsid w:val="00DB5A1F"/>
    <w:rsid w:val="00DC2141"/>
    <w:rsid w:val="00DC254E"/>
    <w:rsid w:val="00DC5A8F"/>
    <w:rsid w:val="00DD01A9"/>
    <w:rsid w:val="00DD40E3"/>
    <w:rsid w:val="00DD4CA2"/>
    <w:rsid w:val="00DE19E5"/>
    <w:rsid w:val="00DE365C"/>
    <w:rsid w:val="00DF4C84"/>
    <w:rsid w:val="00DF7966"/>
    <w:rsid w:val="00E03F08"/>
    <w:rsid w:val="00E07FDB"/>
    <w:rsid w:val="00E07FDF"/>
    <w:rsid w:val="00E14448"/>
    <w:rsid w:val="00E33DAE"/>
    <w:rsid w:val="00E33E50"/>
    <w:rsid w:val="00E41A30"/>
    <w:rsid w:val="00E5045D"/>
    <w:rsid w:val="00E66BA2"/>
    <w:rsid w:val="00E81E1C"/>
    <w:rsid w:val="00E828ED"/>
    <w:rsid w:val="00E8314C"/>
    <w:rsid w:val="00E87D24"/>
    <w:rsid w:val="00E87F6A"/>
    <w:rsid w:val="00E91539"/>
    <w:rsid w:val="00E93B3A"/>
    <w:rsid w:val="00EA42A4"/>
    <w:rsid w:val="00EA6BA4"/>
    <w:rsid w:val="00EA778B"/>
    <w:rsid w:val="00EB29A2"/>
    <w:rsid w:val="00EB4A97"/>
    <w:rsid w:val="00EC1D47"/>
    <w:rsid w:val="00EC71C1"/>
    <w:rsid w:val="00EC7370"/>
    <w:rsid w:val="00ED2AAB"/>
    <w:rsid w:val="00ED6520"/>
    <w:rsid w:val="00EE06F1"/>
    <w:rsid w:val="00EE0B5B"/>
    <w:rsid w:val="00EE1A08"/>
    <w:rsid w:val="00EE6D5C"/>
    <w:rsid w:val="00EE6E28"/>
    <w:rsid w:val="00EF568B"/>
    <w:rsid w:val="00F01242"/>
    <w:rsid w:val="00F01D3F"/>
    <w:rsid w:val="00F024B5"/>
    <w:rsid w:val="00F02521"/>
    <w:rsid w:val="00F0292A"/>
    <w:rsid w:val="00F05127"/>
    <w:rsid w:val="00F10D0C"/>
    <w:rsid w:val="00F235F1"/>
    <w:rsid w:val="00F30649"/>
    <w:rsid w:val="00F426E9"/>
    <w:rsid w:val="00F529A6"/>
    <w:rsid w:val="00F60461"/>
    <w:rsid w:val="00F63592"/>
    <w:rsid w:val="00F66790"/>
    <w:rsid w:val="00F67433"/>
    <w:rsid w:val="00F71BB9"/>
    <w:rsid w:val="00F726DE"/>
    <w:rsid w:val="00F76F66"/>
    <w:rsid w:val="00F828BE"/>
    <w:rsid w:val="00F83AA9"/>
    <w:rsid w:val="00F929E7"/>
    <w:rsid w:val="00F9649C"/>
    <w:rsid w:val="00FA49FE"/>
    <w:rsid w:val="00FA5533"/>
    <w:rsid w:val="00FA5E8D"/>
    <w:rsid w:val="00FA6037"/>
    <w:rsid w:val="00FB0084"/>
    <w:rsid w:val="00FB3F4B"/>
    <w:rsid w:val="00FB6175"/>
    <w:rsid w:val="00FC621C"/>
    <w:rsid w:val="00FD0D67"/>
    <w:rsid w:val="00FD748C"/>
    <w:rsid w:val="00FD7CB5"/>
    <w:rsid w:val="00FE725B"/>
    <w:rsid w:val="00FF1C92"/>
    <w:rsid w:val="00FF7C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648">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6561868">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4816510">
      <w:bodyDiv w:val="1"/>
      <w:marLeft w:val="0"/>
      <w:marRight w:val="0"/>
      <w:marTop w:val="0"/>
      <w:marBottom w:val="0"/>
      <w:divBdr>
        <w:top w:val="none" w:sz="0" w:space="0" w:color="auto"/>
        <w:left w:val="none" w:sz="0" w:space="0" w:color="auto"/>
        <w:bottom w:val="none" w:sz="0" w:space="0" w:color="auto"/>
        <w:right w:val="none" w:sz="0" w:space="0" w:color="auto"/>
      </w:divBdr>
    </w:div>
    <w:div w:id="60716227">
      <w:bodyDiv w:val="1"/>
      <w:marLeft w:val="0"/>
      <w:marRight w:val="0"/>
      <w:marTop w:val="0"/>
      <w:marBottom w:val="0"/>
      <w:divBdr>
        <w:top w:val="none" w:sz="0" w:space="0" w:color="auto"/>
        <w:left w:val="none" w:sz="0" w:space="0" w:color="auto"/>
        <w:bottom w:val="none" w:sz="0" w:space="0" w:color="auto"/>
        <w:right w:val="none" w:sz="0" w:space="0" w:color="auto"/>
      </w:divBdr>
    </w:div>
    <w:div w:id="61029250">
      <w:bodyDiv w:val="1"/>
      <w:marLeft w:val="0"/>
      <w:marRight w:val="0"/>
      <w:marTop w:val="0"/>
      <w:marBottom w:val="0"/>
      <w:divBdr>
        <w:top w:val="none" w:sz="0" w:space="0" w:color="auto"/>
        <w:left w:val="none" w:sz="0" w:space="0" w:color="auto"/>
        <w:bottom w:val="none" w:sz="0" w:space="0" w:color="auto"/>
        <w:right w:val="none" w:sz="0" w:space="0" w:color="auto"/>
      </w:divBdr>
    </w:div>
    <w:div w:id="6935551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801983">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060947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1311817">
      <w:bodyDiv w:val="1"/>
      <w:marLeft w:val="0"/>
      <w:marRight w:val="0"/>
      <w:marTop w:val="0"/>
      <w:marBottom w:val="0"/>
      <w:divBdr>
        <w:top w:val="none" w:sz="0" w:space="0" w:color="auto"/>
        <w:left w:val="none" w:sz="0" w:space="0" w:color="auto"/>
        <w:bottom w:val="none" w:sz="0" w:space="0" w:color="auto"/>
        <w:right w:val="none" w:sz="0" w:space="0" w:color="auto"/>
      </w:divBdr>
    </w:div>
    <w:div w:id="126167915">
      <w:bodyDiv w:val="1"/>
      <w:marLeft w:val="0"/>
      <w:marRight w:val="0"/>
      <w:marTop w:val="0"/>
      <w:marBottom w:val="0"/>
      <w:divBdr>
        <w:top w:val="none" w:sz="0" w:space="0" w:color="auto"/>
        <w:left w:val="none" w:sz="0" w:space="0" w:color="auto"/>
        <w:bottom w:val="none" w:sz="0" w:space="0" w:color="auto"/>
        <w:right w:val="none" w:sz="0" w:space="0" w:color="auto"/>
      </w:divBdr>
    </w:div>
    <w:div w:id="126363647">
      <w:bodyDiv w:val="1"/>
      <w:marLeft w:val="0"/>
      <w:marRight w:val="0"/>
      <w:marTop w:val="0"/>
      <w:marBottom w:val="0"/>
      <w:divBdr>
        <w:top w:val="none" w:sz="0" w:space="0" w:color="auto"/>
        <w:left w:val="none" w:sz="0" w:space="0" w:color="auto"/>
        <w:bottom w:val="none" w:sz="0" w:space="0" w:color="auto"/>
        <w:right w:val="none" w:sz="0" w:space="0" w:color="auto"/>
      </w:divBdr>
    </w:div>
    <w:div w:id="159394174">
      <w:bodyDiv w:val="1"/>
      <w:marLeft w:val="0"/>
      <w:marRight w:val="0"/>
      <w:marTop w:val="0"/>
      <w:marBottom w:val="0"/>
      <w:divBdr>
        <w:top w:val="none" w:sz="0" w:space="0" w:color="auto"/>
        <w:left w:val="none" w:sz="0" w:space="0" w:color="auto"/>
        <w:bottom w:val="none" w:sz="0" w:space="0" w:color="auto"/>
        <w:right w:val="none" w:sz="0" w:space="0" w:color="auto"/>
      </w:divBdr>
    </w:div>
    <w:div w:id="16085093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4829691">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8763353">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3661714">
      <w:bodyDiv w:val="1"/>
      <w:marLeft w:val="0"/>
      <w:marRight w:val="0"/>
      <w:marTop w:val="0"/>
      <w:marBottom w:val="0"/>
      <w:divBdr>
        <w:top w:val="none" w:sz="0" w:space="0" w:color="auto"/>
        <w:left w:val="none" w:sz="0" w:space="0" w:color="auto"/>
        <w:bottom w:val="none" w:sz="0" w:space="0" w:color="auto"/>
        <w:right w:val="none" w:sz="0" w:space="0" w:color="auto"/>
      </w:divBdr>
      <w:divsChild>
        <w:div w:id="149640960">
          <w:marLeft w:val="0"/>
          <w:marRight w:val="0"/>
          <w:marTop w:val="0"/>
          <w:marBottom w:val="0"/>
          <w:divBdr>
            <w:top w:val="none" w:sz="0" w:space="0" w:color="auto"/>
            <w:left w:val="none" w:sz="0" w:space="0" w:color="auto"/>
            <w:bottom w:val="none" w:sz="0" w:space="0" w:color="auto"/>
            <w:right w:val="none" w:sz="0" w:space="0" w:color="auto"/>
          </w:divBdr>
        </w:div>
        <w:div w:id="835878628">
          <w:marLeft w:val="0"/>
          <w:marRight w:val="0"/>
          <w:marTop w:val="0"/>
          <w:marBottom w:val="0"/>
          <w:divBdr>
            <w:top w:val="none" w:sz="0" w:space="0" w:color="auto"/>
            <w:left w:val="none" w:sz="0" w:space="0" w:color="auto"/>
            <w:bottom w:val="none" w:sz="0" w:space="0" w:color="auto"/>
            <w:right w:val="none" w:sz="0" w:space="0" w:color="auto"/>
          </w:divBdr>
        </w:div>
      </w:divsChild>
    </w:div>
    <w:div w:id="205027330">
      <w:bodyDiv w:val="1"/>
      <w:marLeft w:val="0"/>
      <w:marRight w:val="0"/>
      <w:marTop w:val="0"/>
      <w:marBottom w:val="0"/>
      <w:divBdr>
        <w:top w:val="none" w:sz="0" w:space="0" w:color="auto"/>
        <w:left w:val="none" w:sz="0" w:space="0" w:color="auto"/>
        <w:bottom w:val="none" w:sz="0" w:space="0" w:color="auto"/>
        <w:right w:val="none" w:sz="0" w:space="0" w:color="auto"/>
      </w:divBdr>
    </w:div>
    <w:div w:id="210385184">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9101318">
      <w:bodyDiv w:val="1"/>
      <w:marLeft w:val="0"/>
      <w:marRight w:val="0"/>
      <w:marTop w:val="0"/>
      <w:marBottom w:val="0"/>
      <w:divBdr>
        <w:top w:val="none" w:sz="0" w:space="0" w:color="auto"/>
        <w:left w:val="none" w:sz="0" w:space="0" w:color="auto"/>
        <w:bottom w:val="none" w:sz="0" w:space="0" w:color="auto"/>
        <w:right w:val="none" w:sz="0" w:space="0" w:color="auto"/>
      </w:divBdr>
    </w:div>
    <w:div w:id="224489842">
      <w:bodyDiv w:val="1"/>
      <w:marLeft w:val="0"/>
      <w:marRight w:val="0"/>
      <w:marTop w:val="0"/>
      <w:marBottom w:val="0"/>
      <w:divBdr>
        <w:top w:val="none" w:sz="0" w:space="0" w:color="auto"/>
        <w:left w:val="none" w:sz="0" w:space="0" w:color="auto"/>
        <w:bottom w:val="none" w:sz="0" w:space="0" w:color="auto"/>
        <w:right w:val="none" w:sz="0" w:space="0" w:color="auto"/>
      </w:divBdr>
    </w:div>
    <w:div w:id="234979052">
      <w:bodyDiv w:val="1"/>
      <w:marLeft w:val="0"/>
      <w:marRight w:val="0"/>
      <w:marTop w:val="0"/>
      <w:marBottom w:val="0"/>
      <w:divBdr>
        <w:top w:val="none" w:sz="0" w:space="0" w:color="auto"/>
        <w:left w:val="none" w:sz="0" w:space="0" w:color="auto"/>
        <w:bottom w:val="none" w:sz="0" w:space="0" w:color="auto"/>
        <w:right w:val="none" w:sz="0" w:space="0" w:color="auto"/>
      </w:divBdr>
    </w:div>
    <w:div w:id="235819820">
      <w:bodyDiv w:val="1"/>
      <w:marLeft w:val="0"/>
      <w:marRight w:val="0"/>
      <w:marTop w:val="0"/>
      <w:marBottom w:val="0"/>
      <w:divBdr>
        <w:top w:val="none" w:sz="0" w:space="0" w:color="auto"/>
        <w:left w:val="none" w:sz="0" w:space="0" w:color="auto"/>
        <w:bottom w:val="none" w:sz="0" w:space="0" w:color="auto"/>
        <w:right w:val="none" w:sz="0" w:space="0" w:color="auto"/>
      </w:divBdr>
      <w:divsChild>
        <w:div w:id="1254707880">
          <w:marLeft w:val="0"/>
          <w:marRight w:val="0"/>
          <w:marTop w:val="0"/>
          <w:marBottom w:val="0"/>
          <w:divBdr>
            <w:top w:val="none" w:sz="0" w:space="0" w:color="auto"/>
            <w:left w:val="none" w:sz="0" w:space="0" w:color="auto"/>
            <w:bottom w:val="none" w:sz="0" w:space="0" w:color="auto"/>
            <w:right w:val="none" w:sz="0" w:space="0" w:color="auto"/>
          </w:divBdr>
          <w:divsChild>
            <w:div w:id="1225410690">
              <w:marLeft w:val="0"/>
              <w:marRight w:val="0"/>
              <w:marTop w:val="0"/>
              <w:marBottom w:val="0"/>
              <w:divBdr>
                <w:top w:val="none" w:sz="0" w:space="0" w:color="auto"/>
                <w:left w:val="none" w:sz="0" w:space="0" w:color="auto"/>
                <w:bottom w:val="none" w:sz="0" w:space="0" w:color="auto"/>
                <w:right w:val="none" w:sz="0" w:space="0" w:color="auto"/>
              </w:divBdr>
              <w:divsChild>
                <w:div w:id="1442065389">
                  <w:marLeft w:val="0"/>
                  <w:marRight w:val="0"/>
                  <w:marTop w:val="0"/>
                  <w:marBottom w:val="0"/>
                  <w:divBdr>
                    <w:top w:val="none" w:sz="0" w:space="0" w:color="auto"/>
                    <w:left w:val="none" w:sz="0" w:space="0" w:color="auto"/>
                    <w:bottom w:val="none" w:sz="0" w:space="0" w:color="auto"/>
                    <w:right w:val="none" w:sz="0" w:space="0" w:color="auto"/>
                  </w:divBdr>
                  <w:divsChild>
                    <w:div w:id="294262965">
                      <w:marLeft w:val="0"/>
                      <w:marRight w:val="0"/>
                      <w:marTop w:val="0"/>
                      <w:marBottom w:val="0"/>
                      <w:divBdr>
                        <w:top w:val="none" w:sz="0" w:space="0" w:color="auto"/>
                        <w:left w:val="none" w:sz="0" w:space="0" w:color="auto"/>
                        <w:bottom w:val="none" w:sz="0" w:space="0" w:color="auto"/>
                        <w:right w:val="none" w:sz="0" w:space="0" w:color="auto"/>
                      </w:divBdr>
                      <w:divsChild>
                        <w:div w:id="745498962">
                          <w:marLeft w:val="0"/>
                          <w:marRight w:val="0"/>
                          <w:marTop w:val="0"/>
                          <w:marBottom w:val="0"/>
                          <w:divBdr>
                            <w:top w:val="none" w:sz="0" w:space="0" w:color="auto"/>
                            <w:left w:val="none" w:sz="0" w:space="0" w:color="auto"/>
                            <w:bottom w:val="none" w:sz="0" w:space="0" w:color="auto"/>
                            <w:right w:val="none" w:sz="0" w:space="0" w:color="auto"/>
                          </w:divBdr>
                          <w:divsChild>
                            <w:div w:id="1369916829">
                              <w:marLeft w:val="0"/>
                              <w:marRight w:val="0"/>
                              <w:marTop w:val="0"/>
                              <w:marBottom w:val="0"/>
                              <w:divBdr>
                                <w:top w:val="none" w:sz="0" w:space="0" w:color="auto"/>
                                <w:left w:val="none" w:sz="0" w:space="0" w:color="auto"/>
                                <w:bottom w:val="none" w:sz="0" w:space="0" w:color="auto"/>
                                <w:right w:val="none" w:sz="0" w:space="0" w:color="auto"/>
                              </w:divBdr>
                              <w:divsChild>
                                <w:div w:id="1813020122">
                                  <w:marLeft w:val="0"/>
                                  <w:marRight w:val="0"/>
                                  <w:marTop w:val="0"/>
                                  <w:marBottom w:val="0"/>
                                  <w:divBdr>
                                    <w:top w:val="none" w:sz="0" w:space="0" w:color="auto"/>
                                    <w:left w:val="none" w:sz="0" w:space="0" w:color="auto"/>
                                    <w:bottom w:val="none" w:sz="0" w:space="0" w:color="auto"/>
                                    <w:right w:val="none" w:sz="0" w:space="0" w:color="auto"/>
                                  </w:divBdr>
                                  <w:divsChild>
                                    <w:div w:id="7810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0314548">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2250441">
      <w:bodyDiv w:val="1"/>
      <w:marLeft w:val="0"/>
      <w:marRight w:val="0"/>
      <w:marTop w:val="0"/>
      <w:marBottom w:val="0"/>
      <w:divBdr>
        <w:top w:val="none" w:sz="0" w:space="0" w:color="auto"/>
        <w:left w:val="none" w:sz="0" w:space="0" w:color="auto"/>
        <w:bottom w:val="none" w:sz="0" w:space="0" w:color="auto"/>
        <w:right w:val="none" w:sz="0" w:space="0" w:color="auto"/>
      </w:divBdr>
    </w:div>
    <w:div w:id="259678105">
      <w:bodyDiv w:val="1"/>
      <w:marLeft w:val="0"/>
      <w:marRight w:val="0"/>
      <w:marTop w:val="0"/>
      <w:marBottom w:val="0"/>
      <w:divBdr>
        <w:top w:val="none" w:sz="0" w:space="0" w:color="auto"/>
        <w:left w:val="none" w:sz="0" w:space="0" w:color="auto"/>
        <w:bottom w:val="none" w:sz="0" w:space="0" w:color="auto"/>
        <w:right w:val="none" w:sz="0" w:space="0" w:color="auto"/>
      </w:divBdr>
    </w:div>
    <w:div w:id="294264052">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178392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832347">
      <w:bodyDiv w:val="1"/>
      <w:marLeft w:val="0"/>
      <w:marRight w:val="0"/>
      <w:marTop w:val="0"/>
      <w:marBottom w:val="0"/>
      <w:divBdr>
        <w:top w:val="none" w:sz="0" w:space="0" w:color="auto"/>
        <w:left w:val="none" w:sz="0" w:space="0" w:color="auto"/>
        <w:bottom w:val="none" w:sz="0" w:space="0" w:color="auto"/>
        <w:right w:val="none" w:sz="0" w:space="0" w:color="auto"/>
      </w:divBdr>
    </w:div>
    <w:div w:id="388383809">
      <w:bodyDiv w:val="1"/>
      <w:marLeft w:val="0"/>
      <w:marRight w:val="0"/>
      <w:marTop w:val="0"/>
      <w:marBottom w:val="0"/>
      <w:divBdr>
        <w:top w:val="none" w:sz="0" w:space="0" w:color="auto"/>
        <w:left w:val="none" w:sz="0" w:space="0" w:color="auto"/>
        <w:bottom w:val="none" w:sz="0" w:space="0" w:color="auto"/>
        <w:right w:val="none" w:sz="0" w:space="0" w:color="auto"/>
      </w:divBdr>
    </w:div>
    <w:div w:id="39401012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3041270">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0027504">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5808324">
      <w:bodyDiv w:val="1"/>
      <w:marLeft w:val="0"/>
      <w:marRight w:val="0"/>
      <w:marTop w:val="0"/>
      <w:marBottom w:val="0"/>
      <w:divBdr>
        <w:top w:val="none" w:sz="0" w:space="0" w:color="auto"/>
        <w:left w:val="none" w:sz="0" w:space="0" w:color="auto"/>
        <w:bottom w:val="none" w:sz="0" w:space="0" w:color="auto"/>
        <w:right w:val="none" w:sz="0" w:space="0" w:color="auto"/>
      </w:divBdr>
    </w:div>
    <w:div w:id="505747284">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3113245">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5063950">
      <w:bodyDiv w:val="1"/>
      <w:marLeft w:val="0"/>
      <w:marRight w:val="0"/>
      <w:marTop w:val="0"/>
      <w:marBottom w:val="0"/>
      <w:divBdr>
        <w:top w:val="none" w:sz="0" w:space="0" w:color="auto"/>
        <w:left w:val="none" w:sz="0" w:space="0" w:color="auto"/>
        <w:bottom w:val="none" w:sz="0" w:space="0" w:color="auto"/>
        <w:right w:val="none" w:sz="0" w:space="0" w:color="auto"/>
      </w:divBdr>
    </w:div>
    <w:div w:id="547645135">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2911116">
      <w:bodyDiv w:val="1"/>
      <w:marLeft w:val="0"/>
      <w:marRight w:val="0"/>
      <w:marTop w:val="0"/>
      <w:marBottom w:val="0"/>
      <w:divBdr>
        <w:top w:val="none" w:sz="0" w:space="0" w:color="auto"/>
        <w:left w:val="none" w:sz="0" w:space="0" w:color="auto"/>
        <w:bottom w:val="none" w:sz="0" w:space="0" w:color="auto"/>
        <w:right w:val="none" w:sz="0" w:space="0" w:color="auto"/>
      </w:divBdr>
    </w:div>
    <w:div w:id="56723074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0218052">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01450176">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5480332">
      <w:bodyDiv w:val="1"/>
      <w:marLeft w:val="0"/>
      <w:marRight w:val="0"/>
      <w:marTop w:val="0"/>
      <w:marBottom w:val="0"/>
      <w:divBdr>
        <w:top w:val="none" w:sz="0" w:space="0" w:color="auto"/>
        <w:left w:val="none" w:sz="0" w:space="0" w:color="auto"/>
        <w:bottom w:val="none" w:sz="0" w:space="0" w:color="auto"/>
        <w:right w:val="none" w:sz="0" w:space="0" w:color="auto"/>
      </w:divBdr>
    </w:div>
    <w:div w:id="622417621">
      <w:bodyDiv w:val="1"/>
      <w:marLeft w:val="0"/>
      <w:marRight w:val="0"/>
      <w:marTop w:val="0"/>
      <w:marBottom w:val="0"/>
      <w:divBdr>
        <w:top w:val="none" w:sz="0" w:space="0" w:color="auto"/>
        <w:left w:val="none" w:sz="0" w:space="0" w:color="auto"/>
        <w:bottom w:val="none" w:sz="0" w:space="0" w:color="auto"/>
        <w:right w:val="none" w:sz="0" w:space="0" w:color="auto"/>
      </w:divBdr>
    </w:div>
    <w:div w:id="659239648">
      <w:bodyDiv w:val="1"/>
      <w:marLeft w:val="0"/>
      <w:marRight w:val="0"/>
      <w:marTop w:val="0"/>
      <w:marBottom w:val="0"/>
      <w:divBdr>
        <w:top w:val="none" w:sz="0" w:space="0" w:color="auto"/>
        <w:left w:val="none" w:sz="0" w:space="0" w:color="auto"/>
        <w:bottom w:val="none" w:sz="0" w:space="0" w:color="auto"/>
        <w:right w:val="none" w:sz="0" w:space="0" w:color="auto"/>
      </w:divBdr>
    </w:div>
    <w:div w:id="680012209">
      <w:bodyDiv w:val="1"/>
      <w:marLeft w:val="0"/>
      <w:marRight w:val="0"/>
      <w:marTop w:val="0"/>
      <w:marBottom w:val="0"/>
      <w:divBdr>
        <w:top w:val="none" w:sz="0" w:space="0" w:color="auto"/>
        <w:left w:val="none" w:sz="0" w:space="0" w:color="auto"/>
        <w:bottom w:val="none" w:sz="0" w:space="0" w:color="auto"/>
        <w:right w:val="none" w:sz="0" w:space="0" w:color="auto"/>
      </w:divBdr>
    </w:div>
    <w:div w:id="68794788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696465130">
      <w:bodyDiv w:val="1"/>
      <w:marLeft w:val="0"/>
      <w:marRight w:val="0"/>
      <w:marTop w:val="0"/>
      <w:marBottom w:val="0"/>
      <w:divBdr>
        <w:top w:val="none" w:sz="0" w:space="0" w:color="auto"/>
        <w:left w:val="none" w:sz="0" w:space="0" w:color="auto"/>
        <w:bottom w:val="none" w:sz="0" w:space="0" w:color="auto"/>
        <w:right w:val="none" w:sz="0" w:space="0" w:color="auto"/>
      </w:divBdr>
    </w:div>
    <w:div w:id="703753362">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4155892">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7771030">
      <w:bodyDiv w:val="1"/>
      <w:marLeft w:val="0"/>
      <w:marRight w:val="0"/>
      <w:marTop w:val="0"/>
      <w:marBottom w:val="0"/>
      <w:divBdr>
        <w:top w:val="none" w:sz="0" w:space="0" w:color="auto"/>
        <w:left w:val="none" w:sz="0" w:space="0" w:color="auto"/>
        <w:bottom w:val="none" w:sz="0" w:space="0" w:color="auto"/>
        <w:right w:val="none" w:sz="0" w:space="0" w:color="auto"/>
      </w:divBdr>
    </w:div>
    <w:div w:id="755128039">
      <w:bodyDiv w:val="1"/>
      <w:marLeft w:val="0"/>
      <w:marRight w:val="0"/>
      <w:marTop w:val="0"/>
      <w:marBottom w:val="0"/>
      <w:divBdr>
        <w:top w:val="none" w:sz="0" w:space="0" w:color="auto"/>
        <w:left w:val="none" w:sz="0" w:space="0" w:color="auto"/>
        <w:bottom w:val="none" w:sz="0" w:space="0" w:color="auto"/>
        <w:right w:val="none" w:sz="0" w:space="0" w:color="auto"/>
      </w:divBdr>
    </w:div>
    <w:div w:id="76384298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1996806">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53805946">
      <w:bodyDiv w:val="1"/>
      <w:marLeft w:val="0"/>
      <w:marRight w:val="0"/>
      <w:marTop w:val="0"/>
      <w:marBottom w:val="0"/>
      <w:divBdr>
        <w:top w:val="none" w:sz="0" w:space="0" w:color="auto"/>
        <w:left w:val="none" w:sz="0" w:space="0" w:color="auto"/>
        <w:bottom w:val="none" w:sz="0" w:space="0" w:color="auto"/>
        <w:right w:val="none" w:sz="0" w:space="0" w:color="auto"/>
      </w:divBdr>
      <w:divsChild>
        <w:div w:id="176506199">
          <w:marLeft w:val="0"/>
          <w:marRight w:val="0"/>
          <w:marTop w:val="0"/>
          <w:marBottom w:val="0"/>
          <w:divBdr>
            <w:top w:val="none" w:sz="0" w:space="0" w:color="auto"/>
            <w:left w:val="none" w:sz="0" w:space="0" w:color="auto"/>
            <w:bottom w:val="none" w:sz="0" w:space="0" w:color="auto"/>
            <w:right w:val="none" w:sz="0" w:space="0" w:color="auto"/>
          </w:divBdr>
          <w:divsChild>
            <w:div w:id="1929189948">
              <w:marLeft w:val="0"/>
              <w:marRight w:val="0"/>
              <w:marTop w:val="0"/>
              <w:marBottom w:val="0"/>
              <w:divBdr>
                <w:top w:val="none" w:sz="0" w:space="0" w:color="auto"/>
                <w:left w:val="none" w:sz="0" w:space="0" w:color="auto"/>
                <w:bottom w:val="none" w:sz="0" w:space="0" w:color="auto"/>
                <w:right w:val="none" w:sz="0" w:space="0" w:color="auto"/>
              </w:divBdr>
              <w:divsChild>
                <w:div w:id="1767574462">
                  <w:marLeft w:val="0"/>
                  <w:marRight w:val="0"/>
                  <w:marTop w:val="0"/>
                  <w:marBottom w:val="0"/>
                  <w:divBdr>
                    <w:top w:val="none" w:sz="0" w:space="0" w:color="auto"/>
                    <w:left w:val="none" w:sz="0" w:space="0" w:color="auto"/>
                    <w:bottom w:val="none" w:sz="0" w:space="0" w:color="auto"/>
                    <w:right w:val="none" w:sz="0" w:space="0" w:color="auto"/>
                  </w:divBdr>
                  <w:divsChild>
                    <w:div w:id="1968655615">
                      <w:marLeft w:val="0"/>
                      <w:marRight w:val="0"/>
                      <w:marTop w:val="0"/>
                      <w:marBottom w:val="0"/>
                      <w:divBdr>
                        <w:top w:val="none" w:sz="0" w:space="0" w:color="auto"/>
                        <w:left w:val="none" w:sz="0" w:space="0" w:color="auto"/>
                        <w:bottom w:val="none" w:sz="0" w:space="0" w:color="auto"/>
                        <w:right w:val="none" w:sz="0" w:space="0" w:color="auto"/>
                      </w:divBdr>
                      <w:divsChild>
                        <w:div w:id="807825542">
                          <w:marLeft w:val="0"/>
                          <w:marRight w:val="0"/>
                          <w:marTop w:val="0"/>
                          <w:marBottom w:val="0"/>
                          <w:divBdr>
                            <w:top w:val="none" w:sz="0" w:space="0" w:color="auto"/>
                            <w:left w:val="none" w:sz="0" w:space="0" w:color="auto"/>
                            <w:bottom w:val="none" w:sz="0" w:space="0" w:color="auto"/>
                            <w:right w:val="none" w:sz="0" w:space="0" w:color="auto"/>
                          </w:divBdr>
                          <w:divsChild>
                            <w:div w:id="30347693">
                              <w:marLeft w:val="0"/>
                              <w:marRight w:val="0"/>
                              <w:marTop w:val="0"/>
                              <w:marBottom w:val="0"/>
                              <w:divBdr>
                                <w:top w:val="none" w:sz="0" w:space="0" w:color="auto"/>
                                <w:left w:val="none" w:sz="0" w:space="0" w:color="auto"/>
                                <w:bottom w:val="none" w:sz="0" w:space="0" w:color="auto"/>
                                <w:right w:val="none" w:sz="0" w:space="0" w:color="auto"/>
                              </w:divBdr>
                              <w:divsChild>
                                <w:div w:id="1280187491">
                                  <w:marLeft w:val="0"/>
                                  <w:marRight w:val="0"/>
                                  <w:marTop w:val="0"/>
                                  <w:marBottom w:val="0"/>
                                  <w:divBdr>
                                    <w:top w:val="none" w:sz="0" w:space="0" w:color="auto"/>
                                    <w:left w:val="none" w:sz="0" w:space="0" w:color="auto"/>
                                    <w:bottom w:val="none" w:sz="0" w:space="0" w:color="auto"/>
                                    <w:right w:val="none" w:sz="0" w:space="0" w:color="auto"/>
                                  </w:divBdr>
                                  <w:divsChild>
                                    <w:div w:id="11785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4825803">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0091663">
      <w:bodyDiv w:val="1"/>
      <w:marLeft w:val="0"/>
      <w:marRight w:val="0"/>
      <w:marTop w:val="0"/>
      <w:marBottom w:val="0"/>
      <w:divBdr>
        <w:top w:val="none" w:sz="0" w:space="0" w:color="auto"/>
        <w:left w:val="none" w:sz="0" w:space="0" w:color="auto"/>
        <w:bottom w:val="none" w:sz="0" w:space="0" w:color="auto"/>
        <w:right w:val="none" w:sz="0" w:space="0" w:color="auto"/>
      </w:divBdr>
    </w:div>
    <w:div w:id="886599951">
      <w:bodyDiv w:val="1"/>
      <w:marLeft w:val="0"/>
      <w:marRight w:val="0"/>
      <w:marTop w:val="0"/>
      <w:marBottom w:val="0"/>
      <w:divBdr>
        <w:top w:val="none" w:sz="0" w:space="0" w:color="auto"/>
        <w:left w:val="none" w:sz="0" w:space="0" w:color="auto"/>
        <w:bottom w:val="none" w:sz="0" w:space="0" w:color="auto"/>
        <w:right w:val="none" w:sz="0" w:space="0" w:color="auto"/>
      </w:divBdr>
    </w:div>
    <w:div w:id="899368554">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9601462">
      <w:bodyDiv w:val="1"/>
      <w:marLeft w:val="0"/>
      <w:marRight w:val="0"/>
      <w:marTop w:val="0"/>
      <w:marBottom w:val="0"/>
      <w:divBdr>
        <w:top w:val="none" w:sz="0" w:space="0" w:color="auto"/>
        <w:left w:val="none" w:sz="0" w:space="0" w:color="auto"/>
        <w:bottom w:val="none" w:sz="0" w:space="0" w:color="auto"/>
        <w:right w:val="none" w:sz="0" w:space="0" w:color="auto"/>
      </w:divBdr>
    </w:div>
    <w:div w:id="922496354">
      <w:bodyDiv w:val="1"/>
      <w:marLeft w:val="0"/>
      <w:marRight w:val="0"/>
      <w:marTop w:val="0"/>
      <w:marBottom w:val="0"/>
      <w:divBdr>
        <w:top w:val="none" w:sz="0" w:space="0" w:color="auto"/>
        <w:left w:val="none" w:sz="0" w:space="0" w:color="auto"/>
        <w:bottom w:val="none" w:sz="0" w:space="0" w:color="auto"/>
        <w:right w:val="none" w:sz="0" w:space="0" w:color="auto"/>
      </w:divBdr>
    </w:div>
    <w:div w:id="933828377">
      <w:bodyDiv w:val="1"/>
      <w:marLeft w:val="0"/>
      <w:marRight w:val="0"/>
      <w:marTop w:val="0"/>
      <w:marBottom w:val="0"/>
      <w:divBdr>
        <w:top w:val="none" w:sz="0" w:space="0" w:color="auto"/>
        <w:left w:val="none" w:sz="0" w:space="0" w:color="auto"/>
        <w:bottom w:val="none" w:sz="0" w:space="0" w:color="auto"/>
        <w:right w:val="none" w:sz="0" w:space="0" w:color="auto"/>
      </w:divBdr>
    </w:div>
    <w:div w:id="935744884">
      <w:bodyDiv w:val="1"/>
      <w:marLeft w:val="0"/>
      <w:marRight w:val="0"/>
      <w:marTop w:val="0"/>
      <w:marBottom w:val="0"/>
      <w:divBdr>
        <w:top w:val="none" w:sz="0" w:space="0" w:color="auto"/>
        <w:left w:val="none" w:sz="0" w:space="0" w:color="auto"/>
        <w:bottom w:val="none" w:sz="0" w:space="0" w:color="auto"/>
        <w:right w:val="none" w:sz="0" w:space="0" w:color="auto"/>
      </w:divBdr>
    </w:div>
    <w:div w:id="93710316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2881531">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8093795">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65567966">
      <w:bodyDiv w:val="1"/>
      <w:marLeft w:val="0"/>
      <w:marRight w:val="0"/>
      <w:marTop w:val="0"/>
      <w:marBottom w:val="0"/>
      <w:divBdr>
        <w:top w:val="none" w:sz="0" w:space="0" w:color="auto"/>
        <w:left w:val="none" w:sz="0" w:space="0" w:color="auto"/>
        <w:bottom w:val="none" w:sz="0" w:space="0" w:color="auto"/>
        <w:right w:val="none" w:sz="0" w:space="0" w:color="auto"/>
      </w:divBdr>
    </w:div>
    <w:div w:id="1068453901">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158410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862687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38231215">
      <w:bodyDiv w:val="1"/>
      <w:marLeft w:val="0"/>
      <w:marRight w:val="0"/>
      <w:marTop w:val="0"/>
      <w:marBottom w:val="0"/>
      <w:divBdr>
        <w:top w:val="none" w:sz="0" w:space="0" w:color="auto"/>
        <w:left w:val="none" w:sz="0" w:space="0" w:color="auto"/>
        <w:bottom w:val="none" w:sz="0" w:space="0" w:color="auto"/>
        <w:right w:val="none" w:sz="0" w:space="0" w:color="auto"/>
      </w:divBdr>
      <w:divsChild>
        <w:div w:id="2126776230">
          <w:marLeft w:val="0"/>
          <w:marRight w:val="0"/>
          <w:marTop w:val="0"/>
          <w:marBottom w:val="0"/>
          <w:divBdr>
            <w:top w:val="none" w:sz="0" w:space="0" w:color="auto"/>
            <w:left w:val="none" w:sz="0" w:space="0" w:color="auto"/>
            <w:bottom w:val="none" w:sz="0" w:space="0" w:color="auto"/>
            <w:right w:val="none" w:sz="0" w:space="0" w:color="auto"/>
          </w:divBdr>
        </w:div>
        <w:div w:id="1705641662">
          <w:marLeft w:val="0"/>
          <w:marRight w:val="0"/>
          <w:marTop w:val="0"/>
          <w:marBottom w:val="0"/>
          <w:divBdr>
            <w:top w:val="none" w:sz="0" w:space="0" w:color="auto"/>
            <w:left w:val="none" w:sz="0" w:space="0" w:color="auto"/>
            <w:bottom w:val="none" w:sz="0" w:space="0" w:color="auto"/>
            <w:right w:val="none" w:sz="0" w:space="0" w:color="auto"/>
          </w:divBdr>
        </w:div>
      </w:divsChild>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5904060">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16545572">
      <w:bodyDiv w:val="1"/>
      <w:marLeft w:val="0"/>
      <w:marRight w:val="0"/>
      <w:marTop w:val="0"/>
      <w:marBottom w:val="0"/>
      <w:divBdr>
        <w:top w:val="none" w:sz="0" w:space="0" w:color="auto"/>
        <w:left w:val="none" w:sz="0" w:space="0" w:color="auto"/>
        <w:bottom w:val="none" w:sz="0" w:space="0" w:color="auto"/>
        <w:right w:val="none" w:sz="0" w:space="0" w:color="auto"/>
      </w:divBdr>
    </w:div>
    <w:div w:id="1218973669">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27716949">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3705793">
      <w:bodyDiv w:val="1"/>
      <w:marLeft w:val="0"/>
      <w:marRight w:val="0"/>
      <w:marTop w:val="0"/>
      <w:marBottom w:val="0"/>
      <w:divBdr>
        <w:top w:val="none" w:sz="0" w:space="0" w:color="auto"/>
        <w:left w:val="none" w:sz="0" w:space="0" w:color="auto"/>
        <w:bottom w:val="none" w:sz="0" w:space="0" w:color="auto"/>
        <w:right w:val="none" w:sz="0" w:space="0" w:color="auto"/>
      </w:divBdr>
    </w:div>
    <w:div w:id="1311638811">
      <w:bodyDiv w:val="1"/>
      <w:marLeft w:val="0"/>
      <w:marRight w:val="0"/>
      <w:marTop w:val="0"/>
      <w:marBottom w:val="0"/>
      <w:divBdr>
        <w:top w:val="none" w:sz="0" w:space="0" w:color="auto"/>
        <w:left w:val="none" w:sz="0" w:space="0" w:color="auto"/>
        <w:bottom w:val="none" w:sz="0" w:space="0" w:color="auto"/>
        <w:right w:val="none" w:sz="0" w:space="0" w:color="auto"/>
      </w:divBdr>
    </w:div>
    <w:div w:id="1318848733">
      <w:bodyDiv w:val="1"/>
      <w:marLeft w:val="0"/>
      <w:marRight w:val="0"/>
      <w:marTop w:val="0"/>
      <w:marBottom w:val="0"/>
      <w:divBdr>
        <w:top w:val="none" w:sz="0" w:space="0" w:color="auto"/>
        <w:left w:val="none" w:sz="0" w:space="0" w:color="auto"/>
        <w:bottom w:val="none" w:sz="0" w:space="0" w:color="auto"/>
        <w:right w:val="none" w:sz="0" w:space="0" w:color="auto"/>
      </w:divBdr>
    </w:div>
    <w:div w:id="1319731198">
      <w:bodyDiv w:val="1"/>
      <w:marLeft w:val="0"/>
      <w:marRight w:val="0"/>
      <w:marTop w:val="0"/>
      <w:marBottom w:val="0"/>
      <w:divBdr>
        <w:top w:val="none" w:sz="0" w:space="0" w:color="auto"/>
        <w:left w:val="none" w:sz="0" w:space="0" w:color="auto"/>
        <w:bottom w:val="none" w:sz="0" w:space="0" w:color="auto"/>
        <w:right w:val="none" w:sz="0" w:space="0" w:color="auto"/>
      </w:divBdr>
    </w:div>
    <w:div w:id="132004215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581858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5838500">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4035732">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7610850">
      <w:bodyDiv w:val="1"/>
      <w:marLeft w:val="0"/>
      <w:marRight w:val="0"/>
      <w:marTop w:val="0"/>
      <w:marBottom w:val="0"/>
      <w:divBdr>
        <w:top w:val="none" w:sz="0" w:space="0" w:color="auto"/>
        <w:left w:val="none" w:sz="0" w:space="0" w:color="auto"/>
        <w:bottom w:val="none" w:sz="0" w:space="0" w:color="auto"/>
        <w:right w:val="none" w:sz="0" w:space="0" w:color="auto"/>
      </w:divBdr>
    </w:div>
    <w:div w:id="1401055768">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3668281">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4785625">
      <w:bodyDiv w:val="1"/>
      <w:marLeft w:val="0"/>
      <w:marRight w:val="0"/>
      <w:marTop w:val="0"/>
      <w:marBottom w:val="0"/>
      <w:divBdr>
        <w:top w:val="none" w:sz="0" w:space="0" w:color="auto"/>
        <w:left w:val="none" w:sz="0" w:space="0" w:color="auto"/>
        <w:bottom w:val="none" w:sz="0" w:space="0" w:color="auto"/>
        <w:right w:val="none" w:sz="0" w:space="0" w:color="auto"/>
      </w:divBdr>
    </w:div>
    <w:div w:id="1468622991">
      <w:bodyDiv w:val="1"/>
      <w:marLeft w:val="0"/>
      <w:marRight w:val="0"/>
      <w:marTop w:val="0"/>
      <w:marBottom w:val="0"/>
      <w:divBdr>
        <w:top w:val="none" w:sz="0" w:space="0" w:color="auto"/>
        <w:left w:val="none" w:sz="0" w:space="0" w:color="auto"/>
        <w:bottom w:val="none" w:sz="0" w:space="0" w:color="auto"/>
        <w:right w:val="none" w:sz="0" w:space="0" w:color="auto"/>
      </w:divBdr>
    </w:div>
    <w:div w:id="1474131333">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5393937">
      <w:bodyDiv w:val="1"/>
      <w:marLeft w:val="0"/>
      <w:marRight w:val="0"/>
      <w:marTop w:val="0"/>
      <w:marBottom w:val="0"/>
      <w:divBdr>
        <w:top w:val="none" w:sz="0" w:space="0" w:color="auto"/>
        <w:left w:val="none" w:sz="0" w:space="0" w:color="auto"/>
        <w:bottom w:val="none" w:sz="0" w:space="0" w:color="auto"/>
        <w:right w:val="none" w:sz="0" w:space="0" w:color="auto"/>
      </w:divBdr>
    </w:div>
    <w:div w:id="1486126963">
      <w:bodyDiv w:val="1"/>
      <w:marLeft w:val="0"/>
      <w:marRight w:val="0"/>
      <w:marTop w:val="0"/>
      <w:marBottom w:val="0"/>
      <w:divBdr>
        <w:top w:val="none" w:sz="0" w:space="0" w:color="auto"/>
        <w:left w:val="none" w:sz="0" w:space="0" w:color="auto"/>
        <w:bottom w:val="none" w:sz="0" w:space="0" w:color="auto"/>
        <w:right w:val="none" w:sz="0" w:space="0" w:color="auto"/>
      </w:divBdr>
    </w:div>
    <w:div w:id="1490637256">
      <w:bodyDiv w:val="1"/>
      <w:marLeft w:val="0"/>
      <w:marRight w:val="0"/>
      <w:marTop w:val="0"/>
      <w:marBottom w:val="0"/>
      <w:divBdr>
        <w:top w:val="none" w:sz="0" w:space="0" w:color="auto"/>
        <w:left w:val="none" w:sz="0" w:space="0" w:color="auto"/>
        <w:bottom w:val="none" w:sz="0" w:space="0" w:color="auto"/>
        <w:right w:val="none" w:sz="0" w:space="0" w:color="auto"/>
      </w:divBdr>
    </w:div>
    <w:div w:id="1494295699">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12378643">
      <w:bodyDiv w:val="1"/>
      <w:marLeft w:val="0"/>
      <w:marRight w:val="0"/>
      <w:marTop w:val="0"/>
      <w:marBottom w:val="0"/>
      <w:divBdr>
        <w:top w:val="none" w:sz="0" w:space="0" w:color="auto"/>
        <w:left w:val="none" w:sz="0" w:space="0" w:color="auto"/>
        <w:bottom w:val="none" w:sz="0" w:space="0" w:color="auto"/>
        <w:right w:val="none" w:sz="0" w:space="0" w:color="auto"/>
      </w:divBdr>
    </w:div>
    <w:div w:id="1534264231">
      <w:bodyDiv w:val="1"/>
      <w:marLeft w:val="0"/>
      <w:marRight w:val="0"/>
      <w:marTop w:val="0"/>
      <w:marBottom w:val="0"/>
      <w:divBdr>
        <w:top w:val="none" w:sz="0" w:space="0" w:color="auto"/>
        <w:left w:val="none" w:sz="0" w:space="0" w:color="auto"/>
        <w:bottom w:val="none" w:sz="0" w:space="0" w:color="auto"/>
        <w:right w:val="none" w:sz="0" w:space="0" w:color="auto"/>
      </w:divBdr>
    </w:div>
    <w:div w:id="153873454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5235664">
      <w:bodyDiv w:val="1"/>
      <w:marLeft w:val="0"/>
      <w:marRight w:val="0"/>
      <w:marTop w:val="0"/>
      <w:marBottom w:val="0"/>
      <w:divBdr>
        <w:top w:val="none" w:sz="0" w:space="0" w:color="auto"/>
        <w:left w:val="none" w:sz="0" w:space="0" w:color="auto"/>
        <w:bottom w:val="none" w:sz="0" w:space="0" w:color="auto"/>
        <w:right w:val="none" w:sz="0" w:space="0" w:color="auto"/>
      </w:divBdr>
    </w:div>
    <w:div w:id="1578704291">
      <w:bodyDiv w:val="1"/>
      <w:marLeft w:val="0"/>
      <w:marRight w:val="0"/>
      <w:marTop w:val="0"/>
      <w:marBottom w:val="0"/>
      <w:divBdr>
        <w:top w:val="none" w:sz="0" w:space="0" w:color="auto"/>
        <w:left w:val="none" w:sz="0" w:space="0" w:color="auto"/>
        <w:bottom w:val="none" w:sz="0" w:space="0" w:color="auto"/>
        <w:right w:val="none" w:sz="0" w:space="0" w:color="auto"/>
      </w:divBdr>
    </w:div>
    <w:div w:id="1602372788">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5016258">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8116695">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2828068">
      <w:bodyDiv w:val="1"/>
      <w:marLeft w:val="0"/>
      <w:marRight w:val="0"/>
      <w:marTop w:val="0"/>
      <w:marBottom w:val="0"/>
      <w:divBdr>
        <w:top w:val="none" w:sz="0" w:space="0" w:color="auto"/>
        <w:left w:val="none" w:sz="0" w:space="0" w:color="auto"/>
        <w:bottom w:val="none" w:sz="0" w:space="0" w:color="auto"/>
        <w:right w:val="none" w:sz="0" w:space="0" w:color="auto"/>
      </w:divBdr>
    </w:div>
    <w:div w:id="1749958891">
      <w:bodyDiv w:val="1"/>
      <w:marLeft w:val="0"/>
      <w:marRight w:val="0"/>
      <w:marTop w:val="0"/>
      <w:marBottom w:val="0"/>
      <w:divBdr>
        <w:top w:val="none" w:sz="0" w:space="0" w:color="auto"/>
        <w:left w:val="none" w:sz="0" w:space="0" w:color="auto"/>
        <w:bottom w:val="none" w:sz="0" w:space="0" w:color="auto"/>
        <w:right w:val="none" w:sz="0" w:space="0" w:color="auto"/>
      </w:divBdr>
    </w:div>
    <w:div w:id="175396364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0588359">
      <w:bodyDiv w:val="1"/>
      <w:marLeft w:val="0"/>
      <w:marRight w:val="0"/>
      <w:marTop w:val="0"/>
      <w:marBottom w:val="0"/>
      <w:divBdr>
        <w:top w:val="none" w:sz="0" w:space="0" w:color="auto"/>
        <w:left w:val="none" w:sz="0" w:space="0" w:color="auto"/>
        <w:bottom w:val="none" w:sz="0" w:space="0" w:color="auto"/>
        <w:right w:val="none" w:sz="0" w:space="0" w:color="auto"/>
      </w:divBdr>
    </w:div>
    <w:div w:id="1805734306">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7108906">
      <w:bodyDiv w:val="1"/>
      <w:marLeft w:val="0"/>
      <w:marRight w:val="0"/>
      <w:marTop w:val="0"/>
      <w:marBottom w:val="0"/>
      <w:divBdr>
        <w:top w:val="none" w:sz="0" w:space="0" w:color="auto"/>
        <w:left w:val="none" w:sz="0" w:space="0" w:color="auto"/>
        <w:bottom w:val="none" w:sz="0" w:space="0" w:color="auto"/>
        <w:right w:val="none" w:sz="0" w:space="0" w:color="auto"/>
      </w:divBdr>
    </w:div>
    <w:div w:id="1841768584">
      <w:bodyDiv w:val="1"/>
      <w:marLeft w:val="0"/>
      <w:marRight w:val="0"/>
      <w:marTop w:val="0"/>
      <w:marBottom w:val="0"/>
      <w:divBdr>
        <w:top w:val="none" w:sz="0" w:space="0" w:color="auto"/>
        <w:left w:val="none" w:sz="0" w:space="0" w:color="auto"/>
        <w:bottom w:val="none" w:sz="0" w:space="0" w:color="auto"/>
        <w:right w:val="none" w:sz="0" w:space="0" w:color="auto"/>
      </w:divBdr>
    </w:div>
    <w:div w:id="1846749629">
      <w:bodyDiv w:val="1"/>
      <w:marLeft w:val="0"/>
      <w:marRight w:val="0"/>
      <w:marTop w:val="0"/>
      <w:marBottom w:val="0"/>
      <w:divBdr>
        <w:top w:val="none" w:sz="0" w:space="0" w:color="auto"/>
        <w:left w:val="none" w:sz="0" w:space="0" w:color="auto"/>
        <w:bottom w:val="none" w:sz="0" w:space="0" w:color="auto"/>
        <w:right w:val="none" w:sz="0" w:space="0" w:color="auto"/>
      </w:divBdr>
    </w:div>
    <w:div w:id="1850631672">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0752866">
      <w:bodyDiv w:val="1"/>
      <w:marLeft w:val="0"/>
      <w:marRight w:val="0"/>
      <w:marTop w:val="0"/>
      <w:marBottom w:val="0"/>
      <w:divBdr>
        <w:top w:val="none" w:sz="0" w:space="0" w:color="auto"/>
        <w:left w:val="none" w:sz="0" w:space="0" w:color="auto"/>
        <w:bottom w:val="none" w:sz="0" w:space="0" w:color="auto"/>
        <w:right w:val="none" w:sz="0" w:space="0" w:color="auto"/>
      </w:divBdr>
    </w:div>
    <w:div w:id="1880556687">
      <w:bodyDiv w:val="1"/>
      <w:marLeft w:val="0"/>
      <w:marRight w:val="0"/>
      <w:marTop w:val="0"/>
      <w:marBottom w:val="0"/>
      <w:divBdr>
        <w:top w:val="none" w:sz="0" w:space="0" w:color="auto"/>
        <w:left w:val="none" w:sz="0" w:space="0" w:color="auto"/>
        <w:bottom w:val="none" w:sz="0" w:space="0" w:color="auto"/>
        <w:right w:val="none" w:sz="0" w:space="0" w:color="auto"/>
      </w:divBdr>
    </w:div>
    <w:div w:id="1914389836">
      <w:bodyDiv w:val="1"/>
      <w:marLeft w:val="0"/>
      <w:marRight w:val="0"/>
      <w:marTop w:val="0"/>
      <w:marBottom w:val="0"/>
      <w:divBdr>
        <w:top w:val="none" w:sz="0" w:space="0" w:color="auto"/>
        <w:left w:val="none" w:sz="0" w:space="0" w:color="auto"/>
        <w:bottom w:val="none" w:sz="0" w:space="0" w:color="auto"/>
        <w:right w:val="none" w:sz="0" w:space="0" w:color="auto"/>
      </w:divBdr>
    </w:div>
    <w:div w:id="1915819146">
      <w:bodyDiv w:val="1"/>
      <w:marLeft w:val="0"/>
      <w:marRight w:val="0"/>
      <w:marTop w:val="0"/>
      <w:marBottom w:val="0"/>
      <w:divBdr>
        <w:top w:val="none" w:sz="0" w:space="0" w:color="auto"/>
        <w:left w:val="none" w:sz="0" w:space="0" w:color="auto"/>
        <w:bottom w:val="none" w:sz="0" w:space="0" w:color="auto"/>
        <w:right w:val="none" w:sz="0" w:space="0" w:color="auto"/>
      </w:divBdr>
    </w:div>
    <w:div w:id="1917785809">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0889953">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5379648">
      <w:bodyDiv w:val="1"/>
      <w:marLeft w:val="0"/>
      <w:marRight w:val="0"/>
      <w:marTop w:val="0"/>
      <w:marBottom w:val="0"/>
      <w:divBdr>
        <w:top w:val="none" w:sz="0" w:space="0" w:color="auto"/>
        <w:left w:val="none" w:sz="0" w:space="0" w:color="auto"/>
        <w:bottom w:val="none" w:sz="0" w:space="0" w:color="auto"/>
        <w:right w:val="none" w:sz="0" w:space="0" w:color="auto"/>
      </w:divBdr>
    </w:div>
    <w:div w:id="1950038843">
      <w:bodyDiv w:val="1"/>
      <w:marLeft w:val="0"/>
      <w:marRight w:val="0"/>
      <w:marTop w:val="0"/>
      <w:marBottom w:val="0"/>
      <w:divBdr>
        <w:top w:val="none" w:sz="0" w:space="0" w:color="auto"/>
        <w:left w:val="none" w:sz="0" w:space="0" w:color="auto"/>
        <w:bottom w:val="none" w:sz="0" w:space="0" w:color="auto"/>
        <w:right w:val="none" w:sz="0" w:space="0" w:color="auto"/>
      </w:divBdr>
    </w:div>
    <w:div w:id="1951474212">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8075678">
      <w:bodyDiv w:val="1"/>
      <w:marLeft w:val="0"/>
      <w:marRight w:val="0"/>
      <w:marTop w:val="0"/>
      <w:marBottom w:val="0"/>
      <w:divBdr>
        <w:top w:val="none" w:sz="0" w:space="0" w:color="auto"/>
        <w:left w:val="none" w:sz="0" w:space="0" w:color="auto"/>
        <w:bottom w:val="none" w:sz="0" w:space="0" w:color="auto"/>
        <w:right w:val="none" w:sz="0" w:space="0" w:color="auto"/>
      </w:divBdr>
    </w:div>
    <w:div w:id="1968852464">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6858084">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3463672">
      <w:bodyDiv w:val="1"/>
      <w:marLeft w:val="0"/>
      <w:marRight w:val="0"/>
      <w:marTop w:val="0"/>
      <w:marBottom w:val="0"/>
      <w:divBdr>
        <w:top w:val="none" w:sz="0" w:space="0" w:color="auto"/>
        <w:left w:val="none" w:sz="0" w:space="0" w:color="auto"/>
        <w:bottom w:val="none" w:sz="0" w:space="0" w:color="auto"/>
        <w:right w:val="none" w:sz="0" w:space="0" w:color="auto"/>
      </w:divBdr>
    </w:div>
    <w:div w:id="2005353762">
      <w:bodyDiv w:val="1"/>
      <w:marLeft w:val="0"/>
      <w:marRight w:val="0"/>
      <w:marTop w:val="0"/>
      <w:marBottom w:val="0"/>
      <w:divBdr>
        <w:top w:val="none" w:sz="0" w:space="0" w:color="auto"/>
        <w:left w:val="none" w:sz="0" w:space="0" w:color="auto"/>
        <w:bottom w:val="none" w:sz="0" w:space="0" w:color="auto"/>
        <w:right w:val="none" w:sz="0" w:space="0" w:color="auto"/>
      </w:divBdr>
    </w:div>
    <w:div w:id="2018533534">
      <w:bodyDiv w:val="1"/>
      <w:marLeft w:val="0"/>
      <w:marRight w:val="0"/>
      <w:marTop w:val="0"/>
      <w:marBottom w:val="0"/>
      <w:divBdr>
        <w:top w:val="none" w:sz="0" w:space="0" w:color="auto"/>
        <w:left w:val="none" w:sz="0" w:space="0" w:color="auto"/>
        <w:bottom w:val="none" w:sz="0" w:space="0" w:color="auto"/>
        <w:right w:val="none" w:sz="0" w:space="0" w:color="auto"/>
      </w:divBdr>
    </w:div>
    <w:div w:id="2019648426">
      <w:bodyDiv w:val="1"/>
      <w:marLeft w:val="0"/>
      <w:marRight w:val="0"/>
      <w:marTop w:val="0"/>
      <w:marBottom w:val="0"/>
      <w:divBdr>
        <w:top w:val="none" w:sz="0" w:space="0" w:color="auto"/>
        <w:left w:val="none" w:sz="0" w:space="0" w:color="auto"/>
        <w:bottom w:val="none" w:sz="0" w:space="0" w:color="auto"/>
        <w:right w:val="none" w:sz="0" w:space="0" w:color="auto"/>
      </w:divBdr>
    </w:div>
    <w:div w:id="2024551399">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1885174">
      <w:bodyDiv w:val="1"/>
      <w:marLeft w:val="0"/>
      <w:marRight w:val="0"/>
      <w:marTop w:val="0"/>
      <w:marBottom w:val="0"/>
      <w:divBdr>
        <w:top w:val="none" w:sz="0" w:space="0" w:color="auto"/>
        <w:left w:val="none" w:sz="0" w:space="0" w:color="auto"/>
        <w:bottom w:val="none" w:sz="0" w:space="0" w:color="auto"/>
        <w:right w:val="none" w:sz="0" w:space="0" w:color="auto"/>
      </w:divBdr>
    </w:div>
    <w:div w:id="2072802326">
      <w:bodyDiv w:val="1"/>
      <w:marLeft w:val="0"/>
      <w:marRight w:val="0"/>
      <w:marTop w:val="0"/>
      <w:marBottom w:val="0"/>
      <w:divBdr>
        <w:top w:val="none" w:sz="0" w:space="0" w:color="auto"/>
        <w:left w:val="none" w:sz="0" w:space="0" w:color="auto"/>
        <w:bottom w:val="none" w:sz="0" w:space="0" w:color="auto"/>
        <w:right w:val="none" w:sz="0" w:space="0" w:color="auto"/>
      </w:divBdr>
    </w:div>
    <w:div w:id="2073577926">
      <w:bodyDiv w:val="1"/>
      <w:marLeft w:val="0"/>
      <w:marRight w:val="0"/>
      <w:marTop w:val="0"/>
      <w:marBottom w:val="0"/>
      <w:divBdr>
        <w:top w:val="none" w:sz="0" w:space="0" w:color="auto"/>
        <w:left w:val="none" w:sz="0" w:space="0" w:color="auto"/>
        <w:bottom w:val="none" w:sz="0" w:space="0" w:color="auto"/>
        <w:right w:val="none" w:sz="0" w:space="0" w:color="auto"/>
      </w:divBdr>
    </w:div>
    <w:div w:id="2098401225">
      <w:bodyDiv w:val="1"/>
      <w:marLeft w:val="0"/>
      <w:marRight w:val="0"/>
      <w:marTop w:val="0"/>
      <w:marBottom w:val="0"/>
      <w:divBdr>
        <w:top w:val="none" w:sz="0" w:space="0" w:color="auto"/>
        <w:left w:val="none" w:sz="0" w:space="0" w:color="auto"/>
        <w:bottom w:val="none" w:sz="0" w:space="0" w:color="auto"/>
        <w:right w:val="none" w:sz="0" w:space="0" w:color="auto"/>
      </w:divBdr>
    </w:div>
    <w:div w:id="2099398679">
      <w:bodyDiv w:val="1"/>
      <w:marLeft w:val="0"/>
      <w:marRight w:val="0"/>
      <w:marTop w:val="0"/>
      <w:marBottom w:val="0"/>
      <w:divBdr>
        <w:top w:val="none" w:sz="0" w:space="0" w:color="auto"/>
        <w:left w:val="none" w:sz="0" w:space="0" w:color="auto"/>
        <w:bottom w:val="none" w:sz="0" w:space="0" w:color="auto"/>
        <w:right w:val="none" w:sz="0" w:space="0" w:color="auto"/>
      </w:divBdr>
    </w:div>
    <w:div w:id="2099786949">
      <w:bodyDiv w:val="1"/>
      <w:marLeft w:val="0"/>
      <w:marRight w:val="0"/>
      <w:marTop w:val="0"/>
      <w:marBottom w:val="0"/>
      <w:divBdr>
        <w:top w:val="none" w:sz="0" w:space="0" w:color="auto"/>
        <w:left w:val="none" w:sz="0" w:space="0" w:color="auto"/>
        <w:bottom w:val="none" w:sz="0" w:space="0" w:color="auto"/>
        <w:right w:val="none" w:sz="0" w:space="0" w:color="auto"/>
      </w:divBdr>
    </w:div>
    <w:div w:id="210718735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19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john.smith@schoolB.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mailto:john.smith@schooA.org"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john.smith@schoolA.org"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mailto:john2.smith@school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azure/active-directory/develop/access-tokens" TargetMode="External"/><Relationship Id="rId30" Type="http://schemas.openxmlformats.org/officeDocument/2006/relationships/hyperlink" Target="mailto:john1.smith@schoolA.org" TargetMode="External"/><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mailto:smith@schoolA.org" TargetMode="External"/><Relationship Id="rId3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3889</TotalTime>
  <Pages>39</Pages>
  <Words>12812</Words>
  <Characters>73032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331</cp:revision>
  <cp:lastPrinted>2025-06-26T21:44:00Z</cp:lastPrinted>
  <dcterms:created xsi:type="dcterms:W3CDTF">2023-09-07T03:51:00Z</dcterms:created>
  <dcterms:modified xsi:type="dcterms:W3CDTF">2025-06-27T01:25:00Z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