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36601B2" w:rsidR="008C39DC" w:rsidRDefault="008C39DC" w:rsidP="008C39DC">
      <w:pPr>
        <w:pStyle w:val="Title"/>
      </w:pPr>
      <w:r>
        <w:t>IT Project</w:t>
      </w:r>
      <w:r w:rsidR="00E368CC">
        <w:t xml:space="preserve"> Guidance</w:t>
      </w:r>
    </w:p>
    <w:p w14:paraId="39614DFE" w14:textId="24093032" w:rsidR="008C39DC" w:rsidRDefault="00E368CC" w:rsidP="008C39DC">
      <w:pPr>
        <w:pStyle w:val="Subtitle"/>
      </w:pPr>
      <w:r>
        <w:t>On Onboarding Users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C3008D7" w14:textId="6BEBB65A" w:rsidR="00AE2E49" w:rsidRDefault="00CF555A" w:rsidP="00921365">
      <w:pPr>
        <w:pStyle w:val="BodyText"/>
      </w:pPr>
      <w:r w:rsidRPr="00CF555A">
        <w:t xml:space="preserve">This document defines the key patterns, responsibilities, and decision points involved in provisioning users into a system or service environment. It addresses the mechanisms by which individuals are enabled to access digital services, associate with groups, and assume roles. The guidance is designed to support system architects, service designers, and product owners in selecting </w:t>
      </w:r>
      <w:proofErr w:type="gramStart"/>
      <w:r w:rsidRPr="00CF555A">
        <w:t>appropriate provisioning</w:t>
      </w:r>
      <w:proofErr w:type="gramEnd"/>
      <w:r w:rsidRPr="00CF555A">
        <w:t xml:space="preserve"> strategies that balance usability, trust, governance, and long-term maintainability.</w:t>
      </w:r>
    </w:p>
    <w:p w14:paraId="0F00AFD8" w14:textId="77777777" w:rsidR="00AE2E49" w:rsidRDefault="00AE2E49" w:rsidP="00AE2E49">
      <w:pPr>
        <w:pStyle w:val="Heading2"/>
      </w:pPr>
      <w:bookmarkStart w:id="1" w:name="_Toc195791705"/>
      <w:r>
        <w:t>Synopsis</w:t>
      </w:r>
      <w:bookmarkEnd w:id="1"/>
    </w:p>
    <w:p w14:paraId="491132A4" w14:textId="2F78D05A" w:rsidR="00921365" w:rsidRPr="00921365" w:rsidRDefault="00CF555A" w:rsidP="00921365">
      <w:pPr>
        <w:pStyle w:val="BodyText"/>
      </w:pPr>
      <w:r w:rsidRPr="00CF555A">
        <w:t xml:space="preserve">Provisioning is the act of creating or enabling user accounts and associating them with the roles, groups, or permissions </w:t>
      </w:r>
      <w:proofErr w:type="gramStart"/>
      <w:r w:rsidRPr="00CF555A">
        <w:t>required</w:t>
      </w:r>
      <w:proofErr w:type="gramEnd"/>
      <w:r w:rsidRPr="00CF555A">
        <w:t xml:space="preserve"> to use a system. This document explores the common provisioning approaches available for public sector and education-aligned services, including self-registration, invitations, federated login with Just-In-Time provisioning, SCIM-based synchronisation, and administrator-driven bulk onboarding. It contrasts the strengths and limitations of each approach, offering considerations for trust boundaries, auditability, automation potential, and risk. The document forms part of a wider body of IT Project Guidance designed to improve architectural coherence, operational readiness, and service integrity across evolving digital environments.</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r>
        <w:lastRenderedPageBreak/>
        <w:t>Purpose and Audience</w:t>
      </w:r>
    </w:p>
    <w:p w14:paraId="360DC29B" w14:textId="77777777" w:rsidR="0003526F" w:rsidRPr="0003526F" w:rsidRDefault="0003526F" w:rsidP="0003526F">
      <w:pPr>
        <w:pStyle w:val="BodyText"/>
      </w:pPr>
      <w:r w:rsidRPr="0003526F">
        <w:t xml:space="preserve">The purpose of this guidance is to </w:t>
      </w:r>
      <w:proofErr w:type="gramStart"/>
      <w:r w:rsidRPr="0003526F">
        <w:t>establish</w:t>
      </w:r>
      <w:proofErr w:type="gramEnd"/>
      <w:r w:rsidRPr="0003526F">
        <w:t xml:space="preserve"> a clear, technology-independent understanding of provisioning as a foundational capability within digital services. It clarifies the distinction between authentication and provisioning, and emphasises the need for deliberate, accountable processes that govern how users are introduced to systems, assigned roles, and associated with groups. The guidance supports both greenfield and transitional projects, including those integrating federated identity providers, internal directories, or third-party brokers.</w:t>
      </w:r>
    </w:p>
    <w:p w14:paraId="48EF8D8C" w14:textId="77777777" w:rsidR="0003526F" w:rsidRPr="0003526F" w:rsidRDefault="0003526F" w:rsidP="0003526F">
      <w:pPr>
        <w:pStyle w:val="BodyText"/>
      </w:pPr>
      <w:r w:rsidRPr="0003526F">
        <w:t xml:space="preserve">The intended audience includes system architects, product owners, service designers, and implementation teams responsible for onboarding users into a system. It is also relevant to governance roles such as information stewards, privacy officers, and audit leads who </w:t>
      </w:r>
      <w:proofErr w:type="gramStart"/>
      <w:r w:rsidRPr="0003526F">
        <w:t>require</w:t>
      </w:r>
      <w:proofErr w:type="gramEnd"/>
      <w:r w:rsidRPr="0003526F">
        <w:t xml:space="preserve"> assurance that provisioning processes align with policy, accountability, and identity lifecycle expectations. The document assumes moderate familiarity with digital service design and identity </w:t>
      </w:r>
      <w:proofErr w:type="gramStart"/>
      <w:r w:rsidRPr="0003526F">
        <w:t>concepts, but</w:t>
      </w:r>
      <w:proofErr w:type="gramEnd"/>
      <w:r w:rsidRPr="0003526F">
        <w:t xml:space="preserve"> does not require deep technical knowledge of specific protocols.</w:t>
      </w:r>
    </w:p>
    <w:p w14:paraId="199962EA" w14:textId="0A675508" w:rsidR="00EC1D47" w:rsidRDefault="00EC1D47" w:rsidP="00EC1D47">
      <w:pPr>
        <w:pStyle w:val="BodyText"/>
      </w:pPr>
    </w:p>
    <w:p w14:paraId="6A2378C5" w14:textId="7D310061" w:rsidR="0003526F" w:rsidRDefault="0003526F" w:rsidP="000E5784">
      <w:pPr>
        <w:pStyle w:val="Heading1"/>
      </w:pPr>
      <w:r>
        <w:t>Scope</w:t>
      </w:r>
    </w:p>
    <w:p w14:paraId="2DD39843" w14:textId="77777777" w:rsidR="000E5784" w:rsidRPr="000E5784" w:rsidRDefault="000E5784" w:rsidP="000E5784">
      <w:pPr>
        <w:pStyle w:val="BodyText"/>
      </w:pPr>
      <w:r w:rsidRPr="000E5784">
        <w:t>This guidance covers user provisioning as it applies to digital services that rely on defined roles and group memberships to control access and coordinate activity. It addresses the technical and procedural mechanisms by which individuals are introduced to a system, linked to identities, granted access, and made operationally visible to other users or systems.</w:t>
      </w:r>
    </w:p>
    <w:p w14:paraId="29852000" w14:textId="77777777" w:rsidR="000E5784" w:rsidRPr="000E5784" w:rsidRDefault="000E5784" w:rsidP="000E5784">
      <w:pPr>
        <w:pStyle w:val="BodyText"/>
      </w:pPr>
      <w:r w:rsidRPr="000E5784">
        <w:t xml:space="preserve">The scope includes both interactive user provisioning—such as self-registration, invitations, and delegated group management—and automated provisioning methods such as SCIM integration and Just-In-Time (JIT) account creation through federated login. It also considers transitional states, such as </w:t>
      </w:r>
      <w:proofErr w:type="gramStart"/>
      <w:r w:rsidRPr="000E5784">
        <w:t>initial</w:t>
      </w:r>
      <w:proofErr w:type="gramEnd"/>
      <w:r w:rsidRPr="000E5784">
        <w:t xml:space="preserve"> bulk onboarding or re-provisioning during system migration.</w:t>
      </w:r>
    </w:p>
    <w:p w14:paraId="73297BC9" w14:textId="77777777" w:rsidR="000E5784" w:rsidRPr="000E5784" w:rsidRDefault="000E5784" w:rsidP="000E5784">
      <w:pPr>
        <w:pStyle w:val="BodyText"/>
      </w:pPr>
      <w:r w:rsidRPr="000E5784">
        <w:t>Excluded from scope are the detailed mechanics of authentication protocols (e.g. OIDC, SAML), role-based access control models, and user deprovisioning or removal. These are addressed in separate guidance documents. However, the document does assume an architectural context where provisioning decisions impact trust boundaries, group visibility, and attribute correlation across systems.</w:t>
      </w:r>
    </w:p>
    <w:p w14:paraId="53006FF6" w14:textId="77777777" w:rsidR="000E5784" w:rsidRDefault="000E5784" w:rsidP="000E5784">
      <w:pPr>
        <w:pStyle w:val="BodyText"/>
      </w:pPr>
    </w:p>
    <w:p w14:paraId="4421DF7B" w14:textId="2041E5F1" w:rsidR="000E5784" w:rsidRDefault="008F03A3" w:rsidP="008F03A3">
      <w:pPr>
        <w:pStyle w:val="Heading1"/>
      </w:pPr>
      <w:r>
        <w:lastRenderedPageBreak/>
        <w:t>Background</w:t>
      </w:r>
    </w:p>
    <w:p w14:paraId="678FB0EA" w14:textId="77777777" w:rsidR="008F03A3" w:rsidRPr="008F03A3" w:rsidRDefault="008F03A3" w:rsidP="008F03A3">
      <w:pPr>
        <w:pStyle w:val="BodyText"/>
      </w:pPr>
      <w:r w:rsidRPr="008F03A3">
        <w:t xml:space="preserve">Digital services are used by individuals in a range of contexts: some act independently, others as part of small informal groups, and many as members of structured organisations. Provisioning models must support all three. The traditional assumption that every user belongs to a single organisation—often modelled as a “tenant”—once underpinned many access control strategies. These tenants were treated as secure, self-contained environments, with isolated directories and dedicated admin models. However, in modern service contexts, this model introduces friction and rigidity. It becomes a barrier when users need to </w:t>
      </w:r>
      <w:proofErr w:type="gramStart"/>
      <w:r w:rsidRPr="008F03A3">
        <w:t>participate</w:t>
      </w:r>
      <w:proofErr w:type="gramEnd"/>
      <w:r w:rsidRPr="008F03A3">
        <w:t xml:space="preserve"> across multiple organisations—such as contractors, advisors, or individuals with legitimate roles in different institutions—forcing them to manage multiple identities, passwords, and histories.</w:t>
      </w:r>
    </w:p>
    <w:p w14:paraId="0E82FAEB" w14:textId="77777777" w:rsidR="008F03A3" w:rsidRPr="008F03A3" w:rsidRDefault="008F03A3" w:rsidP="008F03A3">
      <w:pPr>
        <w:pStyle w:val="BodyText"/>
      </w:pPr>
      <w:r w:rsidRPr="008F03A3">
        <w:t xml:space="preserve">A more flexible view recognises that the simplest entry point is the individual end user, signing up to a service and creating a personal account. This is the most widely understood starting point in commercial services: a single user registers, agrees to terms, and begins using the system independently, often linked to billing or subscription. From there, </w:t>
      </w:r>
      <w:proofErr w:type="gramStart"/>
      <w:r w:rsidRPr="008F03A3">
        <w:t>additional</w:t>
      </w:r>
      <w:proofErr w:type="gramEnd"/>
      <w:r w:rsidRPr="008F03A3">
        <w:t xml:space="preserve"> layers—such as group creation, role assignment, or association with an existing organisation—are introduced as needed. This model accommodates growth, avoids unnecessary complexity at the outset, and aligns better with modern expectations for usability and interoperability.</w:t>
      </w:r>
    </w:p>
    <w:p w14:paraId="51E0D127" w14:textId="77777777" w:rsidR="008F03A3" w:rsidRPr="008F03A3" w:rsidRDefault="008F03A3" w:rsidP="008F03A3">
      <w:pPr>
        <w:pStyle w:val="BodyText"/>
      </w:pPr>
      <w:r w:rsidRPr="008F03A3">
        <w:t>Provisioning, then, must support a continuum—</w:t>
      </w:r>
      <w:proofErr w:type="gramStart"/>
      <w:r w:rsidRPr="008F03A3">
        <w:t>from unaffiliated individuals,</w:t>
      </w:r>
      <w:proofErr w:type="gramEnd"/>
      <w:r w:rsidRPr="008F03A3">
        <w:t xml:space="preserve"> to emergent group structures, to institutionally governed users—while maintaining trust, clarity, and accountability.</w:t>
      </w:r>
    </w:p>
    <w:p w14:paraId="14046586" w14:textId="77777777" w:rsidR="008F03A3" w:rsidRDefault="008F03A3" w:rsidP="000E5784">
      <w:pPr>
        <w:pStyle w:val="BodyText"/>
      </w:pPr>
    </w:p>
    <w:p w14:paraId="715E905F" w14:textId="77777777" w:rsidR="00552B9B" w:rsidRPr="00552B9B" w:rsidRDefault="00552B9B" w:rsidP="00552B9B">
      <w:pPr>
        <w:pStyle w:val="Heading1"/>
      </w:pPr>
      <w:r w:rsidRPr="00552B9B">
        <w:t>Provisioning Models and Patterns</w:t>
      </w:r>
    </w:p>
    <w:p w14:paraId="53D58765" w14:textId="77777777" w:rsidR="00552B9B" w:rsidRPr="00552B9B" w:rsidRDefault="00552B9B" w:rsidP="00552B9B">
      <w:pPr>
        <w:pStyle w:val="BodyText"/>
      </w:pPr>
      <w:r w:rsidRPr="00552B9B">
        <w:t xml:space="preserve">Provisioning is not a single mechanism but a set of patterns that suit different contexts, each with trade-offs between ease of access, security, trust, and administrative overhead. The models below </w:t>
      </w:r>
      <w:proofErr w:type="gramStart"/>
      <w:r w:rsidRPr="00552B9B">
        <w:t>represent</w:t>
      </w:r>
      <w:proofErr w:type="gramEnd"/>
      <w:r w:rsidRPr="00552B9B">
        <w:t xml:space="preserve"> common approaches to introducing users into a system and associating them with groups and roles. Most systems will use a combination of these patterns over time.</w:t>
      </w:r>
    </w:p>
    <w:p w14:paraId="208AAB7C" w14:textId="77777777" w:rsidR="0080032D" w:rsidRDefault="0080032D" w:rsidP="0080032D">
      <w:pPr>
        <w:pStyle w:val="Heading2"/>
      </w:pPr>
      <w:r w:rsidRPr="0080032D">
        <w:t>Direct Provisioning by Service Provider (Manual or Assisted)</w:t>
      </w:r>
    </w:p>
    <w:p w14:paraId="260D2DC6" w14:textId="4563CBB5" w:rsidR="0080032D" w:rsidRPr="0080032D" w:rsidRDefault="0080032D" w:rsidP="0080032D">
      <w:pPr>
        <w:pStyle w:val="BodyText"/>
      </w:pPr>
      <w:r w:rsidRPr="0080032D">
        <w:t>In this model, a user is added directly by an administrator or support representative. This may be through a control panel, admin API, or manual entry—commonly triggered by a phone call, helpdesk request, or upstream service agreement.</w:t>
      </w:r>
    </w:p>
    <w:p w14:paraId="62A1C49E" w14:textId="77777777" w:rsidR="0080032D" w:rsidRPr="0080032D" w:rsidRDefault="0080032D" w:rsidP="0080032D">
      <w:pPr>
        <w:pStyle w:val="BodyText"/>
      </w:pPr>
      <w:r w:rsidRPr="0080032D">
        <w:t>Advantage:</w:t>
      </w:r>
      <w:r w:rsidRPr="0080032D">
        <w:br/>
        <w:t xml:space="preserve">Guaranteed accuracy and oversight. Ensures that the system always has </w:t>
      </w:r>
      <w:proofErr w:type="gramStart"/>
      <w:r w:rsidRPr="0080032D">
        <w:t>an initial</w:t>
      </w:r>
      <w:proofErr w:type="gramEnd"/>
      <w:r w:rsidRPr="0080032D">
        <w:t xml:space="preserve">, </w:t>
      </w:r>
      <w:r w:rsidRPr="0080032D">
        <w:lastRenderedPageBreak/>
        <w:t>known user to manage or configure access. Useful in trust-bound or regulated environments, or during setup.</w:t>
      </w:r>
    </w:p>
    <w:p w14:paraId="7300CA5F" w14:textId="77777777" w:rsidR="0080032D" w:rsidRPr="0080032D" w:rsidRDefault="0080032D" w:rsidP="0080032D">
      <w:pPr>
        <w:pStyle w:val="BodyText"/>
      </w:pPr>
      <w:r w:rsidRPr="0080032D">
        <w:t>Disadvantage:</w:t>
      </w:r>
      <w:r w:rsidRPr="0080032D">
        <w:br/>
        <w:t>Labour-intensive, not scalable. Prone to delay or inconsistency if not well-governed. Often lacks self-service for the user.</w:t>
      </w:r>
    </w:p>
    <w:p w14:paraId="00608AB6" w14:textId="77777777" w:rsidR="0080032D" w:rsidRPr="0080032D" w:rsidRDefault="0080032D" w:rsidP="0080032D">
      <w:pPr>
        <w:pStyle w:val="BodyText"/>
      </w:pPr>
      <w:r w:rsidRPr="0080032D">
        <w:t>Consideration:</w:t>
      </w:r>
      <w:r w:rsidRPr="0080032D">
        <w:br/>
        <w:t xml:space="preserve">Every system must support at least one form of first-user creation. Whether temporary or permanent, this </w:t>
      </w:r>
      <w:proofErr w:type="gramStart"/>
      <w:r w:rsidRPr="0080032D">
        <w:t>establishes</w:t>
      </w:r>
      <w:proofErr w:type="gramEnd"/>
      <w:r w:rsidRPr="0080032D">
        <w:t xml:space="preserve"> the minimum trust anchor needed to enable other provisioning models.</w:t>
      </w:r>
    </w:p>
    <w:p w14:paraId="6BEC818E" w14:textId="77777777" w:rsidR="00552B9B" w:rsidRDefault="00552B9B" w:rsidP="000E5784">
      <w:pPr>
        <w:pStyle w:val="BodyText"/>
      </w:pPr>
    </w:p>
    <w:p w14:paraId="0D468346" w14:textId="470800A7" w:rsidR="00C710A8" w:rsidRDefault="00C710A8" w:rsidP="00C710A8">
      <w:pPr>
        <w:pStyle w:val="Heading2"/>
      </w:pPr>
      <w:r w:rsidRPr="00C710A8">
        <w:t>Self-Registration (Individual Sign-Up)</w:t>
      </w:r>
    </w:p>
    <w:p w14:paraId="7B303539" w14:textId="06D750E1" w:rsidR="00C710A8" w:rsidRPr="00C710A8" w:rsidRDefault="00C710A8" w:rsidP="00C710A8">
      <w:pPr>
        <w:pStyle w:val="BodyText"/>
      </w:pPr>
      <w:r w:rsidRPr="00C710A8">
        <w:t>This model allows users to create their own accounts directly, without prior invitation or validation beyond identity proof (e.g. email verification). It is the default model in most public-facing services.</w:t>
      </w:r>
    </w:p>
    <w:p w14:paraId="0376B68F" w14:textId="77777777" w:rsidR="00C710A8" w:rsidRPr="00C710A8" w:rsidRDefault="00C710A8" w:rsidP="00C710A8">
      <w:pPr>
        <w:pStyle w:val="BodyText"/>
      </w:pPr>
      <w:r w:rsidRPr="00C710A8">
        <w:t xml:space="preserve">It supports the formation of new groups or organisations later, often with the first user becoming the </w:t>
      </w:r>
      <w:proofErr w:type="gramStart"/>
      <w:r w:rsidRPr="00C710A8">
        <w:t>initial</w:t>
      </w:r>
      <w:proofErr w:type="gramEnd"/>
      <w:r w:rsidRPr="00C710A8">
        <w:t xml:space="preserve"> group administrator or billing contact.</w:t>
      </w:r>
    </w:p>
    <w:p w14:paraId="7C464052" w14:textId="77777777" w:rsidR="00C710A8" w:rsidRPr="00C710A8" w:rsidRDefault="00C710A8" w:rsidP="00C710A8">
      <w:pPr>
        <w:pStyle w:val="BodyText"/>
      </w:pPr>
      <w:r w:rsidRPr="00C710A8">
        <w:rPr>
          <w:b/>
          <w:bCs/>
        </w:rPr>
        <w:t>Advantage:</w:t>
      </w:r>
      <w:r w:rsidRPr="00C710A8">
        <w:rPr>
          <w:b/>
          <w:bCs/>
        </w:rPr>
        <w:br/>
      </w:r>
      <w:r w:rsidRPr="00C710A8">
        <w:t>Minimises barriers to entry. Well-suited to organic growth and early adoption.</w:t>
      </w:r>
    </w:p>
    <w:p w14:paraId="2E1E88B8" w14:textId="77777777" w:rsidR="00C710A8" w:rsidRPr="00C710A8" w:rsidRDefault="00C710A8" w:rsidP="00C710A8">
      <w:pPr>
        <w:pStyle w:val="BodyText"/>
      </w:pPr>
      <w:r w:rsidRPr="00C710A8">
        <w:rPr>
          <w:b/>
          <w:bCs/>
        </w:rPr>
        <w:t>Disadvantage:</w:t>
      </w:r>
      <w:r w:rsidRPr="00C710A8">
        <w:rPr>
          <w:b/>
          <w:bCs/>
        </w:rPr>
        <w:br/>
      </w:r>
      <w:r w:rsidRPr="00C710A8">
        <w:t>Requires moderation controls to prevent spam, impersonation, or unverified use. Risk of data fragmentation if individuals create duplicate groups.</w:t>
      </w:r>
    </w:p>
    <w:p w14:paraId="646FC94B" w14:textId="77777777" w:rsidR="00C710A8" w:rsidRDefault="00C710A8" w:rsidP="00C710A8">
      <w:pPr>
        <w:pStyle w:val="BodyText"/>
      </w:pPr>
      <w:r w:rsidRPr="00C710A8">
        <w:rPr>
          <w:b/>
          <w:bCs/>
        </w:rPr>
        <w:t>Consideration:</w:t>
      </w:r>
      <w:r w:rsidRPr="00C710A8">
        <w:rPr>
          <w:b/>
          <w:bCs/>
        </w:rPr>
        <w:br/>
      </w:r>
      <w:r w:rsidRPr="00C710A8">
        <w:t>Should be paired with clear escalation paths for linking to existing groups, merging duplicates, or upgrading access.</w:t>
      </w:r>
    </w:p>
    <w:p w14:paraId="04CE1346" w14:textId="77777777" w:rsidR="00AC5AA4" w:rsidRDefault="00AC5AA4" w:rsidP="00C710A8">
      <w:pPr>
        <w:pStyle w:val="BodyText"/>
      </w:pPr>
    </w:p>
    <w:p w14:paraId="4E77B33D" w14:textId="77777777" w:rsidR="00AC5AA4" w:rsidRDefault="00AC5AA4" w:rsidP="005A5EB4">
      <w:pPr>
        <w:pStyle w:val="Heading2"/>
      </w:pPr>
      <w:r w:rsidRPr="00AC5AA4">
        <w:t>Bulk Import</w:t>
      </w:r>
    </w:p>
    <w:p w14:paraId="21D824B4" w14:textId="56C4943C" w:rsidR="00AC5AA4" w:rsidRPr="00AC5AA4" w:rsidRDefault="00AC5AA4" w:rsidP="00AC5AA4">
      <w:pPr>
        <w:pStyle w:val="BodyText"/>
      </w:pPr>
      <w:r w:rsidRPr="00AC5AA4">
        <w:t xml:space="preserve">Administrators upload structured data (e.g. CSV or JSON) </w:t>
      </w:r>
      <w:proofErr w:type="gramStart"/>
      <w:r w:rsidRPr="00AC5AA4">
        <w:t>containing</w:t>
      </w:r>
      <w:proofErr w:type="gramEnd"/>
      <w:r w:rsidRPr="00AC5AA4">
        <w:t xml:space="preserve"> multiple user entries, roles, and affiliations. Commonly used during institutional onboarding or system migration.</w:t>
      </w:r>
    </w:p>
    <w:p w14:paraId="7C04E354" w14:textId="77777777" w:rsidR="00AC5AA4" w:rsidRPr="00AC5AA4" w:rsidRDefault="00AC5AA4" w:rsidP="00AC5AA4">
      <w:pPr>
        <w:pStyle w:val="BodyText"/>
      </w:pPr>
      <w:r w:rsidRPr="00AC5AA4">
        <w:t>Advantage:</w:t>
      </w:r>
      <w:r w:rsidRPr="00AC5AA4">
        <w:br/>
        <w:t>Efficient for provisioning large numbers of users with known structure.</w:t>
      </w:r>
    </w:p>
    <w:p w14:paraId="62921AD4" w14:textId="77777777" w:rsidR="00AC5AA4" w:rsidRPr="00AC5AA4" w:rsidRDefault="00AC5AA4" w:rsidP="00AC5AA4">
      <w:pPr>
        <w:pStyle w:val="BodyText"/>
      </w:pPr>
      <w:r w:rsidRPr="00AC5AA4">
        <w:t>Disadvantage:</w:t>
      </w:r>
      <w:r w:rsidRPr="00AC5AA4">
        <w:br/>
        <w:t xml:space="preserve">High risk of error, difficult to </w:t>
      </w:r>
      <w:proofErr w:type="gramStart"/>
      <w:r w:rsidRPr="00AC5AA4">
        <w:t>validate</w:t>
      </w:r>
      <w:proofErr w:type="gramEnd"/>
      <w:r w:rsidRPr="00AC5AA4">
        <w:t xml:space="preserve"> user intent, introduces stale or unclaimed records.</w:t>
      </w:r>
    </w:p>
    <w:p w14:paraId="1A1C2709" w14:textId="77777777" w:rsidR="00AC5AA4" w:rsidRPr="00AC5AA4" w:rsidRDefault="00AC5AA4" w:rsidP="00AC5AA4">
      <w:pPr>
        <w:pStyle w:val="BodyText"/>
      </w:pPr>
      <w:r w:rsidRPr="00AC5AA4">
        <w:lastRenderedPageBreak/>
        <w:t>Consideration:</w:t>
      </w:r>
      <w:r w:rsidRPr="00AC5AA4">
        <w:br/>
        <w:t xml:space="preserve">Must be controlled by a trusted actor—usually a manually provisioned administrator. Always requires at least one user to exist to </w:t>
      </w:r>
      <w:proofErr w:type="gramStart"/>
      <w:r w:rsidRPr="00AC5AA4">
        <w:t>initiate</w:t>
      </w:r>
      <w:proofErr w:type="gramEnd"/>
      <w:r w:rsidRPr="00AC5AA4">
        <w:t xml:space="preserve"> the process.</w:t>
      </w:r>
    </w:p>
    <w:p w14:paraId="1932A05F" w14:textId="77777777" w:rsidR="00A56AE2" w:rsidRDefault="00A56AE2" w:rsidP="00A56AE2">
      <w:pPr>
        <w:pStyle w:val="Heading2"/>
      </w:pPr>
      <w:r w:rsidRPr="00A56AE2">
        <w:t>Invitation-Based Provisioning</w:t>
      </w:r>
    </w:p>
    <w:p w14:paraId="47987A7D" w14:textId="344D6BF0" w:rsidR="00A56AE2" w:rsidRPr="00A56AE2" w:rsidRDefault="00A56AE2" w:rsidP="00A56AE2">
      <w:pPr>
        <w:pStyle w:val="BodyText"/>
      </w:pPr>
      <w:r w:rsidRPr="00A56AE2">
        <w:t>In this model, an existing user or system administrator invites others to join a group or service. The invitation is typically linked to a role and expires after a set time (e.g. 48 hours).</w:t>
      </w:r>
    </w:p>
    <w:p w14:paraId="3F9FEF7E" w14:textId="77777777" w:rsidR="00A56AE2" w:rsidRPr="00A56AE2" w:rsidRDefault="00A56AE2" w:rsidP="00A56AE2">
      <w:pPr>
        <w:pStyle w:val="BodyText"/>
      </w:pPr>
      <w:r w:rsidRPr="00A56AE2">
        <w:t>Advantage:</w:t>
      </w:r>
      <w:r w:rsidRPr="00A56AE2">
        <w:br/>
        <w:t>Supports secure onboarding and pre-determined role assignment. Ensures accountability and traceability of who brought whom into the system.</w:t>
      </w:r>
    </w:p>
    <w:p w14:paraId="75B385B1" w14:textId="77777777" w:rsidR="00A56AE2" w:rsidRPr="00A56AE2" w:rsidRDefault="00A56AE2" w:rsidP="00A56AE2">
      <w:pPr>
        <w:pStyle w:val="BodyText"/>
      </w:pPr>
      <w:r w:rsidRPr="00A56AE2">
        <w:t>Disadvantage:</w:t>
      </w:r>
      <w:r w:rsidRPr="00A56AE2">
        <w:br/>
        <w:t>Invitation links can expire or be misdelivered. Not suitable for open access models.</w:t>
      </w:r>
    </w:p>
    <w:p w14:paraId="031CDE1A" w14:textId="69E25222" w:rsidR="00A56AE2" w:rsidRDefault="00A56AE2" w:rsidP="00A56AE2">
      <w:pPr>
        <w:pStyle w:val="BodyText"/>
      </w:pPr>
      <w:r w:rsidRPr="00A56AE2">
        <w:t>Consideration:</w:t>
      </w:r>
      <w:r w:rsidRPr="00A56AE2">
        <w:br/>
      </w:r>
      <w:r w:rsidR="002B3BCB" w:rsidRPr="002B3BCB">
        <w:t xml:space="preserve">Support re-issue, tracking of invite status, and mechanisms to </w:t>
      </w:r>
      <w:proofErr w:type="gramStart"/>
      <w:r w:rsidR="002B3BCB" w:rsidRPr="002B3BCB">
        <w:t>validate</w:t>
      </w:r>
      <w:proofErr w:type="gramEnd"/>
      <w:r w:rsidR="002B3BCB" w:rsidRPr="002B3BCB">
        <w:t xml:space="preserve"> intent on arrival. The first user to </w:t>
      </w:r>
      <w:proofErr w:type="gramStart"/>
      <w:r w:rsidR="002B3BCB" w:rsidRPr="002B3BCB">
        <w:t>establish</w:t>
      </w:r>
      <w:proofErr w:type="gramEnd"/>
      <w:r w:rsidR="002B3BCB" w:rsidRPr="002B3BCB">
        <w:t xml:space="preserve"> a new group or account typically follows a self-registration approach and is then authorised to issue invitations to others.</w:t>
      </w:r>
    </w:p>
    <w:p w14:paraId="51E56E16" w14:textId="77777777" w:rsidR="00757D2C" w:rsidRDefault="00DD47E3" w:rsidP="00757D2C">
      <w:pPr>
        <w:pStyle w:val="Heading2"/>
      </w:pPr>
      <w:r w:rsidRPr="00DD47E3">
        <w:t>Bulk Import</w:t>
      </w:r>
    </w:p>
    <w:p w14:paraId="01D896D1" w14:textId="6E411592" w:rsidR="00DD47E3" w:rsidRPr="00DD47E3" w:rsidRDefault="00DD47E3" w:rsidP="00DD47E3">
      <w:pPr>
        <w:pStyle w:val="BodyText"/>
      </w:pPr>
      <w:r w:rsidRPr="00DD47E3">
        <w:t xml:space="preserve">Administrators upload structured files (e.g. CSV or JSON) </w:t>
      </w:r>
      <w:proofErr w:type="gramStart"/>
      <w:r w:rsidRPr="00DD47E3">
        <w:t>containing</w:t>
      </w:r>
      <w:proofErr w:type="gramEnd"/>
      <w:r w:rsidRPr="00DD47E3">
        <w:t xml:space="preserve"> lists of users and associated roles, groups, or metadata. This method is commonly used during system rollout or when onboarding known cohorts.</w:t>
      </w:r>
    </w:p>
    <w:p w14:paraId="6D1E8AE4" w14:textId="77777777" w:rsidR="00DD47E3" w:rsidRPr="00DD47E3" w:rsidRDefault="00DD47E3" w:rsidP="00DD47E3">
      <w:pPr>
        <w:pStyle w:val="BodyText"/>
      </w:pPr>
      <w:r w:rsidRPr="00DD47E3">
        <w:t>Advantage:</w:t>
      </w:r>
      <w:r w:rsidRPr="00DD47E3">
        <w:br/>
        <w:t>Efficient for loading large sets of known users with pre-assigned roles. Enables initial configuration of system access at scale.</w:t>
      </w:r>
    </w:p>
    <w:p w14:paraId="47C34B29" w14:textId="77777777" w:rsidR="00DD47E3" w:rsidRPr="00DD47E3" w:rsidRDefault="00DD47E3" w:rsidP="00DD47E3">
      <w:pPr>
        <w:pStyle w:val="BodyText"/>
      </w:pPr>
      <w:r w:rsidRPr="00DD47E3">
        <w:t>Disadvantage:</w:t>
      </w:r>
      <w:r w:rsidRPr="00DD47E3">
        <w:br/>
        <w:t>Error-prone, difficult to verify intent or accuracy at scale, and often disconnected from the user's actual arrival. Privacy risks are elevated, especially if files are misrouted or handled insecurely. Easily leads to stale records, orphaned users, or unintended access if not tightly governed.</w:t>
      </w:r>
    </w:p>
    <w:p w14:paraId="2A2737E4" w14:textId="77777777" w:rsidR="00DD47E3" w:rsidRPr="00DD47E3" w:rsidRDefault="00DD47E3" w:rsidP="00DD47E3">
      <w:pPr>
        <w:pStyle w:val="BodyText"/>
      </w:pPr>
      <w:r w:rsidRPr="00DD47E3">
        <w:t>Consideration:</w:t>
      </w:r>
      <w:r w:rsidRPr="00DD47E3">
        <w:br/>
        <w:t>Use only when user identity and role can be confidently asserted from upstream data. Strongly prefer pairing with invitation or activation flows. Require validation, dry-run previews, and secure handling. Bulk import must not be used as a surrogate for trust or identity proof.</w:t>
      </w:r>
    </w:p>
    <w:p w14:paraId="31279034" w14:textId="77777777" w:rsidR="00DD47E3" w:rsidRPr="00A56AE2" w:rsidRDefault="00DD47E3" w:rsidP="00A56AE2">
      <w:pPr>
        <w:pStyle w:val="BodyText"/>
      </w:pPr>
    </w:p>
    <w:p w14:paraId="2B82B636" w14:textId="77777777" w:rsidR="00527DA5" w:rsidRDefault="00527DA5" w:rsidP="00527DA5">
      <w:pPr>
        <w:pStyle w:val="Heading2"/>
      </w:pPr>
      <w:r w:rsidRPr="00527DA5">
        <w:lastRenderedPageBreak/>
        <w:t>Federated Just-In-Time (JIT) Provisioning</w:t>
      </w:r>
    </w:p>
    <w:p w14:paraId="6359AC25" w14:textId="6A7527BF" w:rsidR="00527DA5" w:rsidRPr="00527DA5" w:rsidRDefault="00527DA5" w:rsidP="00527DA5">
      <w:pPr>
        <w:pStyle w:val="BodyText"/>
      </w:pPr>
      <w:r w:rsidRPr="00527DA5">
        <w:t xml:space="preserve">Users sign in via a federated Identity Provider (IdP), such as a school, employer, or government directory. If no account exists, one is created </w:t>
      </w:r>
      <w:proofErr w:type="gramStart"/>
      <w:r w:rsidRPr="00527DA5">
        <w:t>at the moment</w:t>
      </w:r>
      <w:proofErr w:type="gramEnd"/>
      <w:r w:rsidRPr="00527DA5">
        <w:t xml:space="preserve"> of login using attributes from the IdP.</w:t>
      </w:r>
    </w:p>
    <w:p w14:paraId="022DFBBC" w14:textId="77777777" w:rsidR="00527DA5" w:rsidRPr="00527DA5" w:rsidRDefault="00527DA5" w:rsidP="00527DA5">
      <w:pPr>
        <w:pStyle w:val="BodyText"/>
      </w:pPr>
      <w:r w:rsidRPr="00527DA5">
        <w:t>Advantage:</w:t>
      </w:r>
      <w:r w:rsidRPr="00527DA5">
        <w:br/>
      </w:r>
      <w:proofErr w:type="gramStart"/>
      <w:r w:rsidRPr="00527DA5">
        <w:t>Eliminates</w:t>
      </w:r>
      <w:proofErr w:type="gramEnd"/>
      <w:r w:rsidRPr="00527DA5">
        <w:t xml:space="preserve"> duplicate account creation. Simplifies access for users with upstream identity.</w:t>
      </w:r>
    </w:p>
    <w:p w14:paraId="391F0B2D" w14:textId="77777777" w:rsidR="00527DA5" w:rsidRPr="00527DA5" w:rsidRDefault="00527DA5" w:rsidP="00527DA5">
      <w:pPr>
        <w:pStyle w:val="BodyText"/>
      </w:pPr>
      <w:r w:rsidRPr="00527DA5">
        <w:t>Disadvantage:</w:t>
      </w:r>
      <w:r w:rsidRPr="00527DA5">
        <w:br/>
        <w:t>Lacks contextual awareness—users may not be assigned to correct groups or roles.</w:t>
      </w:r>
    </w:p>
    <w:p w14:paraId="76FC99CF" w14:textId="77777777" w:rsidR="00527DA5" w:rsidRPr="00527DA5" w:rsidRDefault="00527DA5" w:rsidP="00527DA5">
      <w:pPr>
        <w:pStyle w:val="BodyText"/>
      </w:pPr>
      <w:r w:rsidRPr="00527DA5">
        <w:t>Consideration:</w:t>
      </w:r>
      <w:r w:rsidRPr="00527DA5">
        <w:br/>
        <w:t>Should be used with role-mapping, onboarding flows, or continuity resolution services to place users correctly.</w:t>
      </w:r>
    </w:p>
    <w:p w14:paraId="3F116F5F" w14:textId="77777777" w:rsidR="00A274B2" w:rsidRDefault="00A274B2" w:rsidP="00A274B2">
      <w:pPr>
        <w:pStyle w:val="Heading2"/>
      </w:pPr>
      <w:r w:rsidRPr="00A274B2">
        <w:t>SCIM-Based Provisioning</w:t>
      </w:r>
    </w:p>
    <w:p w14:paraId="2D852247" w14:textId="6D7BBD13" w:rsidR="00A274B2" w:rsidRPr="00A274B2" w:rsidRDefault="00A274B2" w:rsidP="00A274B2">
      <w:pPr>
        <w:pStyle w:val="BodyText"/>
      </w:pPr>
      <w:r w:rsidRPr="00A274B2">
        <w:t>The service accepts user and group information pushed automatically from an external system via the SCIM protocol.</w:t>
      </w:r>
    </w:p>
    <w:p w14:paraId="6780BCF5" w14:textId="77777777" w:rsidR="00A274B2" w:rsidRPr="00A274B2" w:rsidRDefault="00A274B2" w:rsidP="00A274B2">
      <w:pPr>
        <w:pStyle w:val="BodyText"/>
      </w:pPr>
      <w:r w:rsidRPr="00A274B2">
        <w:t>Advantage:</w:t>
      </w:r>
      <w:r w:rsidRPr="00A274B2">
        <w:br/>
        <w:t>Enables lifecycle management from a central authority. Scalable and consistent.</w:t>
      </w:r>
    </w:p>
    <w:p w14:paraId="50DDE190" w14:textId="77777777" w:rsidR="00A274B2" w:rsidRPr="00A274B2" w:rsidRDefault="00A274B2" w:rsidP="00A274B2">
      <w:pPr>
        <w:pStyle w:val="BodyText"/>
      </w:pPr>
      <w:r w:rsidRPr="00A274B2">
        <w:t>Disadvantage:</w:t>
      </w:r>
      <w:r w:rsidRPr="00A274B2">
        <w:br/>
        <w:t xml:space="preserve">Requires strong governance and technical setup. Prone to silent errors if not </w:t>
      </w:r>
      <w:proofErr w:type="gramStart"/>
      <w:r w:rsidRPr="00A274B2">
        <w:t>monitored</w:t>
      </w:r>
      <w:proofErr w:type="gramEnd"/>
      <w:r w:rsidRPr="00A274B2">
        <w:t>.</w:t>
      </w:r>
    </w:p>
    <w:p w14:paraId="6B2333FE" w14:textId="77777777" w:rsidR="00A274B2" w:rsidRDefault="00A274B2" w:rsidP="00A274B2">
      <w:pPr>
        <w:pStyle w:val="BodyText"/>
      </w:pPr>
      <w:r w:rsidRPr="00A274B2">
        <w:t>Consideration:</w:t>
      </w:r>
      <w:r w:rsidRPr="00A274B2">
        <w:br/>
        <w:t>SCIM must be configured by an authorised actor, typically a first user or admin. It is never self-starting.</w:t>
      </w:r>
    </w:p>
    <w:p w14:paraId="4B41D6E9" w14:textId="77777777" w:rsidR="00F541ED" w:rsidRDefault="00F541ED" w:rsidP="00A274B2">
      <w:pPr>
        <w:pStyle w:val="BodyText"/>
      </w:pPr>
    </w:p>
    <w:p w14:paraId="05E1D3E4" w14:textId="77777777" w:rsidR="00F541ED" w:rsidRDefault="00F541ED" w:rsidP="00F541ED">
      <w:pPr>
        <w:pStyle w:val="Heading2"/>
      </w:pPr>
      <w:r w:rsidRPr="00F541ED">
        <w:t>Delegated Group Management</w:t>
      </w:r>
    </w:p>
    <w:p w14:paraId="20ED3962" w14:textId="36A8D435" w:rsidR="00F541ED" w:rsidRPr="00F541ED" w:rsidRDefault="00F541ED" w:rsidP="00F541ED">
      <w:pPr>
        <w:pStyle w:val="BodyText"/>
      </w:pPr>
      <w:r w:rsidRPr="00F541ED">
        <w:t>A trusted user is granted rights to create groups and manage others. Useful for nested team structures, schools, or departmental use.</w:t>
      </w:r>
    </w:p>
    <w:p w14:paraId="47BF1767" w14:textId="77777777" w:rsidR="00F541ED" w:rsidRPr="00F541ED" w:rsidRDefault="00F541ED" w:rsidP="00F541ED">
      <w:pPr>
        <w:pStyle w:val="BodyText"/>
      </w:pPr>
      <w:r w:rsidRPr="00F541ED">
        <w:t>Advantage:</w:t>
      </w:r>
      <w:r w:rsidRPr="00F541ED">
        <w:br/>
        <w:t>Supports decentralised management and peer organisation.</w:t>
      </w:r>
    </w:p>
    <w:p w14:paraId="08F1AA1B" w14:textId="77777777" w:rsidR="00F541ED" w:rsidRPr="00F541ED" w:rsidRDefault="00F541ED" w:rsidP="00F541ED">
      <w:pPr>
        <w:pStyle w:val="BodyText"/>
      </w:pPr>
      <w:r w:rsidRPr="00F541ED">
        <w:t>Disadvantage:</w:t>
      </w:r>
      <w:r w:rsidRPr="00F541ED">
        <w:br/>
        <w:t>Can result in inconsistent structure, shadow groups, or misassigned roles.</w:t>
      </w:r>
    </w:p>
    <w:p w14:paraId="3A177F90" w14:textId="77777777" w:rsidR="00F541ED" w:rsidRPr="00F541ED" w:rsidRDefault="00F541ED" w:rsidP="00F541ED">
      <w:pPr>
        <w:pStyle w:val="BodyText"/>
      </w:pPr>
      <w:r w:rsidRPr="00F541ED">
        <w:t>Consideration:</w:t>
      </w:r>
      <w:r w:rsidRPr="00F541ED">
        <w:br/>
        <w:t>Always relies on prior provisioning of a trusted user to delegate authority. It is not a primary provisioning path but a secondary governance pattern.</w:t>
      </w:r>
    </w:p>
    <w:p w14:paraId="463CF619" w14:textId="2BB9FAE5" w:rsidR="00F541ED" w:rsidRDefault="00F541ED" w:rsidP="00F541ED">
      <w:pPr>
        <w:pStyle w:val="Heading2"/>
      </w:pPr>
      <w:r w:rsidRPr="00F541ED">
        <w:lastRenderedPageBreak/>
        <w:t>Broker-Mediated Provisioning</w:t>
      </w:r>
    </w:p>
    <w:p w14:paraId="46DF70B4" w14:textId="59FC7C64" w:rsidR="00F541ED" w:rsidRPr="00F541ED" w:rsidRDefault="00F541ED" w:rsidP="00F541ED">
      <w:pPr>
        <w:pStyle w:val="BodyText"/>
      </w:pPr>
      <w:r w:rsidRPr="00F541ED">
        <w:t>A third-party broker handles identity and role translation between external systems and the local service, provisioning users as they appear.</w:t>
      </w:r>
    </w:p>
    <w:p w14:paraId="04F3955E" w14:textId="77777777" w:rsidR="00F541ED" w:rsidRPr="00F541ED" w:rsidRDefault="00F541ED" w:rsidP="00F541ED">
      <w:pPr>
        <w:pStyle w:val="BodyText"/>
      </w:pPr>
      <w:r w:rsidRPr="00F541ED">
        <w:t>Advantage:</w:t>
      </w:r>
      <w:r w:rsidRPr="00F541ED">
        <w:br/>
        <w:t>Centralises federation logic and reduces local integration complexity.</w:t>
      </w:r>
    </w:p>
    <w:p w14:paraId="0FB5E0D0" w14:textId="77777777" w:rsidR="00F541ED" w:rsidRPr="00F541ED" w:rsidRDefault="00F541ED" w:rsidP="00F541ED">
      <w:pPr>
        <w:pStyle w:val="BodyText"/>
      </w:pPr>
      <w:r w:rsidRPr="00F541ED">
        <w:t>Disadvantage:</w:t>
      </w:r>
      <w:r w:rsidRPr="00F541ED">
        <w:br/>
        <w:t>Can obscure provenance or lose user-level intent. Breaks when brokers change or upstream identity shifts.</w:t>
      </w:r>
    </w:p>
    <w:p w14:paraId="4F7E3EBD" w14:textId="77777777" w:rsidR="00F541ED" w:rsidRPr="00F541ED" w:rsidRDefault="00F541ED" w:rsidP="00F541ED">
      <w:pPr>
        <w:pStyle w:val="BodyText"/>
      </w:pPr>
      <w:r w:rsidRPr="00F541ED">
        <w:t>Consideration:</w:t>
      </w:r>
      <w:r w:rsidRPr="00F541ED">
        <w:br/>
        <w:t xml:space="preserve">Broker configuration and monitoring requires </w:t>
      </w:r>
      <w:proofErr w:type="gramStart"/>
      <w:r w:rsidRPr="00F541ED">
        <w:t>an initial</w:t>
      </w:r>
      <w:proofErr w:type="gramEnd"/>
      <w:r w:rsidRPr="00F541ED">
        <w:t xml:space="preserve"> provisioning step, handled manually or through invitation by an authorised user.</w:t>
      </w:r>
    </w:p>
    <w:p w14:paraId="710C6084" w14:textId="77777777" w:rsidR="00F541ED" w:rsidRPr="00A274B2" w:rsidRDefault="00F541ED" w:rsidP="00A274B2">
      <w:pPr>
        <w:pStyle w:val="BodyText"/>
      </w:pPr>
    </w:p>
    <w:p w14:paraId="50E6C9C8" w14:textId="77777777" w:rsidR="00C710A8" w:rsidRPr="000E5784" w:rsidRDefault="00C710A8" w:rsidP="000E5784">
      <w:pPr>
        <w:pStyle w:val="BodyText"/>
      </w:pP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4" w:name="Location_Appendices"/>
      <w:bookmarkStart w:id="5" w:name="_Toc145049430"/>
      <w:bookmarkStart w:id="6" w:name="_Toc195791714"/>
      <w:bookmarkEnd w:id="4"/>
      <w:r>
        <w:lastRenderedPageBreak/>
        <w:t>Appendices</w:t>
      </w:r>
      <w:bookmarkEnd w:id="5"/>
      <w:bookmarkEnd w:id="6"/>
    </w:p>
    <w:p w14:paraId="2F89881E" w14:textId="1FCDE4B2" w:rsidR="000D0A25" w:rsidRDefault="005255FC" w:rsidP="005C7C13">
      <w:pPr>
        <w:pStyle w:val="Appendix"/>
      </w:pPr>
      <w:bookmarkStart w:id="7" w:name="_Toc145049431"/>
      <w:bookmarkStart w:id="8" w:name="_Toc195791715"/>
      <w:r w:rsidRPr="005C7C13">
        <w:t xml:space="preserve">Appendix A - </w:t>
      </w:r>
      <w:r w:rsidR="008C39DC" w:rsidRPr="005C7C13">
        <w:t>Document</w:t>
      </w:r>
      <w:r w:rsidR="00DA59D0" w:rsidRPr="005C7C13">
        <w:t xml:space="preserve"> Information</w:t>
      </w:r>
      <w:bookmarkEnd w:id="7"/>
      <w:bookmarkEnd w:id="8"/>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9" w:name="_Toc195791716"/>
      <w:r>
        <w:t>Versions</w:t>
      </w:r>
      <w:bookmarkEnd w:id="9"/>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0" w:name="_Toc195791717"/>
      <w:r>
        <w:t>Images</w:t>
      </w:r>
      <w:bookmarkEnd w:id="1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1" w:name="_Toc195791718"/>
      <w:r w:rsidRPr="001E2299">
        <w:t>Tables</w:t>
      </w:r>
      <w:bookmarkEnd w:id="1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2" w:name="_Toc195791719"/>
      <w:r>
        <w:t>References</w:t>
      </w:r>
      <w:bookmarkEnd w:id="1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3" w:name="_Toc195791720"/>
      <w:r>
        <w:t>Review Distribution</w:t>
      </w:r>
      <w:bookmarkEnd w:id="1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5" w:name="_Toc195791721"/>
      <w:bookmarkEnd w:id="14"/>
      <w:r>
        <w:t>Audience</w:t>
      </w:r>
      <w:bookmarkEnd w:id="1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6" w:name="_Toc195791722"/>
      <w:r>
        <w:t>Structure</w:t>
      </w:r>
      <w:bookmarkEnd w:id="1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7" w:name="_Toc195791723"/>
      <w:r>
        <w:lastRenderedPageBreak/>
        <w:t>Diagrams</w:t>
      </w:r>
      <w:bookmarkEnd w:id="17"/>
    </w:p>
    <w:p w14:paraId="65008B06" w14:textId="1507D50E" w:rsidR="00660C49" w:rsidRDefault="00660C49" w:rsidP="008C39DC">
      <w:pPr>
        <w:pStyle w:val="BodyText"/>
      </w:pPr>
      <w:bookmarkStart w:id="1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19" w:name="_Toc195791724"/>
      <w:bookmarkStart w:id="20" w:name="_Hlk174689663"/>
      <w:bookmarkEnd w:id="18"/>
      <w:r>
        <w:t>Acronyms</w:t>
      </w:r>
      <w:bookmarkEnd w:id="19"/>
    </w:p>
    <w:p w14:paraId="3FF05247" w14:textId="77777777" w:rsidR="00A8163B" w:rsidRPr="00A8163B" w:rsidRDefault="00A8163B" w:rsidP="006D133E">
      <w:pPr>
        <w:pStyle w:val="Term-Def"/>
        <w:rPr>
          <w:vanish/>
          <w:specVanish/>
        </w:rPr>
      </w:pPr>
      <w:bookmarkStart w:id="21" w:name="Acronym_API"/>
      <w:bookmarkEnd w:id="2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2" w:name="Acronym_GUI"/>
      <w:bookmarkEnd w:id="2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3" w:name="Acronym_UI"/>
      <w:bookmarkStart w:id="24" w:name="Acronym_ICT"/>
      <w:bookmarkEnd w:id="23"/>
      <w:bookmarkEnd w:id="2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5" w:name="Acronym_IT"/>
      <w:bookmarkEnd w:id="25"/>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6" w:name="_Toc195791725"/>
      <w:r>
        <w:t>Terms</w:t>
      </w:r>
      <w:bookmarkEnd w:id="2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7" w:name="Term_ApplicationProgrammingInterface"/>
      <w:bookmarkEnd w:id="2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8" w:name="Term_User"/>
      <w:bookmarkEnd w:id="2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9" w:name="Term_UserInterface"/>
      <w:bookmarkEnd w:id="2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5B1CE" w14:textId="77777777" w:rsidR="00D74F8A" w:rsidRDefault="00D74F8A" w:rsidP="0021141C">
      <w:pPr>
        <w:spacing w:before="0" w:after="0" w:line="240" w:lineRule="auto"/>
      </w:pPr>
      <w:r>
        <w:separator/>
      </w:r>
    </w:p>
    <w:p w14:paraId="3062F365" w14:textId="77777777" w:rsidR="00D74F8A" w:rsidRDefault="00D74F8A"/>
  </w:endnote>
  <w:endnote w:type="continuationSeparator" w:id="0">
    <w:p w14:paraId="70BACD62" w14:textId="77777777" w:rsidR="00D74F8A" w:rsidRDefault="00D74F8A" w:rsidP="0021141C">
      <w:pPr>
        <w:spacing w:before="0" w:after="0" w:line="240" w:lineRule="auto"/>
      </w:pPr>
      <w:r>
        <w:continuationSeparator/>
      </w:r>
    </w:p>
    <w:p w14:paraId="49660E81" w14:textId="77777777" w:rsidR="00D74F8A" w:rsidRDefault="00D74F8A"/>
  </w:endnote>
  <w:endnote w:type="continuationNotice" w:id="1">
    <w:p w14:paraId="28517CFF" w14:textId="77777777" w:rsidR="00D74F8A" w:rsidRDefault="00D74F8A">
      <w:pPr>
        <w:spacing w:before="0" w:after="0" w:line="240" w:lineRule="auto"/>
      </w:pPr>
    </w:p>
    <w:p w14:paraId="5935009A" w14:textId="77777777" w:rsidR="00D74F8A" w:rsidRDefault="00D74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FB2F" w14:textId="77777777" w:rsidR="00D74F8A" w:rsidRDefault="00D74F8A" w:rsidP="0021141C">
      <w:pPr>
        <w:spacing w:before="0" w:after="0" w:line="240" w:lineRule="auto"/>
      </w:pPr>
      <w:r>
        <w:separator/>
      </w:r>
    </w:p>
    <w:p w14:paraId="6A38FEB5" w14:textId="77777777" w:rsidR="00D74F8A" w:rsidRDefault="00D74F8A"/>
  </w:footnote>
  <w:footnote w:type="continuationSeparator" w:id="0">
    <w:p w14:paraId="6617E28A" w14:textId="77777777" w:rsidR="00D74F8A" w:rsidRDefault="00D74F8A" w:rsidP="0021141C">
      <w:pPr>
        <w:spacing w:before="0" w:after="0" w:line="240" w:lineRule="auto"/>
      </w:pPr>
      <w:r>
        <w:continuationSeparator/>
      </w:r>
    </w:p>
    <w:p w14:paraId="3D5AC5CA" w14:textId="77777777" w:rsidR="00D74F8A" w:rsidRDefault="00D74F8A"/>
  </w:footnote>
  <w:footnote w:type="continuationNotice" w:id="1">
    <w:p w14:paraId="08D3461E" w14:textId="77777777" w:rsidR="00D74F8A" w:rsidRDefault="00D74F8A">
      <w:pPr>
        <w:spacing w:before="0" w:after="0" w:line="240" w:lineRule="auto"/>
      </w:pPr>
    </w:p>
    <w:p w14:paraId="2C35AE63" w14:textId="77777777" w:rsidR="00D74F8A" w:rsidRDefault="00D74F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526F"/>
    <w:rsid w:val="00036876"/>
    <w:rsid w:val="00054E18"/>
    <w:rsid w:val="000708F4"/>
    <w:rsid w:val="00087BBD"/>
    <w:rsid w:val="00092DFD"/>
    <w:rsid w:val="00095D25"/>
    <w:rsid w:val="000B104B"/>
    <w:rsid w:val="000C59D1"/>
    <w:rsid w:val="000D0A25"/>
    <w:rsid w:val="000E5784"/>
    <w:rsid w:val="000F10AE"/>
    <w:rsid w:val="00106AA0"/>
    <w:rsid w:val="0011016B"/>
    <w:rsid w:val="00114111"/>
    <w:rsid w:val="00117A5F"/>
    <w:rsid w:val="00120B89"/>
    <w:rsid w:val="00126099"/>
    <w:rsid w:val="0012615C"/>
    <w:rsid w:val="00130E9B"/>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3BCB"/>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213F"/>
    <w:rsid w:val="00486B4D"/>
    <w:rsid w:val="00491255"/>
    <w:rsid w:val="00491649"/>
    <w:rsid w:val="00494AFA"/>
    <w:rsid w:val="004B03AD"/>
    <w:rsid w:val="004B29E9"/>
    <w:rsid w:val="004D1F0C"/>
    <w:rsid w:val="004D5390"/>
    <w:rsid w:val="0050196C"/>
    <w:rsid w:val="005255FC"/>
    <w:rsid w:val="00527DA5"/>
    <w:rsid w:val="005432E3"/>
    <w:rsid w:val="00552B9B"/>
    <w:rsid w:val="005571FD"/>
    <w:rsid w:val="005604D5"/>
    <w:rsid w:val="00560A3D"/>
    <w:rsid w:val="00563AF9"/>
    <w:rsid w:val="00594C1D"/>
    <w:rsid w:val="005A54A0"/>
    <w:rsid w:val="005A5EB4"/>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B1311"/>
    <w:rsid w:val="006C4C9A"/>
    <w:rsid w:val="006D133E"/>
    <w:rsid w:val="006D5B4C"/>
    <w:rsid w:val="006E0BDE"/>
    <w:rsid w:val="00702ADE"/>
    <w:rsid w:val="0071118C"/>
    <w:rsid w:val="007409DD"/>
    <w:rsid w:val="007414F0"/>
    <w:rsid w:val="00753774"/>
    <w:rsid w:val="00757D2C"/>
    <w:rsid w:val="0077333E"/>
    <w:rsid w:val="00777D1C"/>
    <w:rsid w:val="00784B4F"/>
    <w:rsid w:val="00784C1E"/>
    <w:rsid w:val="007942F2"/>
    <w:rsid w:val="007D13C5"/>
    <w:rsid w:val="007D7BF7"/>
    <w:rsid w:val="007E0184"/>
    <w:rsid w:val="007E7720"/>
    <w:rsid w:val="0080032D"/>
    <w:rsid w:val="008059D9"/>
    <w:rsid w:val="00813161"/>
    <w:rsid w:val="008173B1"/>
    <w:rsid w:val="00821494"/>
    <w:rsid w:val="00840295"/>
    <w:rsid w:val="00855420"/>
    <w:rsid w:val="00873F86"/>
    <w:rsid w:val="00882316"/>
    <w:rsid w:val="00887DCB"/>
    <w:rsid w:val="008948E7"/>
    <w:rsid w:val="008C39DC"/>
    <w:rsid w:val="008C7EE4"/>
    <w:rsid w:val="008E13CD"/>
    <w:rsid w:val="008F03A3"/>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274B2"/>
    <w:rsid w:val="00A35493"/>
    <w:rsid w:val="00A452E3"/>
    <w:rsid w:val="00A50624"/>
    <w:rsid w:val="00A518F7"/>
    <w:rsid w:val="00A56AE2"/>
    <w:rsid w:val="00A666E1"/>
    <w:rsid w:val="00A66ADD"/>
    <w:rsid w:val="00A8163B"/>
    <w:rsid w:val="00A85DA6"/>
    <w:rsid w:val="00A940C5"/>
    <w:rsid w:val="00A9559B"/>
    <w:rsid w:val="00A978EF"/>
    <w:rsid w:val="00AA6C54"/>
    <w:rsid w:val="00AB1636"/>
    <w:rsid w:val="00AB55CB"/>
    <w:rsid w:val="00AB7E1E"/>
    <w:rsid w:val="00AC1216"/>
    <w:rsid w:val="00AC5AA4"/>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10A8"/>
    <w:rsid w:val="00C72A06"/>
    <w:rsid w:val="00C736AE"/>
    <w:rsid w:val="00C919E0"/>
    <w:rsid w:val="00CA0CF5"/>
    <w:rsid w:val="00CA1319"/>
    <w:rsid w:val="00CA1795"/>
    <w:rsid w:val="00CC05A0"/>
    <w:rsid w:val="00CD5A39"/>
    <w:rsid w:val="00CF555A"/>
    <w:rsid w:val="00D227BE"/>
    <w:rsid w:val="00D27A89"/>
    <w:rsid w:val="00D37061"/>
    <w:rsid w:val="00D44A12"/>
    <w:rsid w:val="00D7253D"/>
    <w:rsid w:val="00D74F8A"/>
    <w:rsid w:val="00D812C7"/>
    <w:rsid w:val="00D8584C"/>
    <w:rsid w:val="00D85D97"/>
    <w:rsid w:val="00DA59D0"/>
    <w:rsid w:val="00DC2141"/>
    <w:rsid w:val="00DC254E"/>
    <w:rsid w:val="00DD01A9"/>
    <w:rsid w:val="00DD40E3"/>
    <w:rsid w:val="00DD47E3"/>
    <w:rsid w:val="00DD4CA2"/>
    <w:rsid w:val="00DE19E5"/>
    <w:rsid w:val="00DF4C84"/>
    <w:rsid w:val="00DF7966"/>
    <w:rsid w:val="00E07FDB"/>
    <w:rsid w:val="00E14448"/>
    <w:rsid w:val="00E33E50"/>
    <w:rsid w:val="00E368CC"/>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541ED"/>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0352654">
      <w:bodyDiv w:val="1"/>
      <w:marLeft w:val="0"/>
      <w:marRight w:val="0"/>
      <w:marTop w:val="0"/>
      <w:marBottom w:val="0"/>
      <w:divBdr>
        <w:top w:val="none" w:sz="0" w:space="0" w:color="auto"/>
        <w:left w:val="none" w:sz="0" w:space="0" w:color="auto"/>
        <w:bottom w:val="none" w:sz="0" w:space="0" w:color="auto"/>
        <w:right w:val="none" w:sz="0" w:space="0" w:color="auto"/>
      </w:divBdr>
    </w:div>
    <w:div w:id="83838851">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56728237">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8834167">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34291589">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6400020">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2534601">
      <w:bodyDiv w:val="1"/>
      <w:marLeft w:val="0"/>
      <w:marRight w:val="0"/>
      <w:marTop w:val="0"/>
      <w:marBottom w:val="0"/>
      <w:divBdr>
        <w:top w:val="none" w:sz="0" w:space="0" w:color="auto"/>
        <w:left w:val="none" w:sz="0" w:space="0" w:color="auto"/>
        <w:bottom w:val="none" w:sz="0" w:space="0" w:color="auto"/>
        <w:right w:val="none" w:sz="0" w:space="0" w:color="auto"/>
      </w:divBdr>
      <w:divsChild>
        <w:div w:id="289828442">
          <w:marLeft w:val="0"/>
          <w:marRight w:val="0"/>
          <w:marTop w:val="0"/>
          <w:marBottom w:val="0"/>
          <w:divBdr>
            <w:top w:val="none" w:sz="0" w:space="0" w:color="auto"/>
            <w:left w:val="none" w:sz="0" w:space="0" w:color="auto"/>
            <w:bottom w:val="none" w:sz="0" w:space="0" w:color="auto"/>
            <w:right w:val="none" w:sz="0" w:space="0" w:color="auto"/>
          </w:divBdr>
          <w:divsChild>
            <w:div w:id="1011418576">
              <w:marLeft w:val="0"/>
              <w:marRight w:val="0"/>
              <w:marTop w:val="0"/>
              <w:marBottom w:val="0"/>
              <w:divBdr>
                <w:top w:val="none" w:sz="0" w:space="0" w:color="auto"/>
                <w:left w:val="none" w:sz="0" w:space="0" w:color="auto"/>
                <w:bottom w:val="none" w:sz="0" w:space="0" w:color="auto"/>
                <w:right w:val="none" w:sz="0" w:space="0" w:color="auto"/>
              </w:divBdr>
              <w:divsChild>
                <w:div w:id="1261841199">
                  <w:marLeft w:val="0"/>
                  <w:marRight w:val="0"/>
                  <w:marTop w:val="0"/>
                  <w:marBottom w:val="0"/>
                  <w:divBdr>
                    <w:top w:val="none" w:sz="0" w:space="0" w:color="auto"/>
                    <w:left w:val="none" w:sz="0" w:space="0" w:color="auto"/>
                    <w:bottom w:val="none" w:sz="0" w:space="0" w:color="auto"/>
                    <w:right w:val="none" w:sz="0" w:space="0" w:color="auto"/>
                  </w:divBdr>
                  <w:divsChild>
                    <w:div w:id="17319145">
                      <w:marLeft w:val="0"/>
                      <w:marRight w:val="0"/>
                      <w:marTop w:val="0"/>
                      <w:marBottom w:val="0"/>
                      <w:divBdr>
                        <w:top w:val="none" w:sz="0" w:space="0" w:color="auto"/>
                        <w:left w:val="none" w:sz="0" w:space="0" w:color="auto"/>
                        <w:bottom w:val="none" w:sz="0" w:space="0" w:color="auto"/>
                        <w:right w:val="none" w:sz="0" w:space="0" w:color="auto"/>
                      </w:divBdr>
                      <w:divsChild>
                        <w:div w:id="14428843">
                          <w:marLeft w:val="0"/>
                          <w:marRight w:val="0"/>
                          <w:marTop w:val="0"/>
                          <w:marBottom w:val="0"/>
                          <w:divBdr>
                            <w:top w:val="none" w:sz="0" w:space="0" w:color="auto"/>
                            <w:left w:val="none" w:sz="0" w:space="0" w:color="auto"/>
                            <w:bottom w:val="none" w:sz="0" w:space="0" w:color="auto"/>
                            <w:right w:val="none" w:sz="0" w:space="0" w:color="auto"/>
                          </w:divBdr>
                          <w:divsChild>
                            <w:div w:id="1036202137">
                              <w:marLeft w:val="0"/>
                              <w:marRight w:val="0"/>
                              <w:marTop w:val="0"/>
                              <w:marBottom w:val="0"/>
                              <w:divBdr>
                                <w:top w:val="none" w:sz="0" w:space="0" w:color="auto"/>
                                <w:left w:val="none" w:sz="0" w:space="0" w:color="auto"/>
                                <w:bottom w:val="none" w:sz="0" w:space="0" w:color="auto"/>
                                <w:right w:val="none" w:sz="0" w:space="0" w:color="auto"/>
                              </w:divBdr>
                              <w:divsChild>
                                <w:div w:id="1396511090">
                                  <w:marLeft w:val="0"/>
                                  <w:marRight w:val="0"/>
                                  <w:marTop w:val="0"/>
                                  <w:marBottom w:val="0"/>
                                  <w:divBdr>
                                    <w:top w:val="none" w:sz="0" w:space="0" w:color="auto"/>
                                    <w:left w:val="none" w:sz="0" w:space="0" w:color="auto"/>
                                    <w:bottom w:val="none" w:sz="0" w:space="0" w:color="auto"/>
                                    <w:right w:val="none" w:sz="0" w:space="0" w:color="auto"/>
                                  </w:divBdr>
                                  <w:divsChild>
                                    <w:div w:id="11190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00658933">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6278819">
      <w:bodyDiv w:val="1"/>
      <w:marLeft w:val="0"/>
      <w:marRight w:val="0"/>
      <w:marTop w:val="0"/>
      <w:marBottom w:val="0"/>
      <w:divBdr>
        <w:top w:val="none" w:sz="0" w:space="0" w:color="auto"/>
        <w:left w:val="none" w:sz="0" w:space="0" w:color="auto"/>
        <w:bottom w:val="none" w:sz="0" w:space="0" w:color="auto"/>
        <w:right w:val="none" w:sz="0" w:space="0" w:color="auto"/>
      </w:divBdr>
    </w:div>
    <w:div w:id="658853081">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42817259">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104978">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68956555">
      <w:bodyDiv w:val="1"/>
      <w:marLeft w:val="0"/>
      <w:marRight w:val="0"/>
      <w:marTop w:val="0"/>
      <w:marBottom w:val="0"/>
      <w:divBdr>
        <w:top w:val="none" w:sz="0" w:space="0" w:color="auto"/>
        <w:left w:val="none" w:sz="0" w:space="0" w:color="auto"/>
        <w:bottom w:val="none" w:sz="0" w:space="0" w:color="auto"/>
        <w:right w:val="none" w:sz="0" w:space="0" w:color="auto"/>
      </w:divBdr>
    </w:div>
    <w:div w:id="902831903">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51668427">
      <w:bodyDiv w:val="1"/>
      <w:marLeft w:val="0"/>
      <w:marRight w:val="0"/>
      <w:marTop w:val="0"/>
      <w:marBottom w:val="0"/>
      <w:divBdr>
        <w:top w:val="none" w:sz="0" w:space="0" w:color="auto"/>
        <w:left w:val="none" w:sz="0" w:space="0" w:color="auto"/>
        <w:bottom w:val="none" w:sz="0" w:space="0" w:color="auto"/>
        <w:right w:val="none" w:sz="0" w:space="0" w:color="auto"/>
      </w:divBdr>
      <w:divsChild>
        <w:div w:id="854616740">
          <w:marLeft w:val="0"/>
          <w:marRight w:val="0"/>
          <w:marTop w:val="0"/>
          <w:marBottom w:val="0"/>
          <w:divBdr>
            <w:top w:val="none" w:sz="0" w:space="0" w:color="auto"/>
            <w:left w:val="none" w:sz="0" w:space="0" w:color="auto"/>
            <w:bottom w:val="none" w:sz="0" w:space="0" w:color="auto"/>
            <w:right w:val="none" w:sz="0" w:space="0" w:color="auto"/>
          </w:divBdr>
          <w:divsChild>
            <w:div w:id="573390430">
              <w:marLeft w:val="0"/>
              <w:marRight w:val="0"/>
              <w:marTop w:val="0"/>
              <w:marBottom w:val="0"/>
              <w:divBdr>
                <w:top w:val="none" w:sz="0" w:space="0" w:color="auto"/>
                <w:left w:val="none" w:sz="0" w:space="0" w:color="auto"/>
                <w:bottom w:val="none" w:sz="0" w:space="0" w:color="auto"/>
                <w:right w:val="none" w:sz="0" w:space="0" w:color="auto"/>
              </w:divBdr>
              <w:divsChild>
                <w:div w:id="1751073134">
                  <w:marLeft w:val="0"/>
                  <w:marRight w:val="0"/>
                  <w:marTop w:val="0"/>
                  <w:marBottom w:val="0"/>
                  <w:divBdr>
                    <w:top w:val="none" w:sz="0" w:space="0" w:color="auto"/>
                    <w:left w:val="none" w:sz="0" w:space="0" w:color="auto"/>
                    <w:bottom w:val="none" w:sz="0" w:space="0" w:color="auto"/>
                    <w:right w:val="none" w:sz="0" w:space="0" w:color="auto"/>
                  </w:divBdr>
                  <w:divsChild>
                    <w:div w:id="626081479">
                      <w:marLeft w:val="0"/>
                      <w:marRight w:val="0"/>
                      <w:marTop w:val="0"/>
                      <w:marBottom w:val="0"/>
                      <w:divBdr>
                        <w:top w:val="none" w:sz="0" w:space="0" w:color="auto"/>
                        <w:left w:val="none" w:sz="0" w:space="0" w:color="auto"/>
                        <w:bottom w:val="none" w:sz="0" w:space="0" w:color="auto"/>
                        <w:right w:val="none" w:sz="0" w:space="0" w:color="auto"/>
                      </w:divBdr>
                      <w:divsChild>
                        <w:div w:id="1325235700">
                          <w:marLeft w:val="0"/>
                          <w:marRight w:val="0"/>
                          <w:marTop w:val="0"/>
                          <w:marBottom w:val="0"/>
                          <w:divBdr>
                            <w:top w:val="none" w:sz="0" w:space="0" w:color="auto"/>
                            <w:left w:val="none" w:sz="0" w:space="0" w:color="auto"/>
                            <w:bottom w:val="none" w:sz="0" w:space="0" w:color="auto"/>
                            <w:right w:val="none" w:sz="0" w:space="0" w:color="auto"/>
                          </w:divBdr>
                          <w:divsChild>
                            <w:div w:id="525485813">
                              <w:marLeft w:val="0"/>
                              <w:marRight w:val="0"/>
                              <w:marTop w:val="0"/>
                              <w:marBottom w:val="0"/>
                              <w:divBdr>
                                <w:top w:val="none" w:sz="0" w:space="0" w:color="auto"/>
                                <w:left w:val="none" w:sz="0" w:space="0" w:color="auto"/>
                                <w:bottom w:val="none" w:sz="0" w:space="0" w:color="auto"/>
                                <w:right w:val="none" w:sz="0" w:space="0" w:color="auto"/>
                              </w:divBdr>
                              <w:divsChild>
                                <w:div w:id="1339189793">
                                  <w:marLeft w:val="0"/>
                                  <w:marRight w:val="0"/>
                                  <w:marTop w:val="0"/>
                                  <w:marBottom w:val="0"/>
                                  <w:divBdr>
                                    <w:top w:val="none" w:sz="0" w:space="0" w:color="auto"/>
                                    <w:left w:val="none" w:sz="0" w:space="0" w:color="auto"/>
                                    <w:bottom w:val="none" w:sz="0" w:space="0" w:color="auto"/>
                                    <w:right w:val="none" w:sz="0" w:space="0" w:color="auto"/>
                                  </w:divBdr>
                                  <w:divsChild>
                                    <w:div w:id="9119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21778381">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93959751">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093770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478994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6267871">
      <w:bodyDiv w:val="1"/>
      <w:marLeft w:val="0"/>
      <w:marRight w:val="0"/>
      <w:marTop w:val="0"/>
      <w:marBottom w:val="0"/>
      <w:divBdr>
        <w:top w:val="none" w:sz="0" w:space="0" w:color="auto"/>
        <w:left w:val="none" w:sz="0" w:space="0" w:color="auto"/>
        <w:bottom w:val="none" w:sz="0" w:space="0" w:color="auto"/>
        <w:right w:val="none" w:sz="0" w:space="0" w:color="auto"/>
      </w:divBdr>
      <w:divsChild>
        <w:div w:id="240650289">
          <w:marLeft w:val="0"/>
          <w:marRight w:val="0"/>
          <w:marTop w:val="0"/>
          <w:marBottom w:val="0"/>
          <w:divBdr>
            <w:top w:val="none" w:sz="0" w:space="0" w:color="auto"/>
            <w:left w:val="none" w:sz="0" w:space="0" w:color="auto"/>
            <w:bottom w:val="none" w:sz="0" w:space="0" w:color="auto"/>
            <w:right w:val="none" w:sz="0" w:space="0" w:color="auto"/>
          </w:divBdr>
          <w:divsChild>
            <w:div w:id="1731688343">
              <w:marLeft w:val="0"/>
              <w:marRight w:val="0"/>
              <w:marTop w:val="0"/>
              <w:marBottom w:val="0"/>
              <w:divBdr>
                <w:top w:val="none" w:sz="0" w:space="0" w:color="auto"/>
                <w:left w:val="none" w:sz="0" w:space="0" w:color="auto"/>
                <w:bottom w:val="none" w:sz="0" w:space="0" w:color="auto"/>
                <w:right w:val="none" w:sz="0" w:space="0" w:color="auto"/>
              </w:divBdr>
              <w:divsChild>
                <w:div w:id="1853953255">
                  <w:marLeft w:val="0"/>
                  <w:marRight w:val="0"/>
                  <w:marTop w:val="0"/>
                  <w:marBottom w:val="0"/>
                  <w:divBdr>
                    <w:top w:val="none" w:sz="0" w:space="0" w:color="auto"/>
                    <w:left w:val="none" w:sz="0" w:space="0" w:color="auto"/>
                    <w:bottom w:val="none" w:sz="0" w:space="0" w:color="auto"/>
                    <w:right w:val="none" w:sz="0" w:space="0" w:color="auto"/>
                  </w:divBdr>
                  <w:divsChild>
                    <w:div w:id="734743613">
                      <w:marLeft w:val="0"/>
                      <w:marRight w:val="0"/>
                      <w:marTop w:val="0"/>
                      <w:marBottom w:val="0"/>
                      <w:divBdr>
                        <w:top w:val="none" w:sz="0" w:space="0" w:color="auto"/>
                        <w:left w:val="none" w:sz="0" w:space="0" w:color="auto"/>
                        <w:bottom w:val="none" w:sz="0" w:space="0" w:color="auto"/>
                        <w:right w:val="none" w:sz="0" w:space="0" w:color="auto"/>
                      </w:divBdr>
                      <w:divsChild>
                        <w:div w:id="1154179277">
                          <w:marLeft w:val="0"/>
                          <w:marRight w:val="0"/>
                          <w:marTop w:val="0"/>
                          <w:marBottom w:val="0"/>
                          <w:divBdr>
                            <w:top w:val="none" w:sz="0" w:space="0" w:color="auto"/>
                            <w:left w:val="none" w:sz="0" w:space="0" w:color="auto"/>
                            <w:bottom w:val="none" w:sz="0" w:space="0" w:color="auto"/>
                            <w:right w:val="none" w:sz="0" w:space="0" w:color="auto"/>
                          </w:divBdr>
                          <w:divsChild>
                            <w:div w:id="912204144">
                              <w:marLeft w:val="0"/>
                              <w:marRight w:val="0"/>
                              <w:marTop w:val="0"/>
                              <w:marBottom w:val="0"/>
                              <w:divBdr>
                                <w:top w:val="none" w:sz="0" w:space="0" w:color="auto"/>
                                <w:left w:val="none" w:sz="0" w:space="0" w:color="auto"/>
                                <w:bottom w:val="none" w:sz="0" w:space="0" w:color="auto"/>
                                <w:right w:val="none" w:sz="0" w:space="0" w:color="auto"/>
                              </w:divBdr>
                              <w:divsChild>
                                <w:div w:id="948665387">
                                  <w:marLeft w:val="0"/>
                                  <w:marRight w:val="0"/>
                                  <w:marTop w:val="0"/>
                                  <w:marBottom w:val="0"/>
                                  <w:divBdr>
                                    <w:top w:val="none" w:sz="0" w:space="0" w:color="auto"/>
                                    <w:left w:val="none" w:sz="0" w:space="0" w:color="auto"/>
                                    <w:bottom w:val="none" w:sz="0" w:space="0" w:color="auto"/>
                                    <w:right w:val="none" w:sz="0" w:space="0" w:color="auto"/>
                                  </w:divBdr>
                                  <w:divsChild>
                                    <w:div w:id="2829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68510329">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9088423">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6338584">
      <w:bodyDiv w:val="1"/>
      <w:marLeft w:val="0"/>
      <w:marRight w:val="0"/>
      <w:marTop w:val="0"/>
      <w:marBottom w:val="0"/>
      <w:divBdr>
        <w:top w:val="none" w:sz="0" w:space="0" w:color="auto"/>
        <w:left w:val="none" w:sz="0" w:space="0" w:color="auto"/>
        <w:bottom w:val="none" w:sz="0" w:space="0" w:color="auto"/>
        <w:right w:val="none" w:sz="0" w:space="0" w:color="auto"/>
      </w:divBdr>
    </w:div>
    <w:div w:id="1779250754">
      <w:bodyDiv w:val="1"/>
      <w:marLeft w:val="0"/>
      <w:marRight w:val="0"/>
      <w:marTop w:val="0"/>
      <w:marBottom w:val="0"/>
      <w:divBdr>
        <w:top w:val="none" w:sz="0" w:space="0" w:color="auto"/>
        <w:left w:val="none" w:sz="0" w:space="0" w:color="auto"/>
        <w:bottom w:val="none" w:sz="0" w:space="0" w:color="auto"/>
        <w:right w:val="none" w:sz="0" w:space="0" w:color="auto"/>
      </w:divBdr>
      <w:divsChild>
        <w:div w:id="1833595871">
          <w:marLeft w:val="0"/>
          <w:marRight w:val="0"/>
          <w:marTop w:val="0"/>
          <w:marBottom w:val="0"/>
          <w:divBdr>
            <w:top w:val="none" w:sz="0" w:space="0" w:color="auto"/>
            <w:left w:val="none" w:sz="0" w:space="0" w:color="auto"/>
            <w:bottom w:val="none" w:sz="0" w:space="0" w:color="auto"/>
            <w:right w:val="none" w:sz="0" w:space="0" w:color="auto"/>
          </w:divBdr>
          <w:divsChild>
            <w:div w:id="762144097">
              <w:marLeft w:val="0"/>
              <w:marRight w:val="0"/>
              <w:marTop w:val="0"/>
              <w:marBottom w:val="0"/>
              <w:divBdr>
                <w:top w:val="none" w:sz="0" w:space="0" w:color="auto"/>
                <w:left w:val="none" w:sz="0" w:space="0" w:color="auto"/>
                <w:bottom w:val="none" w:sz="0" w:space="0" w:color="auto"/>
                <w:right w:val="none" w:sz="0" w:space="0" w:color="auto"/>
              </w:divBdr>
              <w:divsChild>
                <w:div w:id="121121422">
                  <w:marLeft w:val="0"/>
                  <w:marRight w:val="0"/>
                  <w:marTop w:val="0"/>
                  <w:marBottom w:val="0"/>
                  <w:divBdr>
                    <w:top w:val="none" w:sz="0" w:space="0" w:color="auto"/>
                    <w:left w:val="none" w:sz="0" w:space="0" w:color="auto"/>
                    <w:bottom w:val="none" w:sz="0" w:space="0" w:color="auto"/>
                    <w:right w:val="none" w:sz="0" w:space="0" w:color="auto"/>
                  </w:divBdr>
                  <w:divsChild>
                    <w:div w:id="1361005050">
                      <w:marLeft w:val="0"/>
                      <w:marRight w:val="0"/>
                      <w:marTop w:val="0"/>
                      <w:marBottom w:val="0"/>
                      <w:divBdr>
                        <w:top w:val="none" w:sz="0" w:space="0" w:color="auto"/>
                        <w:left w:val="none" w:sz="0" w:space="0" w:color="auto"/>
                        <w:bottom w:val="none" w:sz="0" w:space="0" w:color="auto"/>
                        <w:right w:val="none" w:sz="0" w:space="0" w:color="auto"/>
                      </w:divBdr>
                      <w:divsChild>
                        <w:div w:id="697701303">
                          <w:marLeft w:val="0"/>
                          <w:marRight w:val="0"/>
                          <w:marTop w:val="0"/>
                          <w:marBottom w:val="0"/>
                          <w:divBdr>
                            <w:top w:val="none" w:sz="0" w:space="0" w:color="auto"/>
                            <w:left w:val="none" w:sz="0" w:space="0" w:color="auto"/>
                            <w:bottom w:val="none" w:sz="0" w:space="0" w:color="auto"/>
                            <w:right w:val="none" w:sz="0" w:space="0" w:color="auto"/>
                          </w:divBdr>
                          <w:divsChild>
                            <w:div w:id="1186601186">
                              <w:marLeft w:val="0"/>
                              <w:marRight w:val="0"/>
                              <w:marTop w:val="0"/>
                              <w:marBottom w:val="0"/>
                              <w:divBdr>
                                <w:top w:val="none" w:sz="0" w:space="0" w:color="auto"/>
                                <w:left w:val="none" w:sz="0" w:space="0" w:color="auto"/>
                                <w:bottom w:val="none" w:sz="0" w:space="0" w:color="auto"/>
                                <w:right w:val="none" w:sz="0" w:space="0" w:color="auto"/>
                              </w:divBdr>
                              <w:divsChild>
                                <w:div w:id="236205679">
                                  <w:marLeft w:val="0"/>
                                  <w:marRight w:val="0"/>
                                  <w:marTop w:val="0"/>
                                  <w:marBottom w:val="0"/>
                                  <w:divBdr>
                                    <w:top w:val="none" w:sz="0" w:space="0" w:color="auto"/>
                                    <w:left w:val="none" w:sz="0" w:space="0" w:color="auto"/>
                                    <w:bottom w:val="none" w:sz="0" w:space="0" w:color="auto"/>
                                    <w:right w:val="none" w:sz="0" w:space="0" w:color="auto"/>
                                  </w:divBdr>
                                  <w:divsChild>
                                    <w:div w:id="19512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81514">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12813727">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1057842">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1126377">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11</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67</cp:revision>
  <cp:lastPrinted>2022-08-02T15:33:00Z</cp:lastPrinted>
  <dcterms:created xsi:type="dcterms:W3CDTF">2023-09-07T03:51:00Z</dcterms:created>
  <dcterms:modified xsi:type="dcterms:W3CDTF">2025-06-18T00:59:00Z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