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750DDFB" w:rsidR="008C39DC" w:rsidRDefault="00406BE4" w:rsidP="008C39DC">
      <w:pPr>
        <w:pStyle w:val="Title"/>
      </w:pPr>
      <w:r>
        <w:t>Paper  In an Era of Emergent Intelligence</w:t>
      </w:r>
    </w:p>
    <w:p w14:paraId="39614DFE" w14:textId="5183B803" w:rsidR="008C39DC" w:rsidRDefault="00406BE4" w:rsidP="008C39DC">
      <w:pPr>
        <w:pStyle w:val="Subtitle"/>
      </w:pPr>
      <w:r>
        <w:t>The Myth of Isolation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33B26A32" w:rsidR="00AE2E49" w:rsidRDefault="00406BE4" w:rsidP="00921365">
      <w:pPr>
        <w:pStyle w:val="BodyText"/>
      </w:pPr>
      <w:r>
        <w:t>TODO</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2B37B6EB" w14:textId="3774F4A3" w:rsidR="001E1230" w:rsidRDefault="00406BE4" w:rsidP="00406BE4">
      <w:pPr>
        <w:pStyle w:val="BodyText"/>
      </w:pPr>
      <w:r>
        <w:t>TODO</w:t>
      </w:r>
      <w:r w:rsidR="00921365">
        <w:br/>
      </w:r>
      <w:r w:rsidR="00921365">
        <w:br/>
      </w:r>
    </w:p>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05A85C12"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7172C1">
          <w:rPr>
            <w:noProof/>
            <w:webHidden/>
          </w:rPr>
          <w:t>1</w:t>
        </w:r>
        <w:r w:rsidR="00EC1D47">
          <w:rPr>
            <w:noProof/>
            <w:webHidden/>
          </w:rPr>
          <w:fldChar w:fldCharType="end"/>
        </w:r>
      </w:hyperlink>
    </w:p>
    <w:p w14:paraId="11FC3C82" w14:textId="549CC1FF"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7172C1">
          <w:rPr>
            <w:noProof/>
            <w:webHidden/>
          </w:rPr>
          <w:t>1</w:t>
        </w:r>
        <w:r w:rsidR="00EC1D47">
          <w:rPr>
            <w:noProof/>
            <w:webHidden/>
          </w:rPr>
          <w:fldChar w:fldCharType="end"/>
        </w:r>
      </w:hyperlink>
    </w:p>
    <w:p w14:paraId="14AA0F76" w14:textId="3AC7658B"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7172C1">
          <w:rPr>
            <w:noProof/>
            <w:webHidden/>
          </w:rPr>
          <w:t>2</w:t>
        </w:r>
        <w:r w:rsidR="00EC1D47">
          <w:rPr>
            <w:noProof/>
            <w:webHidden/>
          </w:rPr>
          <w:fldChar w:fldCharType="end"/>
        </w:r>
      </w:hyperlink>
    </w:p>
    <w:p w14:paraId="5B1FD93D" w14:textId="2C3B0412"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7172C1">
          <w:rPr>
            <w:noProof/>
            <w:webHidden/>
          </w:rPr>
          <w:t>3</w:t>
        </w:r>
        <w:r w:rsidR="00EC1D47">
          <w:rPr>
            <w:noProof/>
            <w:webHidden/>
          </w:rPr>
          <w:fldChar w:fldCharType="end"/>
        </w:r>
      </w:hyperlink>
    </w:p>
    <w:p w14:paraId="6FDDDBEA" w14:textId="696DA95F"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fldChar w:fldCharType="separate"/>
        </w:r>
        <w:r w:rsidR="007172C1">
          <w:rPr>
            <w:b/>
            <w:bCs/>
            <w:noProof/>
            <w:webHidden/>
            <w:lang w:val="en-US"/>
          </w:rPr>
          <w:t>Error! Bookmark not defined.</w:t>
        </w:r>
        <w:r w:rsidR="00EC1D47">
          <w:rPr>
            <w:noProof/>
            <w:webHidden/>
          </w:rPr>
          <w:fldChar w:fldCharType="end"/>
        </w:r>
      </w:hyperlink>
    </w:p>
    <w:p w14:paraId="2D4A8949" w14:textId="31F5AB1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fldChar w:fldCharType="separate"/>
        </w:r>
        <w:r w:rsidR="007172C1">
          <w:rPr>
            <w:b/>
            <w:bCs/>
            <w:noProof/>
            <w:webHidden/>
            <w:lang w:val="en-US"/>
          </w:rPr>
          <w:t>Error! Bookmark not defined.</w:t>
        </w:r>
        <w:r w:rsidR="00EC1D47">
          <w:rPr>
            <w:noProof/>
            <w:webHidden/>
          </w:rPr>
          <w:fldChar w:fldCharType="end"/>
        </w:r>
      </w:hyperlink>
    </w:p>
    <w:p w14:paraId="1F8170F1" w14:textId="134ED8D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fldChar w:fldCharType="separate"/>
        </w:r>
        <w:r w:rsidR="007172C1">
          <w:rPr>
            <w:b/>
            <w:bCs/>
            <w:noProof/>
            <w:webHidden/>
            <w:lang w:val="en-US"/>
          </w:rPr>
          <w:t>Error! Bookmark not defined.</w:t>
        </w:r>
        <w:r w:rsidR="00EC1D47">
          <w:rPr>
            <w:noProof/>
            <w:webHidden/>
          </w:rPr>
          <w:fldChar w:fldCharType="end"/>
        </w:r>
      </w:hyperlink>
    </w:p>
    <w:p w14:paraId="43D6829A" w14:textId="7D32974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fldChar w:fldCharType="separate"/>
        </w:r>
        <w:r w:rsidR="007172C1">
          <w:rPr>
            <w:b/>
            <w:bCs/>
            <w:noProof/>
            <w:webHidden/>
            <w:lang w:val="en-US"/>
          </w:rPr>
          <w:t>Error! Bookmark not defined.</w:t>
        </w:r>
        <w:r w:rsidR="00EC1D47">
          <w:rPr>
            <w:noProof/>
            <w:webHidden/>
          </w:rPr>
          <w:fldChar w:fldCharType="end"/>
        </w:r>
      </w:hyperlink>
    </w:p>
    <w:p w14:paraId="175D1880" w14:textId="0FD60FDE"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fldChar w:fldCharType="separate"/>
        </w:r>
        <w:r w:rsidR="007172C1">
          <w:rPr>
            <w:b/>
            <w:bCs/>
            <w:noProof/>
            <w:webHidden/>
            <w:lang w:val="en-US"/>
          </w:rPr>
          <w:t>Error! Bookmark not defined.</w:t>
        </w:r>
        <w:r w:rsidR="00EC1D47">
          <w:rPr>
            <w:noProof/>
            <w:webHidden/>
          </w:rPr>
          <w:fldChar w:fldCharType="end"/>
        </w:r>
      </w:hyperlink>
    </w:p>
    <w:p w14:paraId="6981B612" w14:textId="0DAF8581"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fldChar w:fldCharType="separate"/>
        </w:r>
        <w:r w:rsidR="007172C1">
          <w:rPr>
            <w:b/>
            <w:bCs/>
            <w:noProof/>
            <w:webHidden/>
            <w:lang w:val="en-US"/>
          </w:rPr>
          <w:t>Error! Bookmark not defined.</w:t>
        </w:r>
        <w:r w:rsidR="00EC1D47">
          <w:rPr>
            <w:noProof/>
            <w:webHidden/>
          </w:rPr>
          <w:fldChar w:fldCharType="end"/>
        </w:r>
      </w:hyperlink>
    </w:p>
    <w:p w14:paraId="3032CCFF" w14:textId="45FE6F8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7172C1">
          <w:rPr>
            <w:noProof/>
            <w:webHidden/>
          </w:rPr>
          <w:t>16</w:t>
        </w:r>
        <w:r w:rsidR="00EC1D47">
          <w:rPr>
            <w:noProof/>
            <w:webHidden/>
          </w:rPr>
          <w:fldChar w:fldCharType="end"/>
        </w:r>
      </w:hyperlink>
    </w:p>
    <w:p w14:paraId="27EF212A" w14:textId="569ED38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7172C1">
          <w:rPr>
            <w:noProof/>
            <w:webHidden/>
          </w:rPr>
          <w:t>16</w:t>
        </w:r>
        <w:r w:rsidR="00EC1D47">
          <w:rPr>
            <w:noProof/>
            <w:webHidden/>
          </w:rPr>
          <w:fldChar w:fldCharType="end"/>
        </w:r>
      </w:hyperlink>
    </w:p>
    <w:p w14:paraId="1BD80986" w14:textId="7FDF1FFC"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7172C1">
          <w:rPr>
            <w:noProof/>
            <w:webHidden/>
          </w:rPr>
          <w:t>16</w:t>
        </w:r>
        <w:r w:rsidR="00EC1D47">
          <w:rPr>
            <w:noProof/>
            <w:webHidden/>
          </w:rPr>
          <w:fldChar w:fldCharType="end"/>
        </w:r>
      </w:hyperlink>
    </w:p>
    <w:p w14:paraId="49F2152C" w14:textId="439C682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7172C1">
          <w:rPr>
            <w:noProof/>
            <w:webHidden/>
          </w:rPr>
          <w:t>16</w:t>
        </w:r>
        <w:r w:rsidR="00EC1D47">
          <w:rPr>
            <w:noProof/>
            <w:webHidden/>
          </w:rPr>
          <w:fldChar w:fldCharType="end"/>
        </w:r>
      </w:hyperlink>
    </w:p>
    <w:p w14:paraId="67231B5D" w14:textId="635CD0E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7172C1">
          <w:rPr>
            <w:noProof/>
            <w:webHidden/>
          </w:rPr>
          <w:t>16</w:t>
        </w:r>
        <w:r w:rsidR="00EC1D47">
          <w:rPr>
            <w:noProof/>
            <w:webHidden/>
          </w:rPr>
          <w:fldChar w:fldCharType="end"/>
        </w:r>
      </w:hyperlink>
    </w:p>
    <w:p w14:paraId="48DDAB95" w14:textId="3C290133"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7172C1">
          <w:rPr>
            <w:noProof/>
            <w:webHidden/>
          </w:rPr>
          <w:t>16</w:t>
        </w:r>
        <w:r w:rsidR="00EC1D47">
          <w:rPr>
            <w:noProof/>
            <w:webHidden/>
          </w:rPr>
          <w:fldChar w:fldCharType="end"/>
        </w:r>
      </w:hyperlink>
    </w:p>
    <w:p w14:paraId="7B0C4313" w14:textId="3AAB93C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7172C1">
          <w:rPr>
            <w:noProof/>
            <w:webHidden/>
          </w:rPr>
          <w:t>16</w:t>
        </w:r>
        <w:r w:rsidR="00EC1D47">
          <w:rPr>
            <w:noProof/>
            <w:webHidden/>
          </w:rPr>
          <w:fldChar w:fldCharType="end"/>
        </w:r>
      </w:hyperlink>
    </w:p>
    <w:p w14:paraId="207628D7" w14:textId="49E1C704"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7172C1">
          <w:rPr>
            <w:noProof/>
            <w:webHidden/>
          </w:rPr>
          <w:t>16</w:t>
        </w:r>
        <w:r w:rsidR="00EC1D47">
          <w:rPr>
            <w:noProof/>
            <w:webHidden/>
          </w:rPr>
          <w:fldChar w:fldCharType="end"/>
        </w:r>
      </w:hyperlink>
    </w:p>
    <w:p w14:paraId="70097A2C" w14:textId="1A5C87F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7172C1">
          <w:rPr>
            <w:noProof/>
            <w:webHidden/>
          </w:rPr>
          <w:t>16</w:t>
        </w:r>
        <w:r w:rsidR="00EC1D47">
          <w:rPr>
            <w:noProof/>
            <w:webHidden/>
          </w:rPr>
          <w:fldChar w:fldCharType="end"/>
        </w:r>
      </w:hyperlink>
    </w:p>
    <w:p w14:paraId="36A0E16C" w14:textId="3C8D9F15"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7172C1">
          <w:rPr>
            <w:noProof/>
            <w:webHidden/>
          </w:rPr>
          <w:t>17</w:t>
        </w:r>
        <w:r w:rsidR="00EC1D47">
          <w:rPr>
            <w:noProof/>
            <w:webHidden/>
          </w:rPr>
          <w:fldChar w:fldCharType="end"/>
        </w:r>
      </w:hyperlink>
    </w:p>
    <w:p w14:paraId="54F4B464" w14:textId="0BC1B73C"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7172C1">
          <w:rPr>
            <w:noProof/>
            <w:webHidden/>
          </w:rPr>
          <w:t>17</w:t>
        </w:r>
        <w:r w:rsidR="00EC1D47">
          <w:rPr>
            <w:noProof/>
            <w:webHidden/>
          </w:rPr>
          <w:fldChar w:fldCharType="end"/>
        </w:r>
      </w:hyperlink>
    </w:p>
    <w:p w14:paraId="4AB93718" w14:textId="7089A11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7172C1">
          <w:rPr>
            <w:noProof/>
            <w:webHidden/>
          </w:rPr>
          <w:t>17</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5791707"/>
      <w:r>
        <w:lastRenderedPageBreak/>
        <w:t>Introduction</w:t>
      </w:r>
      <w:bookmarkEnd w:id="4"/>
    </w:p>
    <w:p w14:paraId="1A3F434C" w14:textId="3A4C7233" w:rsidR="00C63678" w:rsidRPr="00C63678" w:rsidRDefault="00C63678" w:rsidP="00C63678">
      <w:pPr>
        <w:pStyle w:val="BodyText"/>
      </w:pPr>
      <w:r w:rsidRPr="00C63678">
        <w:t>The fall of civilisation makes headlines. But it almost never happens. What collapses, more often, is culture—the specific set of ideas, values, habits, and loyalties that gave a people their identity</w:t>
      </w:r>
      <w:r w:rsidR="00914BC6">
        <w:t>, their training, their opportunities</w:t>
      </w:r>
      <w:r w:rsidRPr="00C63678">
        <w:t>. Civilisation remain</w:t>
      </w:r>
      <w:r w:rsidR="005747E7">
        <w:t>s</w:t>
      </w:r>
      <w:r w:rsidRPr="00C63678">
        <w:t xml:space="preserve">, but the cultures that shaped </w:t>
      </w:r>
      <w:r w:rsidR="00B23838">
        <w:t xml:space="preserve">contributed to it </w:t>
      </w:r>
      <w:r w:rsidRPr="00C63678">
        <w:t>are replaced.</w:t>
      </w:r>
    </w:p>
    <w:p w14:paraId="6F54EB55" w14:textId="77777777" w:rsidR="001401F7" w:rsidRDefault="00C63678" w:rsidP="00C63678">
      <w:pPr>
        <w:pStyle w:val="BodyText"/>
      </w:pPr>
      <w:r w:rsidRPr="00C63678">
        <w:t xml:space="preserve">This replacement rarely </w:t>
      </w:r>
      <w:proofErr w:type="spellStart"/>
      <w:r w:rsidRPr="00C63678">
        <w:t>feels</w:t>
      </w:r>
      <w:proofErr w:type="spellEnd"/>
      <w:r w:rsidRPr="00C63678">
        <w:t xml:space="preserve"> like collapse from the inside. It begins gradually, too slowly to notice. </w:t>
      </w:r>
      <w:r w:rsidR="00B23838">
        <w:t>C</w:t>
      </w:r>
      <w:r w:rsidRPr="00C63678">
        <w:t xml:space="preserve">ustoms shift. The language adapts. Priorities change. And by the time the sharp break arrives—a war, a coup, an agreement torn up—the real change has already happened. </w:t>
      </w:r>
    </w:p>
    <w:p w14:paraId="57DADFEF" w14:textId="0817EC5F" w:rsidR="00C63678" w:rsidRPr="00C63678" w:rsidRDefault="00C63678" w:rsidP="00C63678">
      <w:pPr>
        <w:pStyle w:val="BodyText"/>
      </w:pPr>
      <w:r w:rsidRPr="00C63678">
        <w:t xml:space="preserve">Cultures don’t vanish. They are jostled out. There is always movement </w:t>
      </w:r>
      <w:r w:rsidR="001401F7">
        <w:t xml:space="preserve">and influence </w:t>
      </w:r>
      <w:r w:rsidRPr="00C63678">
        <w:t xml:space="preserve">at the </w:t>
      </w:r>
      <w:r w:rsidR="00ED7289">
        <w:t>boundaries of cultures</w:t>
      </w:r>
      <w:r w:rsidRPr="00C63678">
        <w:t xml:space="preserve">—through </w:t>
      </w:r>
      <w:r w:rsidR="007E3EA2" w:rsidRPr="00C63678">
        <w:t xml:space="preserve">migration, </w:t>
      </w:r>
      <w:r w:rsidRPr="00C63678">
        <w:t xml:space="preserve">trade, </w:t>
      </w:r>
      <w:r w:rsidR="007E3EA2">
        <w:t xml:space="preserve">services, skills, </w:t>
      </w:r>
      <w:r w:rsidR="00ED7289">
        <w:t xml:space="preserve">entertainment, </w:t>
      </w:r>
      <w:r w:rsidRPr="00C63678">
        <w:t>ideology</w:t>
      </w:r>
      <w:r w:rsidR="00E036CD">
        <w:t>, religion</w:t>
      </w:r>
      <w:r w:rsidR="00ED7289" w:rsidRPr="00ED7289">
        <w:t xml:space="preserve"> </w:t>
      </w:r>
      <w:r w:rsidR="00ED7289">
        <w:t>and education</w:t>
      </w:r>
      <w:r w:rsidRPr="00C63678">
        <w:t>. Cultures expand to spread influence, to secure markets, to build allies, to reduce the risk of future conflict. They make room for themselves by shrinking the space of others.</w:t>
      </w:r>
    </w:p>
    <w:p w14:paraId="02CDAE6B" w14:textId="4364F45F" w:rsidR="00C63678" w:rsidRPr="00C63678" w:rsidRDefault="00C63678" w:rsidP="00C63678">
      <w:pPr>
        <w:pStyle w:val="BodyText"/>
      </w:pPr>
      <w:r w:rsidRPr="00C63678">
        <w:t xml:space="preserve">This influence is </w:t>
      </w:r>
      <w:r w:rsidR="00E036CD">
        <w:t xml:space="preserve">often for the most part not </w:t>
      </w:r>
      <w:r w:rsidRPr="00C63678">
        <w:t xml:space="preserve">hostile. Sometimes it arrives in the form of progress. Sometimes it offers genuine improvements to lives. But even well-meaning influence replaces ideas. It introduces new </w:t>
      </w:r>
      <w:r w:rsidR="00E036CD">
        <w:t xml:space="preserve">imagery to model the world, new </w:t>
      </w:r>
      <w:r w:rsidRPr="00C63678">
        <w:t xml:space="preserve">assumptions </w:t>
      </w:r>
      <w:r w:rsidR="00E036CD">
        <w:t xml:space="preserve">on how to develop </w:t>
      </w:r>
      <w:r w:rsidR="00114E86">
        <w:t>frameworks</w:t>
      </w:r>
      <w:r w:rsidR="00E036CD">
        <w:t xml:space="preserve"> to </w:t>
      </w:r>
      <w:r w:rsidRPr="00C63678">
        <w:t>live</w:t>
      </w:r>
      <w:r w:rsidR="00114E86">
        <w:t xml:space="preserve"> well</w:t>
      </w:r>
      <w:r w:rsidRPr="00C63678">
        <w:t>, what to value, and who decides</w:t>
      </w:r>
      <w:r w:rsidR="00114E86">
        <w:t xml:space="preserve"> what is right or wrong</w:t>
      </w:r>
      <w:r w:rsidRPr="00C63678">
        <w:t>. Over time, the originating culture forgets which ideas were its own.</w:t>
      </w:r>
    </w:p>
    <w:p w14:paraId="27DF4D5C" w14:textId="205AB860" w:rsidR="003E7358" w:rsidRDefault="00535022" w:rsidP="003724F9">
      <w:pPr>
        <w:pStyle w:val="BodyText"/>
      </w:pPr>
      <w:r>
        <w:t xml:space="preserve">Commerce expands, often </w:t>
      </w:r>
      <w:r w:rsidR="00AD7362" w:rsidRPr="00AD7362">
        <w:t xml:space="preserve">with state backing. Investment opens doors for foreign votes, foreign policies, foreign dependency. Supply chains shape what farmers can grow. Food chains reshape what people crave. </w:t>
      </w:r>
      <w:r w:rsidR="00AD7362">
        <w:t>Trading fiat currencies, t</w:t>
      </w:r>
      <w:r w:rsidR="00AD7362" w:rsidRPr="00AD7362">
        <w:t>ech platforms redefine who owns the infrastructure of daily life. Cloud platforms, payment rails, logistics, education—all can become silent levers of control.</w:t>
      </w:r>
    </w:p>
    <w:p w14:paraId="7FDB37E9" w14:textId="77777777" w:rsidR="00E6235A" w:rsidRDefault="00E6235A" w:rsidP="003724F9">
      <w:pPr>
        <w:pStyle w:val="BodyText"/>
      </w:pPr>
      <w:r w:rsidRPr="00E6235A">
        <w:t xml:space="preserve">There is invasion by convenience, when a people forget the skills to live without what another provides. </w:t>
      </w:r>
    </w:p>
    <w:p w14:paraId="5D7A7706" w14:textId="77777777" w:rsidR="00E6235A" w:rsidRDefault="00E6235A" w:rsidP="003724F9">
      <w:pPr>
        <w:pStyle w:val="BodyText"/>
      </w:pPr>
      <w:r w:rsidRPr="00E6235A">
        <w:t xml:space="preserve">There is invasion by debt, when concessions are traded for repayments that can never be made. There is invasion under the guise of protection—helping a local group, stepping in after unrest, and then never leaving. </w:t>
      </w:r>
    </w:p>
    <w:p w14:paraId="05D17CA7" w14:textId="16EAD91B" w:rsidR="00AD7362" w:rsidRDefault="00E6235A" w:rsidP="003724F9">
      <w:pPr>
        <w:pStyle w:val="BodyText"/>
      </w:pPr>
      <w:r w:rsidRPr="00E6235A">
        <w:t xml:space="preserve">Each </w:t>
      </w:r>
      <w:r>
        <w:t xml:space="preserve">method </w:t>
      </w:r>
      <w:r w:rsidRPr="00E6235A">
        <w:t>looks different, but the outcome is the same: the original culture no longer calls the shots.</w:t>
      </w:r>
    </w:p>
    <w:p w14:paraId="01134787" w14:textId="77777777" w:rsidR="001036D1" w:rsidRDefault="001036D1" w:rsidP="001036D1">
      <w:pPr>
        <w:pStyle w:val="BodyText"/>
      </w:pPr>
      <w:r w:rsidRPr="00BE41DC">
        <w:t>The historian’s timeline compresses centuries into paragraphs, but the lived experience is a gradual loss of distinctiveness, followed by a moment of shock when something irreparable changes—often too late to respond.</w:t>
      </w:r>
    </w:p>
    <w:p w14:paraId="182C9315" w14:textId="77777777" w:rsidR="001036D1" w:rsidRPr="003724F9" w:rsidRDefault="001036D1" w:rsidP="003724F9">
      <w:pPr>
        <w:pStyle w:val="BodyText"/>
      </w:pPr>
    </w:p>
    <w:p w14:paraId="33AF5D6A" w14:textId="4562CB30" w:rsidR="00D44667" w:rsidRDefault="001B6D67" w:rsidP="007942F2">
      <w:pPr>
        <w:pStyle w:val="Heading2"/>
      </w:pPr>
      <w:bookmarkStart w:id="5" w:name="Location_DocumentIndex"/>
      <w:bookmarkEnd w:id="5"/>
      <w:r>
        <w:lastRenderedPageBreak/>
        <w:t>Education is Based on the past</w:t>
      </w:r>
    </w:p>
    <w:p w14:paraId="00DF71C8" w14:textId="32E870FD" w:rsidR="00CF12A9" w:rsidRDefault="001F205F" w:rsidP="00B73700">
      <w:pPr>
        <w:pStyle w:val="BodyText"/>
      </w:pPr>
      <w:r>
        <w:t xml:space="preserve">It’s important to learn from ones mistakes. It’s cheaper to learn from the mistakes of others. That’s why we keep </w:t>
      </w:r>
      <w:r w:rsidR="0089670E">
        <w:t xml:space="preserve">history. So it’s his-story, not your own. </w:t>
      </w:r>
    </w:p>
    <w:p w14:paraId="25E7FF04" w14:textId="2D62F0F1" w:rsidR="0089670E" w:rsidRDefault="0089670E" w:rsidP="00B73700">
      <w:pPr>
        <w:pStyle w:val="BodyText"/>
      </w:pPr>
      <w:r>
        <w:t xml:space="preserve">We educate generation after generation so the learnings hewn at great cost out of the quarries of experience are not washed away. </w:t>
      </w:r>
    </w:p>
    <w:p w14:paraId="7B321E3E" w14:textId="3052D32F" w:rsidR="0089670E" w:rsidRDefault="0089670E" w:rsidP="00B73700">
      <w:pPr>
        <w:pStyle w:val="BodyText"/>
      </w:pPr>
      <w:r>
        <w:t>However…</w:t>
      </w:r>
    </w:p>
    <w:p w14:paraId="5725D15A" w14:textId="4F87ECA2" w:rsidR="00DE4AD0" w:rsidRDefault="005B68D7" w:rsidP="00920F07">
      <w:pPr>
        <w:pStyle w:val="Heading2"/>
      </w:pPr>
      <w:r>
        <w:t>Violence</w:t>
      </w:r>
    </w:p>
    <w:p w14:paraId="21A47A2C" w14:textId="12DEF19B" w:rsidR="005B68D7" w:rsidRPr="005B68D7" w:rsidRDefault="005B68D7" w:rsidP="005B68D7">
      <w:pPr>
        <w:pStyle w:val="BodyText"/>
      </w:pPr>
      <w:r>
        <w:t>I</w:t>
      </w:r>
      <w:r w:rsidRPr="005B68D7">
        <w:t xml:space="preserve">t must be said clearly: history is soaked in violence, much of it carried out by states under banners of civilisation, trade, </w:t>
      </w:r>
      <w:r w:rsidR="00E9261C">
        <w:t xml:space="preserve">employment </w:t>
      </w:r>
      <w:r w:rsidRPr="005B68D7">
        <w:t>or peace. Portugal’s brutal impositions on India. Britain’s opium-backed ransom of China. France’s centuries of extraction across Africa. These were not accidents of policy. They were deliberate actions carried out by individuals—soldiers, merchants, officials—whose character had been shaped by their nation’s culture, its education, and its accepted moral code.</w:t>
      </w:r>
    </w:p>
    <w:p w14:paraId="3DEFB570" w14:textId="77777777" w:rsidR="005B68D7" w:rsidRPr="005B68D7" w:rsidRDefault="005B68D7" w:rsidP="005B68D7">
      <w:pPr>
        <w:pStyle w:val="BodyText"/>
      </w:pPr>
      <w:r w:rsidRPr="005B68D7">
        <w:t xml:space="preserve">To recoil from that history is not weakness. It is human. It is right to look at those actions and say, </w:t>
      </w:r>
      <w:r w:rsidRPr="005B68D7">
        <w:rPr>
          <w:i/>
          <w:iCs/>
        </w:rPr>
        <w:t>we will not be that</w:t>
      </w:r>
      <w:r w:rsidRPr="005B68D7">
        <w:t>. But confusion arises when the rejection of brutality is mistaken for a rejection of strength itself. The problem was not that these nations had arms. It was that they had no conscience. Their method was violence, but the deeper issue was what they were willing to do, and why.</w:t>
      </w:r>
    </w:p>
    <w:p w14:paraId="30106028" w14:textId="77777777" w:rsidR="005B68D7" w:rsidRPr="005B68D7" w:rsidRDefault="005B68D7" w:rsidP="005B68D7">
      <w:pPr>
        <w:pStyle w:val="BodyText"/>
      </w:pPr>
      <w:r w:rsidRPr="005B68D7">
        <w:t xml:space="preserve">And that </w:t>
      </w:r>
      <w:r w:rsidRPr="005B68D7">
        <w:rPr>
          <w:i/>
          <w:iCs/>
        </w:rPr>
        <w:t>why</w:t>
      </w:r>
      <w:r w:rsidRPr="005B68D7">
        <w:t xml:space="preserve"> always begins with education. Not just in schools, but in how cultures train their people to think, to empathise, to judge what is good. A nation’s character is the character of its people, and that character is shaped long before any treaty is signed or weapon drawn. We will return to this question again and again—what sort of culture do we teach, and what kind of courage does it create?</w:t>
      </w:r>
    </w:p>
    <w:p w14:paraId="7F45A988" w14:textId="77777777" w:rsidR="005B68D7" w:rsidRPr="005B68D7" w:rsidRDefault="005B68D7" w:rsidP="005B68D7">
      <w:pPr>
        <w:pStyle w:val="BodyText"/>
      </w:pPr>
      <w:r w:rsidRPr="005B68D7">
        <w:t>Laying down arms does not repair the past. It does not prevent future harm. It simply hands over the decision-making to others—often those less troubled by history. The goal should not be to disarm. It should be to arm differently—with clarity, restraint, and purpose. A moral culture still needs the means to protect itself, especially when others are still playing by older rules.</w:t>
      </w:r>
    </w:p>
    <w:p w14:paraId="4F9D95F7" w14:textId="1FC9FD20" w:rsidR="005B68D7" w:rsidRDefault="00920F07" w:rsidP="00B73700">
      <w:pPr>
        <w:pStyle w:val="BodyText"/>
      </w:pPr>
      <w:r>
        <w:t xml:space="preserve">History is soaked in violence. And there is no credible </w:t>
      </w:r>
      <w:r w:rsidR="003A6FAF">
        <w:t xml:space="preserve">evidence the </w:t>
      </w:r>
      <w:r>
        <w:t xml:space="preserve">future will </w:t>
      </w:r>
      <w:r w:rsidR="003A6FAF">
        <w:t xml:space="preserve">not </w:t>
      </w:r>
      <w:r>
        <w:t>be too. With effort and preparation and wisdom as often as feasible avoided.</w:t>
      </w:r>
    </w:p>
    <w:p w14:paraId="076EFF64" w14:textId="77777777" w:rsidR="00920F07" w:rsidRDefault="00920F07" w:rsidP="00B73700">
      <w:pPr>
        <w:pStyle w:val="BodyText"/>
      </w:pPr>
    </w:p>
    <w:p w14:paraId="2AD2C2DD" w14:textId="77777777" w:rsidR="00DD7E01" w:rsidRDefault="00DD7E01" w:rsidP="00B73700">
      <w:pPr>
        <w:pStyle w:val="BodyText"/>
      </w:pPr>
    </w:p>
    <w:p w14:paraId="38075F81" w14:textId="6749C466" w:rsidR="00FD75CE" w:rsidRDefault="00FD75CE" w:rsidP="00FD75CE">
      <w:pPr>
        <w:pStyle w:val="Heading2"/>
      </w:pPr>
      <w:r>
        <w:t xml:space="preserve">The many Forms of cultural </w:t>
      </w:r>
      <w:proofErr w:type="spellStart"/>
      <w:r>
        <w:t>Unprepareness</w:t>
      </w:r>
      <w:proofErr w:type="spellEnd"/>
    </w:p>
    <w:p w14:paraId="1E941FB8" w14:textId="43A8219C" w:rsidR="00FD75CE" w:rsidRPr="00FD75CE" w:rsidRDefault="00FD75CE" w:rsidP="00FD75CE">
      <w:pPr>
        <w:pStyle w:val="BodyText"/>
      </w:pPr>
      <w:r w:rsidRPr="00FD75CE">
        <w:t xml:space="preserve">Cultures do not fall when they are </w:t>
      </w:r>
      <w:r>
        <w:t>invaded</w:t>
      </w:r>
      <w:r w:rsidRPr="00FD75CE">
        <w:t>. They fall when they stop adapting.</w:t>
      </w:r>
    </w:p>
    <w:p w14:paraId="1DB6210E" w14:textId="754D8C38" w:rsidR="00040969" w:rsidRDefault="00040969" w:rsidP="00FD75CE">
      <w:pPr>
        <w:pStyle w:val="BodyText"/>
      </w:pPr>
      <w:r w:rsidRPr="00040969">
        <w:lastRenderedPageBreak/>
        <w:t>The earliest signs of collapse are not found on battlefields, but in the mind. Innovation slows. Curiosity narrows. Education shifts from exploration to repetition</w:t>
      </w:r>
      <w:r w:rsidR="00EE3AC1">
        <w:t>. From mining the past to managing behaviours</w:t>
      </w:r>
      <w:r w:rsidRPr="00040969">
        <w:t>. New ideas are welcomed less often, and with less urgency. Over time, risk is avoided rather than managed. A culture becomes self-referential—measuring success only against its past, not against the world around it.</w:t>
      </w:r>
      <w:r w:rsidRPr="00040969">
        <w:t xml:space="preserve"> </w:t>
      </w:r>
    </w:p>
    <w:p w14:paraId="7211632A" w14:textId="426AFE9A" w:rsidR="00FD75CE" w:rsidRPr="00FD75CE" w:rsidRDefault="00FD75CE" w:rsidP="00FD75CE">
      <w:pPr>
        <w:pStyle w:val="BodyText"/>
      </w:pPr>
      <w:r w:rsidRPr="00FD75CE">
        <w:t>Some cultures reach such a level of early advancement that they stabilise. Egypt’s dynasties mastered their environment and institutionalised that mastery. The Nile gave rhythm. Ritual gave certainty. What was once adaptation hardened into bureaucracy. Over time, the dynamism of the river was replaced with the rigidity of the priesthood. They stopped looking outward. And others overtook them.</w:t>
      </w:r>
    </w:p>
    <w:p w14:paraId="201644F9" w14:textId="77777777" w:rsidR="00FD75CE" w:rsidRPr="00FD75CE" w:rsidRDefault="00FD75CE" w:rsidP="00FD75CE">
      <w:pPr>
        <w:pStyle w:val="BodyText"/>
      </w:pPr>
      <w:r w:rsidRPr="00FD75CE">
        <w:t xml:space="preserve">The Aztecs and Incas show the same pattern. These were cultures of staggering administrative and architectural sophistication. But their social structures prioritised conformity, religious hierarchy, and ritual. Their people were taught to preserve inherited forms. When foreign tools, ideologies, and diseases arrived, they had no cultural muscle left for improvisation. Collapse followed quickly—not because they were weak, but because they had stopped changing. </w:t>
      </w:r>
      <w:r w:rsidRPr="00FD75CE">
        <w:rPr>
          <w:b/>
          <w:bCs/>
        </w:rPr>
        <w:t>Entire ways of seeing the world were erased.</w:t>
      </w:r>
    </w:p>
    <w:p w14:paraId="1160C652" w14:textId="77777777" w:rsidR="00FD75CE" w:rsidRPr="00FD75CE" w:rsidRDefault="00FD75CE" w:rsidP="00FD75CE">
      <w:pPr>
        <w:pStyle w:val="BodyText"/>
      </w:pPr>
      <w:r w:rsidRPr="00FD75CE">
        <w:t xml:space="preserve">China offers another example. At multiple points—especially during the late Ming (1368–1644) and Qing (1644–1912) dynasties—it deliberately turned inward. The treasure fleets of the early 1400s were dismantled. Foreign trade was restricted. Exploration ceased. This preserved order—but also left China unprepared for the industrial and imperial age that followed. When Britain and others arrived with steamships and gunboats, China found itself negotiating from behind. </w:t>
      </w:r>
      <w:r w:rsidRPr="00FD75CE">
        <w:rPr>
          <w:b/>
          <w:bCs/>
        </w:rPr>
        <w:t>It had preserved its order, but at the cost of becoming vulnerable to being reshaped by others.</w:t>
      </w:r>
    </w:p>
    <w:p w14:paraId="48A504AA" w14:textId="77777777" w:rsidR="00FD75CE" w:rsidRPr="00FD75CE" w:rsidRDefault="00FD75CE" w:rsidP="00FD75CE">
      <w:pPr>
        <w:pStyle w:val="BodyText"/>
      </w:pPr>
      <w:r w:rsidRPr="00FD75CE">
        <w:t xml:space="preserve">Japan, during its </w:t>
      </w:r>
      <w:proofErr w:type="spellStart"/>
      <w:r w:rsidRPr="00FD75CE">
        <w:t>sakoku</w:t>
      </w:r>
      <w:proofErr w:type="spellEnd"/>
      <w:r w:rsidRPr="00FD75CE">
        <w:t xml:space="preserve"> period (1639–1853), restricted foreign contact to preserve cultural coherence. For over two centuries, it maintained internal order and isolation. But when forced open by Commodore Perry in 1853, the country underwent a rapid, near-violent reinvention. It industrialised, militarised, and turned outward—swinging from cultural inwardness to strategic overreach. In the process, traditional codes like bushido were suspended or reinterpreted. </w:t>
      </w:r>
      <w:r w:rsidRPr="00FD75CE">
        <w:rPr>
          <w:b/>
          <w:bCs/>
        </w:rPr>
        <w:t>The rush to catch up meant breaking from its own internal compass. Japan modernised—but at the cost of losing part of itself.</w:t>
      </w:r>
    </w:p>
    <w:p w14:paraId="7DB0D588" w14:textId="77777777" w:rsidR="00FD75CE" w:rsidRPr="00FD75CE" w:rsidRDefault="00FD75CE" w:rsidP="00FD75CE">
      <w:pPr>
        <w:pStyle w:val="BodyText"/>
      </w:pPr>
      <w:r w:rsidRPr="00FD75CE">
        <w:t xml:space="preserve">Sometimes isolation is geographic. The </w:t>
      </w:r>
      <w:proofErr w:type="spellStart"/>
      <w:r w:rsidRPr="00FD75CE">
        <w:t>Moriori</w:t>
      </w:r>
      <w:proofErr w:type="spellEnd"/>
      <w:r w:rsidRPr="00FD75CE">
        <w:t xml:space="preserve"> of </w:t>
      </w:r>
      <w:proofErr w:type="spellStart"/>
      <w:r w:rsidRPr="00FD75CE">
        <w:t>Rēkohu</w:t>
      </w:r>
      <w:proofErr w:type="spellEnd"/>
      <w:r w:rsidRPr="00FD75CE">
        <w:t xml:space="preserve"> (Chatham Islands) chose pacifism and ecological balance. Over centuries, they lost contact with innovation and external pressure. When armed Māori arrived in the early 1800s, the </w:t>
      </w:r>
      <w:proofErr w:type="spellStart"/>
      <w:r w:rsidRPr="00FD75CE">
        <w:t>Moriori</w:t>
      </w:r>
      <w:proofErr w:type="spellEnd"/>
      <w:r w:rsidRPr="00FD75CE">
        <w:t xml:space="preserve"> could not resist. Their way of life, though honourable, had no answer for confrontation. </w:t>
      </w:r>
      <w:r w:rsidRPr="00FD75CE">
        <w:rPr>
          <w:b/>
          <w:bCs/>
        </w:rPr>
        <w:t>The culture was not conquered in battle, but erased by the gap between two timelines of development.</w:t>
      </w:r>
    </w:p>
    <w:p w14:paraId="03FCB234" w14:textId="77777777" w:rsidR="00FD75CE" w:rsidRPr="00FD75CE" w:rsidRDefault="00FD75CE" w:rsidP="00FD75CE">
      <w:pPr>
        <w:pStyle w:val="BodyText"/>
      </w:pPr>
      <w:r w:rsidRPr="00FD75CE">
        <w:t xml:space="preserve">Even the Māori, in Aotearoa, faced constraints. They developed an adaptive and resilient culture—but over 800 years of isolation, their system became complete unto itself. Tools were finite. Dialogue with other cultures ceased. When global powers returned, with metal, guns, and different assumptions, the shock was strategic and cultural. </w:t>
      </w:r>
      <w:r w:rsidRPr="00FD75CE">
        <w:rPr>
          <w:b/>
          <w:bCs/>
        </w:rPr>
        <w:t xml:space="preserve">But it was </w:t>
      </w:r>
      <w:r w:rsidRPr="00FD75CE">
        <w:rPr>
          <w:b/>
          <w:bCs/>
        </w:rPr>
        <w:lastRenderedPageBreak/>
        <w:t>also ontological. Māori knowledge was not stored in books, but in land, in objects, in stories, in songs. Education was embodied—transmitted through presence, through place. When that continuity was broken, it was not just power that was lost, but identity. The arrival of a written, foreign worldview displaced not just what was known, but how knowing itself worked.</w:t>
      </w:r>
    </w:p>
    <w:p w14:paraId="104D28AB" w14:textId="77777777" w:rsidR="00FD75CE" w:rsidRPr="00FD75CE" w:rsidRDefault="00FD75CE" w:rsidP="00FD75CE">
      <w:pPr>
        <w:pStyle w:val="BodyText"/>
      </w:pPr>
      <w:r w:rsidRPr="00FD75CE">
        <w:t xml:space="preserve">And even the strongest modern cultures face this risk. The United States, vast and linguistically unified, bounded by oceans and driven by domestic productivity, has developed extraordinary internal coherence. But many Americans do not leave the country until late in life, if at all. By then, ideas are fully formed. Other perspectives feel like deviation. The question </w:t>
      </w:r>
      <w:r w:rsidRPr="00FD75CE">
        <w:rPr>
          <w:i/>
          <w:iCs/>
        </w:rPr>
        <w:t>“Do you speak American?”</w:t>
      </w:r>
      <w:r w:rsidRPr="00FD75CE">
        <w:t xml:space="preserve"> is not an insult—it’s a clue. Self-sufficiency breeds inwardness. And inwardness, over time, becomes epistemic fragility. </w:t>
      </w:r>
      <w:r w:rsidRPr="00FD75CE">
        <w:rPr>
          <w:b/>
          <w:bCs/>
        </w:rPr>
        <w:t>Even a hyper-connected superpower can become disconnected from the world—when its internal voice is the only one it hears.</w:t>
      </w:r>
    </w:p>
    <w:p w14:paraId="7B1DEF4D" w14:textId="77777777" w:rsidR="00FD75CE" w:rsidRPr="00FD75CE" w:rsidRDefault="00FD75CE" w:rsidP="00FD75CE">
      <w:pPr>
        <w:pStyle w:val="BodyText"/>
      </w:pPr>
      <w:r w:rsidRPr="00FD75CE">
        <w:t xml:space="preserve">We also see this struggle in smaller borderland cultures—places like </w:t>
      </w:r>
      <w:r w:rsidRPr="00FD75CE">
        <w:rPr>
          <w:b/>
          <w:bCs/>
        </w:rPr>
        <w:t>Alsace-Lorraine</w:t>
      </w:r>
      <w:r w:rsidRPr="00FD75CE">
        <w:t xml:space="preserve">, </w:t>
      </w:r>
      <w:r w:rsidRPr="00FD75CE">
        <w:rPr>
          <w:b/>
          <w:bCs/>
        </w:rPr>
        <w:t>Corsica</w:t>
      </w:r>
      <w:r w:rsidRPr="00FD75CE">
        <w:t xml:space="preserve">, or the </w:t>
      </w:r>
      <w:r w:rsidRPr="00FD75CE">
        <w:rPr>
          <w:b/>
          <w:bCs/>
        </w:rPr>
        <w:t>Basque Country</w:t>
      </w:r>
      <w:r w:rsidRPr="00FD75CE">
        <w:t xml:space="preserve">—where identity sits between larger, more dominant cultures. These regions have often been caught in the gravitational pull of competing empires—France, Spain, Germany. What is erased is not only language, but the ability to think in the frames that once defined them. Sometimes this happens through violence. More often, it happens through education policy, media saturation, and administrative centralisation. </w:t>
      </w:r>
      <w:r w:rsidRPr="00FD75CE">
        <w:rPr>
          <w:b/>
          <w:bCs/>
        </w:rPr>
        <w:t>Cultures don't always die. Sometimes, they are simply overwritten.</w:t>
      </w:r>
    </w:p>
    <w:p w14:paraId="46724C3E" w14:textId="77777777" w:rsidR="00FD75CE" w:rsidRPr="00FD75CE" w:rsidRDefault="00FD75CE" w:rsidP="00FD75CE">
      <w:pPr>
        <w:pStyle w:val="BodyText"/>
      </w:pPr>
      <w:r w:rsidRPr="00FD75CE">
        <w:t xml:space="preserve">Across all these cases, one thread binds them: </w:t>
      </w:r>
      <w:r w:rsidRPr="00FD75CE">
        <w:rPr>
          <w:b/>
          <w:bCs/>
        </w:rPr>
        <w:t>education is the primary mechanism of cultural continuity</w:t>
      </w:r>
      <w:r w:rsidRPr="00FD75CE">
        <w:t xml:space="preserve">. But when education becomes repetition—when it trains people only to echo, not to examine—it preserves forms while hollowing out function. Strategic thought decays. Curiosity is replaced with certainty. The result is not cultural strength. It is cultural embalming. And embalmed cultures do not survive pressure. </w:t>
      </w:r>
      <w:r w:rsidRPr="00FD75CE">
        <w:rPr>
          <w:b/>
          <w:bCs/>
        </w:rPr>
        <w:t>They are exhibited, studied, and ultimately replaced.</w:t>
      </w:r>
    </w:p>
    <w:p w14:paraId="0DC9CA5B" w14:textId="77777777" w:rsidR="00FD75CE" w:rsidRDefault="00FD75CE" w:rsidP="00B73700">
      <w:pPr>
        <w:pStyle w:val="BodyText"/>
      </w:pPr>
    </w:p>
    <w:p w14:paraId="033E39BB" w14:textId="2EA91AFA" w:rsidR="00DD7E01" w:rsidRDefault="0034163E" w:rsidP="002D1584">
      <w:pPr>
        <w:pStyle w:val="Heading2"/>
      </w:pPr>
      <w:r>
        <w:t>Why some Cultures Disarm</w:t>
      </w:r>
    </w:p>
    <w:p w14:paraId="6C747F50" w14:textId="77777777" w:rsidR="008C79C0" w:rsidRPr="008C79C0" w:rsidRDefault="008C79C0" w:rsidP="008C79C0">
      <w:pPr>
        <w:pStyle w:val="BodyText"/>
      </w:pPr>
      <w:r w:rsidRPr="008C79C0">
        <w:t>Disarmament is rarely the start of collapse. It is usually the symptom of something deeper. Cultures do not give up defence on a whim. They do it because the pressure to stop defending has quietly become stronger than the will to continue.</w:t>
      </w:r>
    </w:p>
    <w:p w14:paraId="4C451028" w14:textId="77777777" w:rsidR="008C79C0" w:rsidRPr="008C79C0" w:rsidRDefault="008C79C0" w:rsidP="008C79C0">
      <w:pPr>
        <w:pStyle w:val="BodyText"/>
      </w:pPr>
      <w:r w:rsidRPr="008C79C0">
        <w:t xml:space="preserve">One of the most common drivers is </w:t>
      </w:r>
      <w:r w:rsidRPr="008C79C0">
        <w:rPr>
          <w:b/>
          <w:bCs/>
        </w:rPr>
        <w:t>economic fatigue</w:t>
      </w:r>
      <w:r w:rsidRPr="008C79C0">
        <w:t xml:space="preserve">. When a society loses its commercial edge or becomes inwardly consumed, it begins to contract. Trade slows, surpluses shrink, and the national budget becomes a balancing act of declining capital. Defence, by nature costly and forward-looking, becomes an obvious target. In </w:t>
      </w:r>
      <w:r w:rsidRPr="008C79C0">
        <w:rPr>
          <w:b/>
          <w:bCs/>
        </w:rPr>
        <w:t>late Qing China (19th century)</w:t>
      </w:r>
      <w:r w:rsidRPr="008C79C0">
        <w:t>, after prolonged internal crises and defeats, defence investment was deprioritised in favour of domestic stability. The empire was exhausted, and preparation was framed as provocation.</w:t>
      </w:r>
    </w:p>
    <w:p w14:paraId="10899E2F" w14:textId="77777777" w:rsidR="008C79C0" w:rsidRPr="008C79C0" w:rsidRDefault="008C79C0" w:rsidP="008C79C0">
      <w:pPr>
        <w:pStyle w:val="BodyText"/>
      </w:pPr>
      <w:r w:rsidRPr="008C79C0">
        <w:lastRenderedPageBreak/>
        <w:t xml:space="preserve">In modern democracies, </w:t>
      </w:r>
      <w:r w:rsidRPr="008C79C0">
        <w:rPr>
          <w:b/>
          <w:bCs/>
        </w:rPr>
        <w:t>short-term budget relief often overrides long-term preparedness</w:t>
      </w:r>
      <w:r w:rsidRPr="008C79C0">
        <w:t xml:space="preserve">. Politicians seeking re-election can gain favour by reallocating military spending toward visible domestic needs—education, housing, subsidies. The cost of readiness is reframed as waste. In </w:t>
      </w:r>
      <w:r w:rsidRPr="008C79C0">
        <w:rPr>
          <w:b/>
          <w:bCs/>
        </w:rPr>
        <w:t>post-WWI Weimar Germany (1919–1933)</w:t>
      </w:r>
      <w:r w:rsidRPr="008C79C0">
        <w:t xml:space="preserve">, military capability was stripped not only by treaty but by a broader exhaustion with the machinery of war. In </w:t>
      </w:r>
      <w:r w:rsidRPr="008C79C0">
        <w:rPr>
          <w:b/>
          <w:bCs/>
        </w:rPr>
        <w:t>contemporary Pacific island states</w:t>
      </w:r>
      <w:r w:rsidRPr="008C79C0">
        <w:t>, low military investment is often justified economically, citing aid reliance and fiscal constraints.</w:t>
      </w:r>
    </w:p>
    <w:p w14:paraId="0A8627C7" w14:textId="77777777" w:rsidR="008C79C0" w:rsidRPr="008C79C0" w:rsidRDefault="008C79C0" w:rsidP="008C79C0">
      <w:pPr>
        <w:pStyle w:val="BodyText"/>
      </w:pPr>
      <w:r w:rsidRPr="008C79C0">
        <w:t xml:space="preserve">This argument has been taken up most consistently by </w:t>
      </w:r>
      <w:r w:rsidRPr="008C79C0">
        <w:rPr>
          <w:b/>
          <w:bCs/>
        </w:rPr>
        <w:t>left-leaning parties</w:t>
      </w:r>
      <w:r w:rsidRPr="008C79C0">
        <w:t xml:space="preserve">—including </w:t>
      </w:r>
      <w:r w:rsidRPr="008C79C0">
        <w:rPr>
          <w:b/>
          <w:bCs/>
        </w:rPr>
        <w:t>Green, Socialist, and Labour-aligned coalitions</w:t>
      </w:r>
      <w:r w:rsidRPr="008C79C0">
        <w:t xml:space="preserve">—which often build electoral support by promising resource redistribution to underserved groups. Within such political frames, defence spending is easily cast as money diverted </w:t>
      </w:r>
      <w:r w:rsidRPr="008C79C0">
        <w:rPr>
          <w:i/>
          <w:iCs/>
        </w:rPr>
        <w:t>away</w:t>
      </w:r>
      <w:r w:rsidRPr="008C79C0">
        <w:t xml:space="preserve"> from health, education, housing, or cultural restoration. This framing has become politically effective in </w:t>
      </w:r>
      <w:r w:rsidRPr="008C79C0">
        <w:rPr>
          <w:b/>
          <w:bCs/>
        </w:rPr>
        <w:t>France (especially during the 1997–2002 Plural Left government under Lionel Jospin)</w:t>
      </w:r>
      <w:r w:rsidRPr="008C79C0">
        <w:t xml:space="preserve">, </w:t>
      </w:r>
      <w:r w:rsidRPr="008C79C0">
        <w:rPr>
          <w:b/>
          <w:bCs/>
        </w:rPr>
        <w:t>the UK (notably during early phases of the Corbyn-era Labour revival in the 2010s)</w:t>
      </w:r>
      <w:r w:rsidRPr="008C79C0">
        <w:t xml:space="preserve">, and </w:t>
      </w:r>
      <w:r w:rsidRPr="008C79C0">
        <w:rPr>
          <w:b/>
          <w:bCs/>
        </w:rPr>
        <w:t>New Zealand (especially under Helen Clark’s Labour-led governments from 1999–2008 and again post-2017)</w:t>
      </w:r>
      <w:r w:rsidRPr="008C79C0">
        <w:t xml:space="preserve">. In </w:t>
      </w:r>
      <w:r w:rsidRPr="008C79C0">
        <w:rPr>
          <w:b/>
          <w:bCs/>
        </w:rPr>
        <w:t>many South American states</w:t>
      </w:r>
      <w:r w:rsidRPr="008C79C0">
        <w:t xml:space="preserve">, including </w:t>
      </w:r>
      <w:r w:rsidRPr="008C79C0">
        <w:rPr>
          <w:b/>
          <w:bCs/>
        </w:rPr>
        <w:t>Uruguay and Bolivia</w:t>
      </w:r>
      <w:r w:rsidRPr="008C79C0">
        <w:t>, progressive governments have often deprioritised military investment in favour of social equity platforms. This isn’t necessarily naive—it is responsive to voter priorities. But it can produce a structural blind spot: treating defence as a cost to be suppressed, rather than a capability to be stewarded.</w:t>
      </w:r>
    </w:p>
    <w:p w14:paraId="57B0A155" w14:textId="77777777" w:rsidR="008C79C0" w:rsidRPr="008C79C0" w:rsidRDefault="008C79C0" w:rsidP="008C79C0">
      <w:pPr>
        <w:pStyle w:val="BodyText"/>
      </w:pPr>
      <w:r w:rsidRPr="008C79C0">
        <w:t xml:space="preserve">Another reason cultures disarm is </w:t>
      </w:r>
      <w:r w:rsidRPr="008C79C0">
        <w:rPr>
          <w:b/>
          <w:bCs/>
        </w:rPr>
        <w:t>moral revulsion at violence</w:t>
      </w:r>
      <w:r w:rsidRPr="008C79C0">
        <w:t xml:space="preserve">—sometimes genuine, sometimes political. </w:t>
      </w:r>
      <w:r w:rsidRPr="008C79C0">
        <w:rPr>
          <w:b/>
          <w:bCs/>
        </w:rPr>
        <w:t>Emperor Ashoka of the Mauryan Empire (c. 261 BCE)</w:t>
      </w:r>
      <w:r w:rsidRPr="008C79C0">
        <w:t xml:space="preserve"> famously renounced war after the carnage of Kalinga, promoting Buddhist non-violence. His disarmament was a personal reckoning, but it weakened the state. Within decades of his death, the Mauryan Empire fragmented. In modern contexts, revulsion can be redirected outward. </w:t>
      </w:r>
      <w:r w:rsidRPr="008C79C0">
        <w:rPr>
          <w:b/>
          <w:bCs/>
        </w:rPr>
        <w:t>Post-colonial African states</w:t>
      </w:r>
      <w:r w:rsidRPr="008C79C0">
        <w:t xml:space="preserve">, including </w:t>
      </w:r>
      <w:r w:rsidRPr="008C79C0">
        <w:rPr>
          <w:b/>
          <w:bCs/>
        </w:rPr>
        <w:t>Ghana and Tanzania</w:t>
      </w:r>
      <w:r w:rsidRPr="008C79C0">
        <w:t xml:space="preserve"> during the 1960s–70s, often defined themselves in opposition to imperial militarism and adopted minimalist defence strategies as a moral stance.</w:t>
      </w:r>
    </w:p>
    <w:p w14:paraId="2E2A21E1" w14:textId="77777777" w:rsidR="008C79C0" w:rsidRPr="008C79C0" w:rsidRDefault="008C79C0" w:rsidP="008C79C0">
      <w:pPr>
        <w:pStyle w:val="BodyText"/>
      </w:pPr>
      <w:r w:rsidRPr="008C79C0">
        <w:t xml:space="preserve">Closely linked is the notion of </w:t>
      </w:r>
      <w:r w:rsidRPr="008C79C0">
        <w:rPr>
          <w:b/>
          <w:bCs/>
        </w:rPr>
        <w:t>moral superiority through disarmament</w:t>
      </w:r>
      <w:r w:rsidRPr="008C79C0">
        <w:t xml:space="preserve">. Cultures that perceive themselves as enlightened sometimes reject arms as beneath them. </w:t>
      </w:r>
      <w:r w:rsidRPr="008C79C0">
        <w:rPr>
          <w:b/>
          <w:bCs/>
        </w:rPr>
        <w:t>Late imperial China</w:t>
      </w:r>
      <w:r w:rsidRPr="008C79C0">
        <w:t xml:space="preserve">, especially under the </w:t>
      </w:r>
      <w:r w:rsidRPr="008C79C0">
        <w:rPr>
          <w:b/>
          <w:bCs/>
        </w:rPr>
        <w:t>Ming dynasty (after 1433)</w:t>
      </w:r>
      <w:r w:rsidRPr="008C79C0">
        <w:t>, dismantled its world-leading naval fleets and reduced foreign military engagements, seeing commercial and military entanglements as corrupting. The belief that virtue would attract peace replaced strategic deterrence.</w:t>
      </w:r>
    </w:p>
    <w:p w14:paraId="21629313" w14:textId="77777777" w:rsidR="008C79C0" w:rsidRPr="008C79C0" w:rsidRDefault="008C79C0" w:rsidP="008C79C0">
      <w:pPr>
        <w:pStyle w:val="BodyText"/>
      </w:pPr>
      <w:r w:rsidRPr="008C79C0">
        <w:t xml:space="preserve">Others disarm because they believe they no longer need to fight. </w:t>
      </w:r>
      <w:r w:rsidRPr="008C79C0">
        <w:rPr>
          <w:b/>
          <w:bCs/>
        </w:rPr>
        <w:t>Geographic security</w:t>
      </w:r>
      <w:r w:rsidRPr="008C79C0">
        <w:t xml:space="preserve">, </w:t>
      </w:r>
      <w:r w:rsidRPr="008C79C0">
        <w:rPr>
          <w:b/>
          <w:bCs/>
        </w:rPr>
        <w:t>perceived neutrality</w:t>
      </w:r>
      <w:r w:rsidRPr="008C79C0">
        <w:t xml:space="preserve">, or </w:t>
      </w:r>
      <w:r w:rsidRPr="008C79C0">
        <w:rPr>
          <w:b/>
          <w:bCs/>
        </w:rPr>
        <w:t>dependence on alliances</w:t>
      </w:r>
      <w:r w:rsidRPr="008C79C0">
        <w:t xml:space="preserve"> can create the illusion of insulation. </w:t>
      </w:r>
      <w:r w:rsidRPr="008C79C0">
        <w:rPr>
          <w:b/>
          <w:bCs/>
        </w:rPr>
        <w:t xml:space="preserve">Japan during the </w:t>
      </w:r>
      <w:proofErr w:type="spellStart"/>
      <w:r w:rsidRPr="008C79C0">
        <w:rPr>
          <w:b/>
          <w:bCs/>
        </w:rPr>
        <w:t>sakoku</w:t>
      </w:r>
      <w:proofErr w:type="spellEnd"/>
      <w:r w:rsidRPr="008C79C0">
        <w:rPr>
          <w:b/>
          <w:bCs/>
        </w:rPr>
        <w:t xml:space="preserve"> period (1639–1853)</w:t>
      </w:r>
      <w:r w:rsidRPr="008C79C0">
        <w:t xml:space="preserve"> relied on the sea and internal peace, gradually forgetting how to project force. </w:t>
      </w:r>
      <w:r w:rsidRPr="008C79C0">
        <w:rPr>
          <w:b/>
          <w:bCs/>
        </w:rPr>
        <w:t>Austria post-WWII</w:t>
      </w:r>
      <w:r w:rsidRPr="008C79C0">
        <w:t xml:space="preserve"> relied on neutrality and a demilitarised posture backed implicitly by great power consensus. Some </w:t>
      </w:r>
      <w:r w:rsidRPr="008C79C0">
        <w:rPr>
          <w:b/>
          <w:bCs/>
        </w:rPr>
        <w:t>Nordic states during the Cold War</w:t>
      </w:r>
      <w:r w:rsidRPr="008C79C0">
        <w:t xml:space="preserve"> banked on proximity to NATO rather than deep independent capability.</w:t>
      </w:r>
    </w:p>
    <w:p w14:paraId="5DB10DAD" w14:textId="77777777" w:rsidR="008C79C0" w:rsidRPr="008C79C0" w:rsidRDefault="008C79C0" w:rsidP="008C79C0">
      <w:pPr>
        <w:pStyle w:val="BodyText"/>
      </w:pPr>
      <w:r w:rsidRPr="008C79C0">
        <w:lastRenderedPageBreak/>
        <w:t xml:space="preserve">A more subtle reason is </w:t>
      </w:r>
      <w:r w:rsidRPr="008C79C0">
        <w:rPr>
          <w:b/>
          <w:bCs/>
        </w:rPr>
        <w:t>the erosion of shared civic identity</w:t>
      </w:r>
      <w:r w:rsidRPr="008C79C0">
        <w:t xml:space="preserve">. When a culture no longer sees itself as a unified “we,” defence becomes someone else’s job. It begins to feel abstract, or even unjust. </w:t>
      </w:r>
      <w:r w:rsidRPr="008C79C0">
        <w:rPr>
          <w:b/>
          <w:bCs/>
        </w:rPr>
        <w:t>Weimar Germany</w:t>
      </w:r>
      <w:r w:rsidRPr="008C79C0">
        <w:t xml:space="preserve"> again showed signs of this, with internal factions resisting rearmament not only because of pacifism, but because they no longer believed the republic represented a unified German identity. In more recent decades, some </w:t>
      </w:r>
      <w:r w:rsidRPr="008C79C0">
        <w:rPr>
          <w:b/>
          <w:bCs/>
        </w:rPr>
        <w:t>Western democracies</w:t>
      </w:r>
      <w:r w:rsidRPr="008C79C0">
        <w:t>, under cultural fragmentation and identity politics, have seen civic duty—including military service—lose social legitimacy.</w:t>
      </w:r>
    </w:p>
    <w:p w14:paraId="6C669484" w14:textId="77777777" w:rsidR="008C79C0" w:rsidRPr="008C79C0" w:rsidRDefault="008C79C0" w:rsidP="008C79C0">
      <w:pPr>
        <w:pStyle w:val="BodyText"/>
      </w:pPr>
      <w:r w:rsidRPr="008C79C0">
        <w:t xml:space="preserve">And then there is a special case: </w:t>
      </w:r>
      <w:r w:rsidRPr="008C79C0">
        <w:rPr>
          <w:b/>
          <w:bCs/>
        </w:rPr>
        <w:t>repurposed defence</w:t>
      </w:r>
      <w:r w:rsidRPr="008C79C0">
        <w:t>. Here, a country doesn’t disarm directly. Instead, it rebrands. Defence forces are renamed as civil protection units. Training is reshaped around disaster relief, peacekeeping, humanitarian assistance, or climate response. This allows governments to retain the structure, uniforms, and budget lines—without maintaining combat readiness. It sells well to the public: a way to “keep the kit” while signalling moral restraint. But the consequence is often profound. The logistics, doctrine, and mindset shift away from deterrence. The force may remain on paper—but its purpose has been redirected. Its strategic function has been hollowed out.</w:t>
      </w:r>
    </w:p>
    <w:p w14:paraId="365C70A8" w14:textId="77777777" w:rsidR="008C79C0" w:rsidRPr="008C79C0" w:rsidRDefault="008C79C0" w:rsidP="008C79C0">
      <w:pPr>
        <w:pStyle w:val="BodyText"/>
      </w:pPr>
      <w:r w:rsidRPr="008C79C0">
        <w:t xml:space="preserve">This has become increasingly common in Western-aligned democracies where visible combat roles are politically unpopular. It appears pragmatic, even noble. But when threats escalate, a force trained to distribute food parcels or evacuate flood victims is not ready to respond to armed coercion or defend sovereign interests. </w:t>
      </w:r>
      <w:r w:rsidRPr="008C79C0">
        <w:rPr>
          <w:b/>
          <w:bCs/>
        </w:rPr>
        <w:t>New Zealand is perhaps the clearest example of this shift</w:t>
      </w:r>
      <w:r w:rsidRPr="008C79C0">
        <w:t>—where a longstanding political consensus has reframed military capacity as humanitarian contribution, while its strategic vulnerabilities grow.</w:t>
      </w:r>
    </w:p>
    <w:p w14:paraId="135ABBAB" w14:textId="77777777" w:rsidR="008C79C0" w:rsidRDefault="008C79C0" w:rsidP="008C79C0">
      <w:pPr>
        <w:pStyle w:val="BodyText"/>
      </w:pPr>
      <w:r w:rsidRPr="008C79C0">
        <w:t>In reality, these causes rarely appear in isolation. Economic constraints merge with moral language. Political convenience is masked as principle. Strategic vulnerability is reframed as peace. Cultures disarm—or repurpose—when it becomes easier to argue for safety than to prepare for danger. And when the generation that made the decision is gone, the next inherits only the vulnerability—without the rationale.</w:t>
      </w:r>
    </w:p>
    <w:p w14:paraId="7FFE91E7" w14:textId="2F736DDC" w:rsidR="00A43C56" w:rsidRDefault="00A43C56" w:rsidP="00A43C56">
      <w:pPr>
        <w:pStyle w:val="Heading3"/>
      </w:pPr>
      <w:r>
        <w:t>A Case Study: New Zealand</w:t>
      </w:r>
    </w:p>
    <w:p w14:paraId="6E7BD488" w14:textId="77777777" w:rsidR="00E6060D" w:rsidRPr="00E6060D" w:rsidRDefault="00E6060D" w:rsidP="00E6060D">
      <w:pPr>
        <w:pStyle w:val="BodyText"/>
      </w:pPr>
      <w:r w:rsidRPr="00E6060D">
        <w:t>New Zealand is often proud of its peaceful image and nuclear-free stance, and has come to admire itself for a moral clarity that others, in its view, have failed to maintain. But beneath that self-image lies a strategic pattern familiar to history: the belief that distance is sufficient defence.</w:t>
      </w:r>
    </w:p>
    <w:p w14:paraId="1F955EB8" w14:textId="77777777" w:rsidR="00E6060D" w:rsidRPr="00E6060D" w:rsidRDefault="00E6060D" w:rsidP="00E6060D">
      <w:pPr>
        <w:pStyle w:val="BodyText"/>
      </w:pPr>
      <w:r w:rsidRPr="00E6060D">
        <w:t xml:space="preserve">Surrounded by ocean, lacking hostile borders, and positioned deep in the South Pacific, New Zealand has internalised a quiet assumption: that isolation equals safety. That assumption once underpinned Japan’s </w:t>
      </w:r>
      <w:proofErr w:type="spellStart"/>
      <w:r w:rsidRPr="00E6060D">
        <w:t>sakoku</w:t>
      </w:r>
      <w:proofErr w:type="spellEnd"/>
      <w:r w:rsidRPr="00E6060D">
        <w:t xml:space="preserve"> period (1639–1853), during which the shogunate believed its geography allowed it to withdraw from external entanglements. It did—for a time. But when modern powers arrived with steamships and demands, Japan was forced to reckon with centuries of </w:t>
      </w:r>
      <w:proofErr w:type="spellStart"/>
      <w:r w:rsidRPr="00E6060D">
        <w:t>underpreparation</w:t>
      </w:r>
      <w:proofErr w:type="spellEnd"/>
      <w:r w:rsidRPr="00E6060D">
        <w:t xml:space="preserve"> in a matter of months.</w:t>
      </w:r>
    </w:p>
    <w:p w14:paraId="405F6F51" w14:textId="77777777" w:rsidR="00E6060D" w:rsidRPr="00E6060D" w:rsidRDefault="00E6060D" w:rsidP="00E6060D">
      <w:pPr>
        <w:pStyle w:val="BodyText"/>
      </w:pPr>
      <w:r w:rsidRPr="00E6060D">
        <w:lastRenderedPageBreak/>
        <w:t xml:space="preserve">New Zealand risks repeating the same illusion. The country has not formally disarmed—but it has </w:t>
      </w:r>
      <w:r w:rsidRPr="00E6060D">
        <w:rPr>
          <w:b/>
          <w:bCs/>
        </w:rPr>
        <w:t>repurposed and abandoned</w:t>
      </w:r>
      <w:r w:rsidRPr="00E6060D">
        <w:t>. Successive governments—particularly since the late 1990s—have recast the defence force as a humanitarian delivery mechanism. Peacekeeping, disaster response, and climate aid are now the dominant narratives surrounding military activity. This has allowed public support to be retained while combat capability has quietly withered.</w:t>
      </w:r>
    </w:p>
    <w:p w14:paraId="283E524A" w14:textId="77777777" w:rsidR="00E6060D" w:rsidRPr="00E6060D" w:rsidRDefault="00E6060D" w:rsidP="00E6060D">
      <w:pPr>
        <w:pStyle w:val="BodyText"/>
      </w:pPr>
      <w:r w:rsidRPr="00E6060D">
        <w:t xml:space="preserve">But the rupture started earlier. In the 1980s, under Prime Minister David Lange and the Fourth Labour Government, New Zealand withdrew from the ANZUS defence alliance. The decision was packaged as moral opposition to nuclear weapons. In reality, it was a political manoeuvre—partly a response to French nuclear testing, but largely aimed at </w:t>
      </w:r>
      <w:r w:rsidRPr="00E6060D">
        <w:rPr>
          <w:b/>
          <w:bCs/>
        </w:rPr>
        <w:t>winning a domestic electoral cycle</w:t>
      </w:r>
      <w:r w:rsidRPr="00E6060D">
        <w:t>. A choice was made to abandon a hard-won, decades-old military alliance in exchange for short-term political gain. This was not a decision taken across parties, with long-term consensus. It was partisan, impulsive, and diplomatically catastrophic.</w:t>
      </w:r>
    </w:p>
    <w:p w14:paraId="79E7AEE1" w14:textId="77777777" w:rsidR="00E6060D" w:rsidRPr="00E6060D" w:rsidRDefault="00E6060D" w:rsidP="00E6060D">
      <w:pPr>
        <w:pStyle w:val="BodyText"/>
      </w:pPr>
      <w:r w:rsidRPr="00E6060D">
        <w:rPr>
          <w:b/>
          <w:bCs/>
        </w:rPr>
        <w:t>And crucially, it was a decision made under the unspoken shelter of larger powers.</w:t>
      </w:r>
      <w:r w:rsidRPr="00E6060D">
        <w:t xml:space="preserve"> New Zealand could afford to moralise because it was still implicitly protected by the very allies it was rebuking. </w:t>
      </w:r>
      <w:r w:rsidRPr="00E6060D">
        <w:rPr>
          <w:b/>
          <w:bCs/>
        </w:rPr>
        <w:t>The stance had symbolic weight, but minimal risk—because the strategic burden was being carried by others.</w:t>
      </w:r>
      <w:r w:rsidRPr="00E6060D">
        <w:t xml:space="preserve"> It was, in effect, the posture of a state secure enough to disown its own security policy, trusting that someone else would absorb the cost.</w:t>
      </w:r>
    </w:p>
    <w:p w14:paraId="482CF150" w14:textId="77777777" w:rsidR="00E6060D" w:rsidRPr="00E6060D" w:rsidRDefault="00E6060D" w:rsidP="00E6060D">
      <w:pPr>
        <w:pStyle w:val="BodyText"/>
      </w:pPr>
      <w:r w:rsidRPr="00E6060D">
        <w:t xml:space="preserve">What makes it more striking is how </w:t>
      </w:r>
      <w:r w:rsidRPr="00E6060D">
        <w:rPr>
          <w:b/>
          <w:bCs/>
        </w:rPr>
        <w:t>young</w:t>
      </w:r>
      <w:r w:rsidRPr="00E6060D">
        <w:t xml:space="preserve"> and </w:t>
      </w:r>
      <w:r w:rsidRPr="00E6060D">
        <w:rPr>
          <w:b/>
          <w:bCs/>
        </w:rPr>
        <w:t>isolated</w:t>
      </w:r>
      <w:r w:rsidRPr="00E6060D">
        <w:t xml:space="preserve"> New Zealand’s political and cultural class was at the time. This was before the internet, before global interconnectivity. It was a small, proud country, far from conflict, governed by people with limited exposure to the realities of great power diplomacy. The generation that made the decision had no living memory of invasion, no continental neighbours, and little grasp of how their actions would be received by allies who had, only decades earlier, spilled blood to defend the Pacific. The result was misread not only by the public—but by its own leadership.</w:t>
      </w:r>
    </w:p>
    <w:p w14:paraId="7F326266" w14:textId="77777777" w:rsidR="00E6060D" w:rsidRPr="00E6060D" w:rsidRDefault="00E6060D" w:rsidP="00E6060D">
      <w:pPr>
        <w:pStyle w:val="BodyText"/>
      </w:pPr>
      <w:r w:rsidRPr="00E6060D">
        <w:t>And the consequences endure. Today, most New Zealanders do not understand the reality of their strategic position. The United States left the alliance in disgust. The Five Eyes intelligence network remains, but it is for surveillance and data—not military assistance. The Commonwealth has no binding defence commitments; its name reflects wealth, not protection. No security pact exists. The nation of five million is alone. It cannot defend its trade routes. It cannot protect its offshore islands. It cannot meaningfully shape regional affairs. It may still be spoken to—but it is no longer listened to.</w:t>
      </w:r>
    </w:p>
    <w:p w14:paraId="4AF5E92D" w14:textId="77777777" w:rsidR="00E6060D" w:rsidRPr="00E6060D" w:rsidRDefault="00E6060D" w:rsidP="00E6060D">
      <w:pPr>
        <w:pStyle w:val="BodyText"/>
      </w:pPr>
      <w:r w:rsidRPr="00E6060D">
        <w:t xml:space="preserve">This lack of context continues even in discussions around becoming a republic. While New Zealand has no formal defence treaty with the United Kingdom—and never has—the symbolic connection to a monarchy backed by 500 years of naval and expeditionary warfare is not without diplomatic weight. Breaking that tie does not alter any legal obligation, but it may diminish residual goodwill. </w:t>
      </w:r>
      <w:r w:rsidRPr="00E6060D">
        <w:rPr>
          <w:b/>
          <w:bCs/>
        </w:rPr>
        <w:t xml:space="preserve">In a crisis, symbolic connections can </w:t>
      </w:r>
      <w:r w:rsidRPr="00E6060D">
        <w:rPr>
          <w:b/>
          <w:bCs/>
        </w:rPr>
        <w:lastRenderedPageBreak/>
        <w:t>matter. Weakening them increases the risk that when help is needed, no one answers.</w:t>
      </w:r>
    </w:p>
    <w:p w14:paraId="56FF4295" w14:textId="77777777" w:rsidR="00E6060D" w:rsidRPr="00E6060D" w:rsidRDefault="00E6060D" w:rsidP="00E6060D">
      <w:pPr>
        <w:pStyle w:val="BodyText"/>
      </w:pPr>
      <w:r w:rsidRPr="00E6060D">
        <w:t xml:space="preserve">This misunderstanding is reinforced by education. New Zealand’s curriculum and civic discourse present war as a foreign failure, defence as a historical embarrassment, and peace as a moral condition rather than a strategic outcome. The national memory of Gallipoli—its most defining military experience—is not framed around courage, resolve, or the brutal necessity of readiness. Instead, it has become a parable of tragedy and futility. </w:t>
      </w:r>
      <w:r w:rsidRPr="00E6060D">
        <w:rPr>
          <w:b/>
          <w:bCs/>
        </w:rPr>
        <w:t>ANZAC Day, rather than affirming preparation, training, experience, civic duty, national resilience, and courage, is often used to reinforce a message of “never again”—not “never unready again.”</w:t>
      </w:r>
      <w:r w:rsidRPr="00E6060D">
        <w:t xml:space="preserve"> Young people are raised to value global citizenship, inclusion, and service—but not defence, deterrence, or the ethics of armed sovereignty. There is little public comprehension of how long it takes to build alliances, or how fast they are lost.</w:t>
      </w:r>
    </w:p>
    <w:p w14:paraId="19AA22CD" w14:textId="77777777" w:rsidR="00E6060D" w:rsidRPr="00E6060D" w:rsidRDefault="00E6060D" w:rsidP="00E6060D">
      <w:pPr>
        <w:pStyle w:val="BodyText"/>
      </w:pPr>
      <w:r w:rsidRPr="00E6060D">
        <w:t xml:space="preserve">This confusion deepens when the country turns to its own history. The </w:t>
      </w:r>
      <w:r w:rsidRPr="00E6060D">
        <w:rPr>
          <w:b/>
          <w:bCs/>
        </w:rPr>
        <w:t>New Zealand Wars</w:t>
      </w:r>
      <w:r w:rsidRPr="00E6060D">
        <w:t xml:space="preserve"> of the 1840s–70s were not foreign conflicts. They were internal acts of violence—carried out by the state, in service of one culture trying to dominate, suppress, and displace another. These were not just wars over land. They were wars over sovereignty, language, identity, and survival. That past must not be denied or softened. It is a national failing that continues to shape Aotearoa.</w:t>
      </w:r>
    </w:p>
    <w:p w14:paraId="2F05CFB1" w14:textId="77777777" w:rsidR="00E6060D" w:rsidRPr="00E6060D" w:rsidRDefault="00E6060D" w:rsidP="00E6060D">
      <w:pPr>
        <w:pStyle w:val="BodyText"/>
      </w:pPr>
      <w:r w:rsidRPr="00E6060D">
        <w:t xml:space="preserve">But this history is not separate from the question of external defence—it is a warning. </w:t>
      </w:r>
      <w:r w:rsidRPr="00E6060D">
        <w:rPr>
          <w:b/>
          <w:bCs/>
        </w:rPr>
        <w:t>What was done to Māori is what can be done to nations. Cultural suppression, forced submission, strategic isolation—these are not uniquely colonial behaviours. They are tools of conquest used globally, including today.</w:t>
      </w:r>
      <w:r w:rsidRPr="00E6060D">
        <w:t xml:space="preserve"> The lesson is not to reject defence, but to understand its true purpose. Internally, that past demands truth, reconciliation, and repair. But externally, it demands that New Zealand be prepared—</w:t>
      </w:r>
      <w:r w:rsidRPr="00E6060D">
        <w:rPr>
          <w:b/>
          <w:bCs/>
        </w:rPr>
        <w:t>so that what it once did to others is not done to it.</w:t>
      </w:r>
    </w:p>
    <w:p w14:paraId="0CFD7C24" w14:textId="77777777" w:rsidR="00E6060D" w:rsidRPr="00E6060D" w:rsidRDefault="00E6060D" w:rsidP="00E6060D">
      <w:pPr>
        <w:pStyle w:val="BodyText"/>
      </w:pPr>
      <w:r w:rsidRPr="00E6060D">
        <w:t xml:space="preserve">New Zealand still wears the uniforms of preparedness. But its purpose has been redefined. The doctrine has shifted from resistance to assistance. The civic imagination now sees defence as global goodwill, not national resilience. In doing so, it has hollowed out its most fundamental capability: </w:t>
      </w:r>
      <w:r w:rsidRPr="00E6060D">
        <w:rPr>
          <w:b/>
          <w:bCs/>
        </w:rPr>
        <w:t>to protect its people, its interests, and its choices—without asking others to do it for them.</w:t>
      </w:r>
    </w:p>
    <w:p w14:paraId="0D8DEA3B" w14:textId="77777777" w:rsidR="00DD0D50" w:rsidRPr="00DD0D50" w:rsidRDefault="00DD0D50" w:rsidP="00DD0D50">
      <w:pPr>
        <w:pStyle w:val="BodyText"/>
      </w:pPr>
    </w:p>
    <w:p w14:paraId="20EE6325" w14:textId="2799AE1F" w:rsidR="00DE4AD0" w:rsidRPr="00DE4AD0" w:rsidRDefault="00DE4AD0" w:rsidP="00AB53DB">
      <w:pPr>
        <w:pStyle w:val="Heading2"/>
      </w:pPr>
      <w:r w:rsidRPr="00DE4AD0">
        <w:t>What Happens When Cultures Disarm</w:t>
      </w:r>
    </w:p>
    <w:p w14:paraId="3D504CA7" w14:textId="77777777" w:rsidR="00D51539" w:rsidRPr="00D51539" w:rsidRDefault="00D51539" w:rsidP="00D51539">
      <w:pPr>
        <w:pStyle w:val="BodyText"/>
      </w:pPr>
      <w:r w:rsidRPr="00D51539">
        <w:t>Tibet is the most cited example of spiritual strength mistaken for security. In the mid-twentieth century, it maintained no significant army, trusting in isolation, Buddhist tradition, and moral authority to protect its sovereignty. When China invaded in 1950, there was little resistance. The world watched, issued statements, and moved on. Tibet was absorbed. Its monasteries were repurposed or destroyed. Its leaders fled. Its culture survives now in exile, not autonomy.</w:t>
      </w:r>
    </w:p>
    <w:p w14:paraId="4C996B0C" w14:textId="162121D9" w:rsidR="00D51539" w:rsidRPr="00D51539" w:rsidRDefault="00D51539" w:rsidP="00D51539">
      <w:pPr>
        <w:pStyle w:val="BodyText"/>
      </w:pPr>
      <w:r w:rsidRPr="00D51539">
        <w:lastRenderedPageBreak/>
        <w:t>This was not an isolated case. In India’s ancient Mauryan Empire, Emperor Ashoka renounced violence after the horrors of the Kalinga war</w:t>
      </w:r>
      <w:r w:rsidR="00B96D78">
        <w:t xml:space="preserve"> in 261 BCE</w:t>
      </w:r>
      <w:r w:rsidRPr="00D51539">
        <w:t>. He embraced Buddhism, spread compassion, and ceased territorial expansion. But the empire could not hold without strength. Within decades of his death</w:t>
      </w:r>
      <w:r w:rsidR="008E37F5">
        <w:t xml:space="preserve"> in 232 BCE</w:t>
      </w:r>
      <w:r w:rsidRPr="00D51539">
        <w:t>, it crumbled under internal and external pressure. Moral clarity had not translated into strategic durability.</w:t>
      </w:r>
    </w:p>
    <w:p w14:paraId="34AC9708" w14:textId="2E6B3046" w:rsidR="00D51539" w:rsidRPr="00D51539" w:rsidRDefault="00D51539" w:rsidP="00D51539">
      <w:pPr>
        <w:pStyle w:val="BodyText"/>
      </w:pPr>
      <w:r w:rsidRPr="00D51539">
        <w:t xml:space="preserve">Further east, in what is now Thailand, early Buddhist kingdoms such as Sukhothai </w:t>
      </w:r>
      <w:r w:rsidR="008E37F5">
        <w:t xml:space="preserve">(1238--1438) </w:t>
      </w:r>
      <w:r w:rsidRPr="00D51539">
        <w:t xml:space="preserve">and later Ayutthaya </w:t>
      </w:r>
      <w:r w:rsidR="008E37F5">
        <w:t>(1351-1</w:t>
      </w:r>
      <w:r w:rsidR="003A34DC">
        <w:t xml:space="preserve">767) </w:t>
      </w:r>
      <w:r w:rsidRPr="00D51539">
        <w:t>maintained cultural richness but often neglected military reform. When Burma attacked in 1767, Ayutthaya fell, its capital sacked. The kingdom never fully recovered. While Thailand later rebuilt itself, the cost of assuming peace was remembered in ruins.</w:t>
      </w:r>
    </w:p>
    <w:p w14:paraId="0F24C625" w14:textId="77777777" w:rsidR="00D10C33" w:rsidRDefault="00D10C33" w:rsidP="00D51539">
      <w:pPr>
        <w:pStyle w:val="BodyText"/>
      </w:pPr>
      <w:r w:rsidRPr="00D10C33">
        <w:t xml:space="preserve">Europe has its own examples. In the eighteenth century, the </w:t>
      </w:r>
      <w:r w:rsidRPr="00D10C33">
        <w:rPr>
          <w:b/>
          <w:bCs/>
        </w:rPr>
        <w:t>Polish–Lithuanian Commonwealth</w:t>
      </w:r>
      <w:r w:rsidRPr="00D10C33">
        <w:t xml:space="preserve"> became obsessed with liberty, vetoes, and consensus. It failed to maintain a coherent military or functioning state. </w:t>
      </w:r>
      <w:r w:rsidRPr="00D10C33">
        <w:rPr>
          <w:b/>
          <w:bCs/>
        </w:rPr>
        <w:t>Partitions in 1772, 1793, and 1795</w:t>
      </w:r>
      <w:r w:rsidRPr="00D10C33">
        <w:t xml:space="preserve"> by Russia, Prussia, and Austria erased it from the map. For </w:t>
      </w:r>
      <w:r w:rsidRPr="00D10C33">
        <w:rPr>
          <w:b/>
          <w:bCs/>
        </w:rPr>
        <w:t>123 years</w:t>
      </w:r>
      <w:r w:rsidRPr="00D10C33">
        <w:t>, Poland existed only as memory and diaspora. Noble principles had offered no defence.</w:t>
      </w:r>
      <w:r w:rsidRPr="00D10C33">
        <w:t xml:space="preserve"> </w:t>
      </w:r>
    </w:p>
    <w:p w14:paraId="70B30CF4" w14:textId="77777777" w:rsidR="00D10C33" w:rsidRDefault="00D10C33" w:rsidP="00D51539">
      <w:pPr>
        <w:pStyle w:val="BodyText"/>
      </w:pPr>
      <w:r w:rsidRPr="00D10C33">
        <w:t xml:space="preserve">Across the Pacific, the </w:t>
      </w:r>
      <w:r w:rsidRPr="00D10C33">
        <w:rPr>
          <w:b/>
          <w:bCs/>
        </w:rPr>
        <w:t xml:space="preserve">Kingdom of </w:t>
      </w:r>
      <w:proofErr w:type="spellStart"/>
      <w:r w:rsidRPr="00D10C33">
        <w:rPr>
          <w:b/>
          <w:bCs/>
        </w:rPr>
        <w:t>Hawaiʻi</w:t>
      </w:r>
      <w:proofErr w:type="spellEnd"/>
      <w:r w:rsidRPr="00D10C33">
        <w:rPr>
          <w:b/>
          <w:bCs/>
        </w:rPr>
        <w:t xml:space="preserve"> (1795–1893)</w:t>
      </w:r>
      <w:r w:rsidRPr="00D10C33">
        <w:t xml:space="preserve"> sought diplomacy and modernisation. It embraced Christianity, literacy, and trade, but relied on goodwill and treaties to secure its sovereignty. It was slowly undermined by settler interests and economic dependence, culminating in </w:t>
      </w:r>
      <w:r w:rsidRPr="00D10C33">
        <w:rPr>
          <w:b/>
          <w:bCs/>
        </w:rPr>
        <w:t>annexation by the United States in 1898</w:t>
      </w:r>
      <w:r w:rsidRPr="00D10C33">
        <w:t>. The native monarchy fell not by war, but by political manipulation and delayed resistance.</w:t>
      </w:r>
      <w:r w:rsidRPr="00D10C33">
        <w:t xml:space="preserve"> </w:t>
      </w:r>
    </w:p>
    <w:p w14:paraId="6B7369AF" w14:textId="77777777" w:rsidR="00F461B2" w:rsidRDefault="00F461B2" w:rsidP="00D51539">
      <w:pPr>
        <w:pStyle w:val="BodyText"/>
      </w:pPr>
      <w:r w:rsidRPr="00F461B2">
        <w:t xml:space="preserve">Similarly, the </w:t>
      </w:r>
      <w:r w:rsidRPr="00F461B2">
        <w:rPr>
          <w:b/>
          <w:bCs/>
        </w:rPr>
        <w:t>Ryukyu Kingdom (1429–1879)</w:t>
      </w:r>
      <w:r w:rsidRPr="00F461B2">
        <w:t xml:space="preserve">, now Okinawa, tried to balance relations with both China and Japan. It maintained no real military. When Japan consolidated power during the Meiji Restoration, it annexed Ryukyu in </w:t>
      </w:r>
      <w:r w:rsidRPr="00F461B2">
        <w:rPr>
          <w:b/>
          <w:bCs/>
        </w:rPr>
        <w:t>1879</w:t>
      </w:r>
      <w:r w:rsidRPr="00F461B2">
        <w:t>. Cultural erasure followed. What began as a peaceful tributary relationship ended in enforced assimilation.</w:t>
      </w:r>
      <w:r w:rsidRPr="00F461B2">
        <w:t xml:space="preserve"> </w:t>
      </w:r>
    </w:p>
    <w:p w14:paraId="3C2CCC4E" w14:textId="0798882E" w:rsidR="00D51539" w:rsidRPr="00D51539" w:rsidRDefault="00F461B2" w:rsidP="00D51539">
      <w:pPr>
        <w:pStyle w:val="BodyText"/>
      </w:pPr>
      <w:r w:rsidRPr="00F461B2">
        <w:t xml:space="preserve">Even </w:t>
      </w:r>
      <w:r w:rsidRPr="00F461B2">
        <w:rPr>
          <w:b/>
          <w:bCs/>
        </w:rPr>
        <w:t>Ethiopia</w:t>
      </w:r>
      <w:r w:rsidRPr="00F461B2">
        <w:t xml:space="preserve">, one of the few African nations to resist colonisation in the nineteenth century (notably at the </w:t>
      </w:r>
      <w:r w:rsidRPr="00F461B2">
        <w:rPr>
          <w:b/>
          <w:bCs/>
        </w:rPr>
        <w:t>Battle of Adwa in 1896</w:t>
      </w:r>
      <w:r w:rsidRPr="00F461B2">
        <w:t xml:space="preserve">), fell to this pattern a few decades later. In the </w:t>
      </w:r>
      <w:r w:rsidRPr="00F461B2">
        <w:rPr>
          <w:b/>
          <w:bCs/>
        </w:rPr>
        <w:t>1930s</w:t>
      </w:r>
      <w:r w:rsidRPr="00F461B2">
        <w:t xml:space="preserve">, Emperor Haile Selassie pursued modernisation but left the country militarily unprepared. </w:t>
      </w:r>
      <w:r w:rsidRPr="00F461B2">
        <w:rPr>
          <w:b/>
          <w:bCs/>
        </w:rPr>
        <w:t>Italy invaded in 1935</w:t>
      </w:r>
      <w:r w:rsidRPr="00F461B2">
        <w:t xml:space="preserve"> with tanks, aircraft, and mustard gas. Ethiopia’s outdated forces were overrun. The </w:t>
      </w:r>
      <w:r w:rsidRPr="00F461B2">
        <w:rPr>
          <w:b/>
          <w:bCs/>
        </w:rPr>
        <w:t>League of Nations</w:t>
      </w:r>
      <w:r w:rsidRPr="00F461B2">
        <w:t xml:space="preserve"> offered words but no action. A sovereign culture was sacrificed while the world maintained its principles.</w:t>
      </w:r>
    </w:p>
    <w:p w14:paraId="28169FAD" w14:textId="77777777" w:rsidR="008F5B4A" w:rsidRPr="008F5B4A" w:rsidRDefault="008F5B4A" w:rsidP="008F5B4A">
      <w:pPr>
        <w:pStyle w:val="BodyText"/>
      </w:pPr>
      <w:r w:rsidRPr="008F5B4A">
        <w:t xml:space="preserve">In the mid-twentieth century </w:t>
      </w:r>
      <w:r w:rsidRPr="008F5B4A">
        <w:rPr>
          <w:b/>
          <w:bCs/>
        </w:rPr>
        <w:t>Congo</w:t>
      </w:r>
      <w:r w:rsidRPr="008F5B4A">
        <w:t xml:space="preserve">, independence brought idealism, but little capacity. </w:t>
      </w:r>
      <w:r w:rsidRPr="008F5B4A">
        <w:rPr>
          <w:b/>
          <w:bCs/>
        </w:rPr>
        <w:t>Patrice Lumumba</w:t>
      </w:r>
      <w:r w:rsidRPr="008F5B4A">
        <w:t xml:space="preserve">, the newly elected Prime Minister in </w:t>
      </w:r>
      <w:r w:rsidRPr="008F5B4A">
        <w:rPr>
          <w:b/>
          <w:bCs/>
        </w:rPr>
        <w:t>1960</w:t>
      </w:r>
      <w:r w:rsidRPr="008F5B4A">
        <w:t xml:space="preserve">, sought unity and non-alignment. He underestimated the influence of colonial powers unwilling to lose control. Within months, his government was toppled by a </w:t>
      </w:r>
      <w:r w:rsidRPr="008F5B4A">
        <w:rPr>
          <w:b/>
          <w:bCs/>
        </w:rPr>
        <w:t>Belgian- and CIA-backed coup in 1960–61</w:t>
      </w:r>
      <w:r w:rsidRPr="008F5B4A">
        <w:t>. He was murdered. Congo entered decades of chaos and external manipulation. It had not disarmed—but it had no means to defend its independence.</w:t>
      </w:r>
    </w:p>
    <w:p w14:paraId="06F87982" w14:textId="77777777" w:rsidR="008F5B4A" w:rsidRPr="008F5B4A" w:rsidRDefault="008F5B4A" w:rsidP="008F5B4A">
      <w:pPr>
        <w:pStyle w:val="BodyText"/>
      </w:pPr>
      <w:r w:rsidRPr="008F5B4A">
        <w:t xml:space="preserve">Even in the heart of Europe, disarmament failed to deliver peace. After World War I, the </w:t>
      </w:r>
      <w:r w:rsidRPr="008F5B4A">
        <w:rPr>
          <w:b/>
          <w:bCs/>
        </w:rPr>
        <w:t>Weimar Republic (1919–1933)</w:t>
      </w:r>
      <w:r w:rsidRPr="008F5B4A">
        <w:t xml:space="preserve"> was forced to disband its military under the </w:t>
      </w:r>
      <w:r w:rsidRPr="008F5B4A">
        <w:rPr>
          <w:b/>
          <w:bCs/>
        </w:rPr>
        <w:t>Treaty of Versailles in 1919</w:t>
      </w:r>
      <w:r w:rsidRPr="008F5B4A">
        <w:t xml:space="preserve">. The intention was to prevent future war. Instead, it left Germany </w:t>
      </w:r>
      <w:r w:rsidRPr="008F5B4A">
        <w:lastRenderedPageBreak/>
        <w:t>weakened, humiliated, and vulnerable to radicalisation. Within fifteen years, the world faced a second, larger war—this time ignited from inside the state that had been told to disarm.</w:t>
      </w:r>
    </w:p>
    <w:p w14:paraId="7CDD3BB1" w14:textId="42449402" w:rsidR="00D51539" w:rsidRPr="00D51539" w:rsidRDefault="001904F8" w:rsidP="00D51539">
      <w:pPr>
        <w:pStyle w:val="BodyText"/>
      </w:pPr>
      <w:r w:rsidRPr="001904F8">
        <w:t xml:space="preserve">Today, we see echoes of these patterns in the Pacific. Many island nations chose non-alignment and minimal defence post-independence (mainly between </w:t>
      </w:r>
      <w:r w:rsidRPr="001904F8">
        <w:rPr>
          <w:b/>
          <w:bCs/>
        </w:rPr>
        <w:t>1960–1980</w:t>
      </w:r>
      <w:r w:rsidRPr="001904F8">
        <w:t xml:space="preserve">). They rely on aid and trade. But dependence has a price. Debts are called in. Security partnerships quietly shift local authority. In the </w:t>
      </w:r>
      <w:r w:rsidRPr="001904F8">
        <w:rPr>
          <w:b/>
          <w:bCs/>
        </w:rPr>
        <w:t>Solomon Islands</w:t>
      </w:r>
      <w:r w:rsidRPr="001904F8">
        <w:t xml:space="preserve">, new agreements signed since </w:t>
      </w:r>
      <w:r w:rsidRPr="001904F8">
        <w:rPr>
          <w:b/>
          <w:bCs/>
        </w:rPr>
        <w:t>2022</w:t>
      </w:r>
      <w:r w:rsidRPr="001904F8">
        <w:t xml:space="preserve"> have allowed foreign police and military access—without regional consensus. The language is still one of partnership, but the control is shifting.</w:t>
      </w:r>
      <w:r>
        <w:t xml:space="preserve"> The same is happening in the Cook Islands in 2025.</w:t>
      </w:r>
    </w:p>
    <w:p w14:paraId="4E47E41F" w14:textId="77777777" w:rsidR="00D51539" w:rsidRPr="00D51539" w:rsidRDefault="00D51539" w:rsidP="00D51539">
      <w:pPr>
        <w:pStyle w:val="BodyText"/>
      </w:pPr>
      <w:r w:rsidRPr="00D51539">
        <w:t>These stories vary in setting, language, and scale. But the lesson is constant. Peace without preparation is not peace. Cultures that do not protect their independence are often remembered only after they’ve lost it.</w:t>
      </w:r>
    </w:p>
    <w:p w14:paraId="6402893D" w14:textId="080993C2" w:rsidR="00DE4AD0" w:rsidRDefault="00DE4AD0" w:rsidP="00DE4AD0">
      <w:pPr>
        <w:pStyle w:val="BodyText"/>
      </w:pPr>
    </w:p>
    <w:p w14:paraId="3C9B87CF" w14:textId="77777777" w:rsidR="00D51539" w:rsidRPr="00DE4AD0" w:rsidRDefault="00D51539" w:rsidP="00DE4AD0">
      <w:pPr>
        <w:pStyle w:val="BodyText"/>
      </w:pPr>
    </w:p>
    <w:p w14:paraId="5057DCB3" w14:textId="77777777" w:rsidR="00DE4AD0" w:rsidRPr="00DE4AD0" w:rsidRDefault="00DE4AD0" w:rsidP="00DE4AD0">
      <w:pPr>
        <w:pStyle w:val="BodyText"/>
      </w:pPr>
      <w:r w:rsidRPr="00DE4AD0">
        <w:t>Cultures that survive are not always the most peaceful. They are the most prepared.</w:t>
      </w:r>
    </w:p>
    <w:p w14:paraId="24A8429B" w14:textId="77777777" w:rsidR="00DE4AD0" w:rsidRDefault="00DE4AD0" w:rsidP="00B73700">
      <w:pPr>
        <w:pStyle w:val="BodyText"/>
      </w:pPr>
    </w:p>
    <w:p w14:paraId="58B31B75" w14:textId="7032F1E7" w:rsidR="009370C6" w:rsidRPr="009370C6" w:rsidRDefault="009370C6" w:rsidP="00834B24">
      <w:pPr>
        <w:pStyle w:val="Heading2"/>
      </w:pPr>
      <w:r>
        <w:t>What happens when Cultures Hesitate</w:t>
      </w:r>
      <w:r w:rsidR="00834B24">
        <w:t xml:space="preserve"> to address the mistake</w:t>
      </w:r>
    </w:p>
    <w:p w14:paraId="6A3130AB" w14:textId="77777777" w:rsidR="009370C6" w:rsidRPr="009370C6" w:rsidRDefault="009370C6" w:rsidP="009370C6">
      <w:pPr>
        <w:pStyle w:val="BodyText"/>
      </w:pPr>
      <w:r w:rsidRPr="009370C6">
        <w:t>In 2014, Russia annexed Crimea. The move shocked the West, violated international agreements, and demonstrated that hard power had returned to European politics. Ukraine, at the time, had limited military strength. It had inherited Soviet-era capabilities, but years of underfunding, corruption, and internal political instability had left the armed forces hollow. Conscription was unpopular. Defence reform had been neglected. Most importantly, many in the political class believed that diplomatic engagement and Western alignment would be sufficient deterrent.</w:t>
      </w:r>
    </w:p>
    <w:p w14:paraId="7C24EFCD" w14:textId="77777777" w:rsidR="009370C6" w:rsidRPr="009370C6" w:rsidRDefault="009370C6" w:rsidP="009370C6">
      <w:pPr>
        <w:pStyle w:val="BodyText"/>
      </w:pPr>
      <w:r w:rsidRPr="009370C6">
        <w:t>From 2014 to 2022, Ukraine did begin to rebuild its forces. But the effort was slow, uneven, and incomplete. It faced resistance from within and hesitation from its allies. Russia, meanwhile, rearmed rapidly and reshaped its military doctrine around hybrid and asymmetric war.</w:t>
      </w:r>
    </w:p>
    <w:p w14:paraId="301089F4" w14:textId="77777777" w:rsidR="009370C6" w:rsidRPr="009370C6" w:rsidRDefault="009370C6" w:rsidP="009370C6">
      <w:pPr>
        <w:pStyle w:val="BodyText"/>
      </w:pPr>
      <w:r w:rsidRPr="009370C6">
        <w:t>When the full-scale invasion came in February 2022, Ukraine was far more prepared than it had been—but not fully. The price was immense: tens of thousands of lives, cities flattened, infrastructure destroyed. And although the country mounted a remarkable resistance, much of the suffering could have been reduced had the years between 2014 and 2022 been used for deeper strategic and civil preparation.</w:t>
      </w:r>
    </w:p>
    <w:p w14:paraId="0589207F" w14:textId="77777777" w:rsidR="009370C6" w:rsidRPr="009370C6" w:rsidRDefault="009370C6" w:rsidP="009370C6">
      <w:pPr>
        <w:pStyle w:val="BodyText"/>
      </w:pPr>
      <w:r w:rsidRPr="009370C6">
        <w:t xml:space="preserve">This is not a story of pacifism. It is a story of </w:t>
      </w:r>
      <w:r w:rsidRPr="009370C6">
        <w:rPr>
          <w:b/>
          <w:bCs/>
        </w:rPr>
        <w:t>delayed realism</w:t>
      </w:r>
      <w:r w:rsidRPr="009370C6">
        <w:t>. The belief that diplomacy and partial alignment could replace defence was not sustained by events. Ukraine paid dearly for every year that deterrence was treated as optional.</w:t>
      </w:r>
    </w:p>
    <w:p w14:paraId="160446AA" w14:textId="0FF8B532" w:rsidR="006250B6" w:rsidRDefault="006250B6" w:rsidP="00922CB1">
      <w:pPr>
        <w:pStyle w:val="Heading2"/>
      </w:pPr>
      <w:r>
        <w:lastRenderedPageBreak/>
        <w:t xml:space="preserve">What happens when </w:t>
      </w:r>
      <w:r w:rsidR="000C4516">
        <w:t>cultures</w:t>
      </w:r>
      <w:r>
        <w:t xml:space="preserve"> pivot in time?</w:t>
      </w:r>
    </w:p>
    <w:p w14:paraId="31469322" w14:textId="77777777" w:rsidR="000C4516" w:rsidRPr="000C4516" w:rsidRDefault="000C4516" w:rsidP="000C4516">
      <w:pPr>
        <w:pStyle w:val="BodyText"/>
      </w:pPr>
      <w:r w:rsidRPr="000C4516">
        <w:t>Not all cultures sleep through danger. Some wake just in time.</w:t>
      </w:r>
    </w:p>
    <w:p w14:paraId="7B874854" w14:textId="77777777" w:rsidR="000C4516" w:rsidRPr="000C4516" w:rsidRDefault="000C4516" w:rsidP="000C4516">
      <w:pPr>
        <w:pStyle w:val="BodyText"/>
      </w:pPr>
      <w:r w:rsidRPr="000C4516">
        <w:t>The story of disarmament is not always terminal. In rare cases, a nation sees the risk, reorients, and reclaims its sovereignty. These are not stories of triumph. They are stories of urgency. The pivot does not erase the damage—but it can stop the collapse.</w:t>
      </w:r>
    </w:p>
    <w:p w14:paraId="0FEEBB93" w14:textId="77777777" w:rsidR="000C4516" w:rsidRPr="000C4516" w:rsidRDefault="000C4516" w:rsidP="000C4516">
      <w:pPr>
        <w:pStyle w:val="BodyText"/>
      </w:pPr>
      <w:r w:rsidRPr="000C4516">
        <w:t>Ukraine’s first warning came in 2014, when Russia annexed Crimea. The country was underprepared. Its military was fractured and underfunded. It had trusted in treaties, diplomacy, and European alignment. It had not invested in readiness. The first invasion was fast, and Ukraine could not stop it. But the country did not collapse. It adapted. Over the next eight years, it rebuilt. Training improved. Command structures were reformed. Civil defence was revived. The pivot was not perfect, but it was real. When Russia launched a full-scale invasion in 2022, Ukraine was not fully ready—but it was no longer defenceless. What followed was brutal and incomplete, but sovereignty held. A state that had once disarmed itself stood up, and resisted.</w:t>
      </w:r>
    </w:p>
    <w:p w14:paraId="549EB005" w14:textId="77777777" w:rsidR="000C4516" w:rsidRPr="000C4516" w:rsidRDefault="000C4516" w:rsidP="000C4516">
      <w:pPr>
        <w:pStyle w:val="BodyText"/>
      </w:pPr>
      <w:r w:rsidRPr="000C4516">
        <w:t>Finland made its pivot earlier. In the Winter War of 1939, the Soviet Union invaded. Finland was outnumbered and outgunned. It lost land—but not identity. What followed was decades of strategic vigilance without provocation. Finland invested in universal defence, civil preparedness, and military credibility. It did not expect help. It prepared to stand alone. When Ukraine was invaded in 2022, Finland understood immediately. It did not hesitate. Within months, it joined NATO. But unlike others, it did not enter from a position of dependency. It entered as one of the most prepared nations in Europe.</w:t>
      </w:r>
    </w:p>
    <w:p w14:paraId="66D3A3CE" w14:textId="77777777" w:rsidR="000C4516" w:rsidRDefault="000C4516" w:rsidP="000C4516">
      <w:pPr>
        <w:pStyle w:val="BodyText"/>
      </w:pPr>
      <w:r w:rsidRPr="000C4516">
        <w:t>Georgia’s wake-up call came in 2008. Russia struck hard, fast, and successfully. Georgia was caught between reform and reality. It lost Abkhazia and South Ossetia. But it did not retreat into helplessness. In the years that followed, it overhauled its military, strengthened ties with the West, and began to harden its institutions. The threat remains, but Georgia is no longer paralysed.</w:t>
      </w:r>
    </w:p>
    <w:p w14:paraId="5843A026" w14:textId="77777777" w:rsidR="00396F11" w:rsidRPr="00396F11" w:rsidRDefault="00396F11" w:rsidP="00396F11">
      <w:pPr>
        <w:pStyle w:val="BodyText"/>
      </w:pPr>
      <w:r w:rsidRPr="00396F11">
        <w:t xml:space="preserve">In all of these cases, delay came at a cost—of land, lives, and leverage. But each culture pivoted just in time to avoid disappearance. That is the first lesson: </w:t>
      </w:r>
      <w:r w:rsidRPr="00396F11">
        <w:rPr>
          <w:b/>
          <w:bCs/>
        </w:rPr>
        <w:t>delay always extracts a price</w:t>
      </w:r>
      <w:r w:rsidRPr="00396F11">
        <w:t>. What is not invested in preparedness will be paid in crisis, often in forms far more costly than money—memory, autonomy, dignity.</w:t>
      </w:r>
    </w:p>
    <w:p w14:paraId="3563C32C" w14:textId="77777777" w:rsidR="00396F11" w:rsidRPr="00396F11" w:rsidRDefault="00396F11" w:rsidP="00396F11">
      <w:pPr>
        <w:pStyle w:val="BodyText"/>
      </w:pPr>
      <w:r w:rsidRPr="00396F11">
        <w:t xml:space="preserve">The second lesson is deeper. </w:t>
      </w:r>
      <w:r w:rsidRPr="00396F11">
        <w:rPr>
          <w:b/>
          <w:bCs/>
        </w:rPr>
        <w:t>Readiness is not born in barracks. It is seeded in classrooms, in homes, and in how a culture raises its young to imagine responsibility.</w:t>
      </w:r>
      <w:r w:rsidRPr="00396F11">
        <w:t xml:space="preserve"> The pivot is not only military. It is political, civic, and educational. It begins when a people understand that survival—cultural, economic, strategic—is not a job outsourced to specialists. It is the shared consequence of what a society teaches, rehearses, and expects of itself.</w:t>
      </w:r>
    </w:p>
    <w:p w14:paraId="4F434201" w14:textId="77777777" w:rsidR="00396F11" w:rsidRPr="00396F11" w:rsidRDefault="00396F11" w:rsidP="00396F11">
      <w:pPr>
        <w:pStyle w:val="BodyText"/>
      </w:pPr>
      <w:r w:rsidRPr="00396F11">
        <w:t xml:space="preserve">Education builds the raw material that politics must draw upon in crisis. It shapes courage—not for war, but for civil life, for principled work, for resetting economies, for facing failure, and starting again. Armed forces can refine this courage into martial </w:t>
      </w:r>
      <w:r w:rsidRPr="00396F11">
        <w:lastRenderedPageBreak/>
        <w:t xml:space="preserve">competence—but they do not invent it. </w:t>
      </w:r>
      <w:r w:rsidRPr="00396F11">
        <w:rPr>
          <w:b/>
          <w:bCs/>
        </w:rPr>
        <w:t>A culture that waits for the military to build its backbone has already ceded the task of shaping its character.</w:t>
      </w:r>
    </w:p>
    <w:p w14:paraId="62480417" w14:textId="77777777" w:rsidR="00396F11" w:rsidRPr="00396F11" w:rsidRDefault="00396F11" w:rsidP="00396F11">
      <w:pPr>
        <w:pStyle w:val="BodyText"/>
      </w:pPr>
      <w:r w:rsidRPr="00396F11">
        <w:t>These were not prepared cultures. But they became prepared—not through weapons alone, but through a reawakening of purpose.</w:t>
      </w:r>
    </w:p>
    <w:p w14:paraId="7FD1DD7D" w14:textId="77777777" w:rsidR="00396F11" w:rsidRPr="00396F11" w:rsidRDefault="00396F11" w:rsidP="00396F11">
      <w:pPr>
        <w:pStyle w:val="BodyText"/>
      </w:pPr>
      <w:r w:rsidRPr="00396F11">
        <w:t xml:space="preserve">The longer a culture waits, the fewer its choices. Delay shrinks sovereignty. Hesitation becomes weakness. And one day, it is not the culture that decides to act—it is the threat that decides whether it gets to </w:t>
      </w:r>
      <w:proofErr w:type="spellStart"/>
      <w:r w:rsidRPr="00396F11">
        <w:t>surviv</w:t>
      </w:r>
      <w:proofErr w:type="spellEnd"/>
    </w:p>
    <w:p w14:paraId="10CCBC87" w14:textId="77777777" w:rsidR="007172C1" w:rsidRPr="000C4516" w:rsidRDefault="007172C1" w:rsidP="000C4516">
      <w:pPr>
        <w:pStyle w:val="BodyText"/>
      </w:pPr>
    </w:p>
    <w:p w14:paraId="4067AE5E" w14:textId="4A60379C" w:rsidR="0002261C" w:rsidRDefault="0002261C" w:rsidP="001A532D">
      <w:pPr>
        <w:pStyle w:val="Heading2"/>
      </w:pPr>
      <w:r>
        <w:t>What happens when they stay prepared</w:t>
      </w:r>
    </w:p>
    <w:p w14:paraId="0C43A2CC" w14:textId="77777777" w:rsidR="00235897" w:rsidRPr="00235897" w:rsidRDefault="00235897" w:rsidP="00235897">
      <w:pPr>
        <w:pStyle w:val="BodyText"/>
      </w:pPr>
      <w:r w:rsidRPr="00235897">
        <w:t>Some cultures do not wait to be tested. They prepare not out of fear, but because they understand that survival—of values, identity, language, memory—is a matter of continuity, not improvisation.</w:t>
      </w:r>
    </w:p>
    <w:p w14:paraId="19C9109A" w14:textId="77777777" w:rsidR="00235897" w:rsidRPr="00235897" w:rsidRDefault="00235897" w:rsidP="00235897">
      <w:pPr>
        <w:pStyle w:val="BodyText"/>
      </w:pPr>
      <w:r w:rsidRPr="00235897">
        <w:t>Sweden has not waged an offensive war since 1814. For more than two centuries, it has avoided entanglement while maintaining one of the most advanced defence industries in the world. It participates in UN peacekeeping missions. It fields a technologically sophisticated air force. It designs and exports cutting-edge military systems. And it does so without ever posturing as a threat. Its neutrality was never naive—it was strategic. And when neutrality no longer met the moment, it changed course. In 2024, Sweden formally joined NATO, not because it was unprepared, but because it was already ready to act in concert with others.</w:t>
      </w:r>
    </w:p>
    <w:p w14:paraId="518EA907" w14:textId="77777777" w:rsidR="00235897" w:rsidRPr="00235897" w:rsidRDefault="00235897" w:rsidP="00235897">
      <w:pPr>
        <w:pStyle w:val="BodyText"/>
      </w:pPr>
      <w:r w:rsidRPr="00235897">
        <w:t xml:space="preserve">This readiness did not appear out of policy alone. It came from a cultural foundation. Sweden’s educational system cultivates civic awareness, national cohesion, and a sober understanding of regional risk. Its cultural narratives include care and cooperation—but also resilience. Its mythology is not only pastoral. It is populated by figures like Thor—strong, shrewd, unyielding. </w:t>
      </w:r>
      <w:r w:rsidRPr="00235897">
        <w:rPr>
          <w:b/>
          <w:bCs/>
        </w:rPr>
        <w:t>It is a culture that does not mistake peace for passivity.</w:t>
      </w:r>
    </w:p>
    <w:p w14:paraId="68F75D83" w14:textId="77777777" w:rsidR="00235897" w:rsidRPr="00235897" w:rsidRDefault="00235897" w:rsidP="00235897">
      <w:pPr>
        <w:pStyle w:val="BodyText"/>
      </w:pPr>
      <w:r w:rsidRPr="00235897">
        <w:t xml:space="preserve">Switzerland offers a different model, but the same principle. It is globally synonymous with neutrality, safety, and order. But its defence strategy has always been one of </w:t>
      </w:r>
      <w:r w:rsidRPr="00235897">
        <w:rPr>
          <w:i/>
          <w:iCs/>
        </w:rPr>
        <w:t>armed neutrality</w:t>
      </w:r>
      <w:r w:rsidRPr="00235897">
        <w:t xml:space="preserve">, not passive detachment. During the Cold War, every Swiss household received a civil defence manual detailing instructions in the event of invasion or occupation. Its core message: </w:t>
      </w:r>
      <w:r w:rsidRPr="00235897">
        <w:rPr>
          <w:i/>
          <w:iCs/>
        </w:rPr>
        <w:t>If you hear the country has surrendered, disregard the message. It is false. Continue the resistance by all means available.</w:t>
      </w:r>
      <w:r w:rsidRPr="00235897">
        <w:t xml:space="preserve"> That sentence reveals everything. </w:t>
      </w:r>
      <w:r w:rsidRPr="00235897">
        <w:rPr>
          <w:b/>
          <w:bCs/>
        </w:rPr>
        <w:t>Neutrality was not a shield—it was a stance, backed by cultural conviction and civic infrastructure.</w:t>
      </w:r>
    </w:p>
    <w:p w14:paraId="74CB60F9" w14:textId="77777777" w:rsidR="00235897" w:rsidRPr="00235897" w:rsidRDefault="00235897" w:rsidP="00235897">
      <w:pPr>
        <w:pStyle w:val="BodyText"/>
      </w:pPr>
      <w:r w:rsidRPr="00235897">
        <w:t>Switzerland’s education system has long tied national identity to personal responsibility. Military service is universal. Bunkers are commonplace. The cultural imagination includes the idea that every citizen is also a guardian. Readiness is normalised—not glorified, not exceptional, but embedded in what it means to participate in a free society.</w:t>
      </w:r>
    </w:p>
    <w:p w14:paraId="3954305C" w14:textId="77777777" w:rsidR="00235897" w:rsidRPr="00235897" w:rsidRDefault="00235897" w:rsidP="00235897">
      <w:pPr>
        <w:pStyle w:val="BodyText"/>
      </w:pPr>
      <w:r w:rsidRPr="00235897">
        <w:lastRenderedPageBreak/>
        <w:t>Even so, these cultures are not immune to drift. Among younger generations, civic duty had been waning—reframed as ethical consumption or digital advocacy. Military service and civil defence were increasingly seen as outdated or exclusionary. Recruitment was declining. Political debates softened the urgency of readiness. But Russia’s invasion of Ukraine reawakened strategic clarity. What had once felt abstract became real again. The assumptions of peace were no longer safe. And in the face of proximity, civic imagination began to recalibrate.</w:t>
      </w:r>
    </w:p>
    <w:p w14:paraId="6DD015A8" w14:textId="7CA86D75" w:rsidR="00235897" w:rsidRPr="00235897" w:rsidRDefault="00235897" w:rsidP="00235897">
      <w:pPr>
        <w:pStyle w:val="BodyText"/>
      </w:pPr>
      <w:r w:rsidRPr="00235897">
        <w:t xml:space="preserve">In countries like the United States and New Zealand, that distance is even greater. War is no longer remembered. It is consumed as </w:t>
      </w:r>
      <w:r w:rsidR="00F30A5D">
        <w:t xml:space="preserve">background </w:t>
      </w:r>
      <w:r w:rsidRPr="00235897">
        <w:t xml:space="preserve">media. The invasion of Ukraine is viewed with sympathy, but </w:t>
      </w:r>
      <w:r w:rsidR="00F30A5D">
        <w:t>neither</w:t>
      </w:r>
      <w:r w:rsidRPr="00235897">
        <w:t xml:space="preserve"> immediacy or correlation. It is not taught </w:t>
      </w:r>
      <w:r w:rsidR="00F30A5D">
        <w:t xml:space="preserve">or discussed </w:t>
      </w:r>
      <w:r w:rsidRPr="00235897">
        <w:t xml:space="preserve">as a civic warning. It does not reshape </w:t>
      </w:r>
      <w:r w:rsidR="003B7AF0">
        <w:t xml:space="preserve">internal politics or </w:t>
      </w:r>
      <w:r w:rsidRPr="00235897">
        <w:t>curricula. It does not drive preparedness. And so it leaves no mark</w:t>
      </w:r>
      <w:r w:rsidR="003B7AF0">
        <w:t xml:space="preserve"> </w:t>
      </w:r>
      <w:r w:rsidRPr="00235897">
        <w:t xml:space="preserve">beyond </w:t>
      </w:r>
      <w:r w:rsidR="003B7AF0">
        <w:t xml:space="preserve">one or two </w:t>
      </w:r>
      <w:r w:rsidRPr="00235897">
        <w:t>political cycle</w:t>
      </w:r>
      <w:r w:rsidR="003B7AF0">
        <w:t>s</w:t>
      </w:r>
      <w:r w:rsidRPr="00235897">
        <w:t>.</w:t>
      </w:r>
    </w:p>
    <w:p w14:paraId="62DBBEDF" w14:textId="3D0C5CC0" w:rsidR="00235897" w:rsidRDefault="00235897" w:rsidP="00235897">
      <w:pPr>
        <w:pStyle w:val="BodyText"/>
      </w:pPr>
      <w:r w:rsidRPr="00235897">
        <w:t>This is where the gap widens—not just between militaries, but between cultures. Some raise citizens who expect others to protect them. Others raise citizens who prepare to protect each other. The difference is not hardware</w:t>
      </w:r>
      <w:r w:rsidR="00C316E3">
        <w:t>, or software</w:t>
      </w:r>
      <w:r w:rsidRPr="00235897">
        <w:t>. It is education. It is what a culture teaches itself about who “we” are, what is worth keeping, and what it will take to keep it.</w:t>
      </w:r>
    </w:p>
    <w:p w14:paraId="57EFC360" w14:textId="77777777" w:rsidR="00C316E3" w:rsidRDefault="00C316E3" w:rsidP="00235897">
      <w:pPr>
        <w:pStyle w:val="BodyText"/>
      </w:pPr>
    </w:p>
    <w:p w14:paraId="09183192" w14:textId="57F9BB19" w:rsidR="00C316E3" w:rsidRDefault="00C316E3" w:rsidP="00235897">
      <w:pPr>
        <w:pStyle w:val="BodyText"/>
      </w:pPr>
      <w:r>
        <w:t>Curricula and Civics</w:t>
      </w:r>
    </w:p>
    <w:p w14:paraId="606594D4" w14:textId="77777777" w:rsidR="00C316E3" w:rsidRPr="00235897" w:rsidRDefault="00C316E3" w:rsidP="00235897">
      <w:pPr>
        <w:pStyle w:val="BodyText"/>
      </w:pPr>
    </w:p>
    <w:p w14:paraId="671A664F" w14:textId="5CD48A60" w:rsidR="00DA4DCB" w:rsidRPr="00DA4DCB" w:rsidRDefault="00DA4DCB" w:rsidP="00DA4DCB">
      <w:pPr>
        <w:pStyle w:val="BodyText"/>
      </w:pPr>
    </w:p>
    <w:p w14:paraId="24C2D938" w14:textId="77777777" w:rsidR="00DA4DCB" w:rsidRPr="00CC3796" w:rsidRDefault="00DA4DCB" w:rsidP="00CC3796">
      <w:pPr>
        <w:pStyle w:val="BodyText"/>
      </w:pPr>
    </w:p>
    <w:p w14:paraId="21A7206A" w14:textId="23DBF0CF" w:rsidR="00A35493" w:rsidRDefault="00A35493" w:rsidP="007942F2">
      <w:pPr>
        <w:pStyle w:val="Heading2"/>
      </w:pPr>
      <w:r>
        <w:br w:type="page"/>
      </w:r>
    </w:p>
    <w:p w14:paraId="0CEDF4A5" w14:textId="77777777" w:rsidR="005255FC" w:rsidRDefault="005255FC" w:rsidP="005255FC">
      <w:pPr>
        <w:pStyle w:val="Appendices"/>
      </w:pPr>
      <w:bookmarkStart w:id="6" w:name="Location_Appendices"/>
      <w:bookmarkStart w:id="7" w:name="_Toc145049430"/>
      <w:bookmarkStart w:id="8" w:name="_Toc195791714"/>
      <w:bookmarkEnd w:id="6"/>
      <w:r>
        <w:lastRenderedPageBreak/>
        <w:t>Appendices</w:t>
      </w:r>
      <w:bookmarkEnd w:id="7"/>
      <w:bookmarkEnd w:id="8"/>
    </w:p>
    <w:p w14:paraId="2F89881E" w14:textId="1FCDE4B2" w:rsidR="000D0A25" w:rsidRDefault="005255FC" w:rsidP="005C7C13">
      <w:pPr>
        <w:pStyle w:val="Appendix"/>
      </w:pPr>
      <w:bookmarkStart w:id="9" w:name="_Toc145049431"/>
      <w:bookmarkStart w:id="10" w:name="_Toc195791715"/>
      <w:r w:rsidRPr="005C7C13">
        <w:t xml:space="preserve">Appendix A - </w:t>
      </w:r>
      <w:r w:rsidR="008C39DC" w:rsidRPr="005C7C13">
        <w:t>Document</w:t>
      </w:r>
      <w:r w:rsidR="00DA59D0" w:rsidRPr="005C7C13">
        <w:t xml:space="preserve"> Information</w:t>
      </w:r>
      <w:bookmarkEnd w:id="9"/>
      <w:bookmarkEnd w:id="10"/>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1" w:name="_Toc195791716"/>
      <w:r>
        <w:t>Versions</w:t>
      </w:r>
      <w:bookmarkEnd w:id="11"/>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2" w:name="_Toc195791717"/>
      <w:r>
        <w:t>Images</w:t>
      </w:r>
      <w:bookmarkEnd w:id="12"/>
    </w:p>
    <w:p w14:paraId="6E3424D0" w14:textId="3376058E"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fldChar w:fldCharType="separate"/>
        </w:r>
        <w:r w:rsidR="007172C1">
          <w:rPr>
            <w:b/>
            <w:bCs/>
            <w:noProof/>
            <w:webHidden/>
            <w:lang w:val="en-US"/>
          </w:rPr>
          <w:t>Error! Bookmark not defined.</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3" w:name="_Toc195791718"/>
      <w:r w:rsidRPr="001E2299">
        <w:t>Tables</w:t>
      </w:r>
      <w:bookmarkEnd w:id="13"/>
    </w:p>
    <w:p w14:paraId="71191E87" w14:textId="1E9551DC"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fldChar w:fldCharType="separate"/>
        </w:r>
        <w:r w:rsidR="007172C1">
          <w:rPr>
            <w:b/>
            <w:bCs/>
            <w:noProof/>
            <w:webHidden/>
            <w:lang w:val="en-US"/>
          </w:rPr>
          <w:t>Error! Bookmark not defined.</w:t>
        </w:r>
        <w:r w:rsidR="00660C49">
          <w:rPr>
            <w:noProof/>
            <w:webHidden/>
          </w:rPr>
          <w:fldChar w:fldCharType="end"/>
        </w:r>
      </w:hyperlink>
    </w:p>
    <w:p w14:paraId="6BB50E36" w14:textId="09423BF4"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fldChar w:fldCharType="separate"/>
        </w:r>
        <w:r w:rsidR="007172C1">
          <w:rPr>
            <w:b/>
            <w:bCs/>
            <w:noProof/>
            <w:webHidden/>
            <w:lang w:val="en-US"/>
          </w:rPr>
          <w:t>Error! Bookmark not defined.</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4" w:name="_Toc195791719"/>
      <w:r>
        <w:t>References</w:t>
      </w:r>
      <w:bookmarkEnd w:id="1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5" w:name="_Toc195791720"/>
      <w:r>
        <w:t>Review Distribution</w:t>
      </w:r>
      <w:bookmarkEnd w:id="1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7" w:name="_Toc195791721"/>
      <w:bookmarkEnd w:id="16"/>
      <w:r>
        <w:t>Audience</w:t>
      </w:r>
      <w:bookmarkEnd w:id="1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8" w:name="_Toc195791722"/>
      <w:r>
        <w:t>Structure</w:t>
      </w:r>
      <w:bookmarkEnd w:id="1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9" w:name="_Toc195791723"/>
      <w:r>
        <w:lastRenderedPageBreak/>
        <w:t>Diagrams</w:t>
      </w:r>
      <w:bookmarkEnd w:id="19"/>
    </w:p>
    <w:p w14:paraId="65008B06" w14:textId="1507D50E" w:rsidR="00660C49" w:rsidRDefault="00660C49" w:rsidP="008C39DC">
      <w:pPr>
        <w:pStyle w:val="BodyText"/>
      </w:pPr>
      <w:bookmarkStart w:id="2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1" w:name="_Toc195791724"/>
      <w:bookmarkStart w:id="22" w:name="_Hlk174689663"/>
      <w:bookmarkEnd w:id="20"/>
      <w:r>
        <w:t>Acronyms</w:t>
      </w:r>
      <w:bookmarkEnd w:id="21"/>
    </w:p>
    <w:p w14:paraId="3FF05247" w14:textId="77777777" w:rsidR="00A8163B" w:rsidRPr="00A8163B" w:rsidRDefault="00A8163B" w:rsidP="006D133E">
      <w:pPr>
        <w:pStyle w:val="Term-Def"/>
        <w:rPr>
          <w:vanish/>
          <w:specVanish/>
        </w:rPr>
      </w:pPr>
      <w:bookmarkStart w:id="23" w:name="Acronym_API"/>
      <w:bookmarkEnd w:id="23"/>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4" w:name="Acronym_GUI"/>
      <w:bookmarkEnd w:id="24"/>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5" w:name="Acronym_UI"/>
      <w:bookmarkStart w:id="26" w:name="Acronym_ICT"/>
      <w:bookmarkEnd w:id="25"/>
      <w:bookmarkEnd w:id="26"/>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7" w:name="Acronym_IT"/>
      <w:bookmarkEnd w:id="27"/>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8" w:name="_Toc195791725"/>
      <w:r>
        <w:t>Terms</w:t>
      </w:r>
      <w:bookmarkEnd w:id="28"/>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9" w:name="Term_ApplicationProgrammingInterface"/>
      <w:bookmarkEnd w:id="29"/>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0" w:name="Term_User"/>
      <w:bookmarkEnd w:id="30"/>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1" w:name="Term_UserInterface"/>
      <w:bookmarkEnd w:id="31"/>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2"/>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654D" w14:textId="77777777" w:rsidR="004B3961" w:rsidRDefault="004B3961" w:rsidP="0021141C">
      <w:pPr>
        <w:spacing w:before="0" w:after="0" w:line="240" w:lineRule="auto"/>
      </w:pPr>
      <w:r>
        <w:separator/>
      </w:r>
    </w:p>
    <w:p w14:paraId="0A8BEFCD" w14:textId="77777777" w:rsidR="004B3961" w:rsidRDefault="004B3961"/>
  </w:endnote>
  <w:endnote w:type="continuationSeparator" w:id="0">
    <w:p w14:paraId="56375A59" w14:textId="77777777" w:rsidR="004B3961" w:rsidRDefault="004B3961" w:rsidP="0021141C">
      <w:pPr>
        <w:spacing w:before="0" w:after="0" w:line="240" w:lineRule="auto"/>
      </w:pPr>
      <w:r>
        <w:continuationSeparator/>
      </w:r>
    </w:p>
    <w:p w14:paraId="2491DDC1" w14:textId="77777777" w:rsidR="004B3961" w:rsidRDefault="004B3961"/>
  </w:endnote>
  <w:endnote w:type="continuationNotice" w:id="1">
    <w:p w14:paraId="70F335DE" w14:textId="77777777" w:rsidR="004B3961" w:rsidRDefault="004B3961">
      <w:pPr>
        <w:spacing w:before="0" w:after="0" w:line="240" w:lineRule="auto"/>
      </w:pPr>
    </w:p>
    <w:p w14:paraId="3D668A7F" w14:textId="77777777" w:rsidR="004B3961" w:rsidRDefault="004B3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B951B" w14:textId="77777777" w:rsidR="004B3961" w:rsidRDefault="004B3961" w:rsidP="0021141C">
      <w:pPr>
        <w:spacing w:before="0" w:after="0" w:line="240" w:lineRule="auto"/>
      </w:pPr>
      <w:r>
        <w:separator/>
      </w:r>
    </w:p>
    <w:p w14:paraId="7D942B0F" w14:textId="77777777" w:rsidR="004B3961" w:rsidRDefault="004B3961"/>
  </w:footnote>
  <w:footnote w:type="continuationSeparator" w:id="0">
    <w:p w14:paraId="45803A05" w14:textId="77777777" w:rsidR="004B3961" w:rsidRDefault="004B3961" w:rsidP="0021141C">
      <w:pPr>
        <w:spacing w:before="0" w:after="0" w:line="240" w:lineRule="auto"/>
      </w:pPr>
      <w:r>
        <w:continuationSeparator/>
      </w:r>
    </w:p>
    <w:p w14:paraId="633E9925" w14:textId="77777777" w:rsidR="004B3961" w:rsidRDefault="004B3961"/>
  </w:footnote>
  <w:footnote w:type="continuationNotice" w:id="1">
    <w:p w14:paraId="7B2C30C8" w14:textId="77777777" w:rsidR="004B3961" w:rsidRDefault="004B3961">
      <w:pPr>
        <w:spacing w:before="0" w:after="0" w:line="240" w:lineRule="auto"/>
      </w:pPr>
    </w:p>
    <w:p w14:paraId="695873F2" w14:textId="77777777" w:rsidR="004B3961" w:rsidRDefault="004B39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0C86"/>
    <w:rsid w:val="00011775"/>
    <w:rsid w:val="0002261C"/>
    <w:rsid w:val="00026DC8"/>
    <w:rsid w:val="00036876"/>
    <w:rsid w:val="00040969"/>
    <w:rsid w:val="00043FCE"/>
    <w:rsid w:val="00054E18"/>
    <w:rsid w:val="000708F4"/>
    <w:rsid w:val="00087BBD"/>
    <w:rsid w:val="00092DFD"/>
    <w:rsid w:val="00095D25"/>
    <w:rsid w:val="000A45C9"/>
    <w:rsid w:val="000B104B"/>
    <w:rsid w:val="000C4516"/>
    <w:rsid w:val="000C59D1"/>
    <w:rsid w:val="000D0A25"/>
    <w:rsid w:val="000F10AE"/>
    <w:rsid w:val="001036D1"/>
    <w:rsid w:val="00106AA0"/>
    <w:rsid w:val="0011016B"/>
    <w:rsid w:val="00111BB0"/>
    <w:rsid w:val="00114111"/>
    <w:rsid w:val="00114E86"/>
    <w:rsid w:val="00117A5F"/>
    <w:rsid w:val="00120B89"/>
    <w:rsid w:val="00126099"/>
    <w:rsid w:val="0012615C"/>
    <w:rsid w:val="001401F7"/>
    <w:rsid w:val="00184008"/>
    <w:rsid w:val="001904F8"/>
    <w:rsid w:val="001927A5"/>
    <w:rsid w:val="001A17B6"/>
    <w:rsid w:val="001A233C"/>
    <w:rsid w:val="001A532D"/>
    <w:rsid w:val="001A5907"/>
    <w:rsid w:val="001B51F2"/>
    <w:rsid w:val="001B6D67"/>
    <w:rsid w:val="001E1230"/>
    <w:rsid w:val="001E1564"/>
    <w:rsid w:val="001E2299"/>
    <w:rsid w:val="001F205F"/>
    <w:rsid w:val="001F35A9"/>
    <w:rsid w:val="001F5EF1"/>
    <w:rsid w:val="001F62DD"/>
    <w:rsid w:val="00201C1F"/>
    <w:rsid w:val="002031CE"/>
    <w:rsid w:val="0021141C"/>
    <w:rsid w:val="00213DAA"/>
    <w:rsid w:val="0021547D"/>
    <w:rsid w:val="00223763"/>
    <w:rsid w:val="00223BDF"/>
    <w:rsid w:val="00233BDC"/>
    <w:rsid w:val="00235897"/>
    <w:rsid w:val="0024225D"/>
    <w:rsid w:val="00242D7F"/>
    <w:rsid w:val="00245E6E"/>
    <w:rsid w:val="00252D75"/>
    <w:rsid w:val="0029311E"/>
    <w:rsid w:val="002A26D7"/>
    <w:rsid w:val="002A2F90"/>
    <w:rsid w:val="002A52D1"/>
    <w:rsid w:val="002B1109"/>
    <w:rsid w:val="002B7AFC"/>
    <w:rsid w:val="002C004F"/>
    <w:rsid w:val="002D1584"/>
    <w:rsid w:val="002D18E9"/>
    <w:rsid w:val="002D1D53"/>
    <w:rsid w:val="002E5B94"/>
    <w:rsid w:val="002F05E6"/>
    <w:rsid w:val="00305836"/>
    <w:rsid w:val="0031118F"/>
    <w:rsid w:val="00314F3D"/>
    <w:rsid w:val="00320F6D"/>
    <w:rsid w:val="00331BC9"/>
    <w:rsid w:val="0034163E"/>
    <w:rsid w:val="00356787"/>
    <w:rsid w:val="003724F9"/>
    <w:rsid w:val="003767EB"/>
    <w:rsid w:val="003900D6"/>
    <w:rsid w:val="00394E50"/>
    <w:rsid w:val="00396F11"/>
    <w:rsid w:val="003A34DC"/>
    <w:rsid w:val="003A4FD7"/>
    <w:rsid w:val="003A6FAF"/>
    <w:rsid w:val="003B5D52"/>
    <w:rsid w:val="003B7AF0"/>
    <w:rsid w:val="003C3370"/>
    <w:rsid w:val="003D736B"/>
    <w:rsid w:val="003E7358"/>
    <w:rsid w:val="003F5014"/>
    <w:rsid w:val="00400A3B"/>
    <w:rsid w:val="004028EC"/>
    <w:rsid w:val="00406BE4"/>
    <w:rsid w:val="00406FE9"/>
    <w:rsid w:val="00423249"/>
    <w:rsid w:val="00441793"/>
    <w:rsid w:val="00450AD9"/>
    <w:rsid w:val="0045306F"/>
    <w:rsid w:val="004552B2"/>
    <w:rsid w:val="00457123"/>
    <w:rsid w:val="00463A83"/>
    <w:rsid w:val="00486B4D"/>
    <w:rsid w:val="00491255"/>
    <w:rsid w:val="00491649"/>
    <w:rsid w:val="00494C5F"/>
    <w:rsid w:val="004B03AD"/>
    <w:rsid w:val="004B3961"/>
    <w:rsid w:val="004D1F0C"/>
    <w:rsid w:val="004D5390"/>
    <w:rsid w:val="004F57BF"/>
    <w:rsid w:val="005007B1"/>
    <w:rsid w:val="0050196C"/>
    <w:rsid w:val="005255FC"/>
    <w:rsid w:val="00535022"/>
    <w:rsid w:val="005432E3"/>
    <w:rsid w:val="0055347C"/>
    <w:rsid w:val="0055584B"/>
    <w:rsid w:val="005571FD"/>
    <w:rsid w:val="005604D5"/>
    <w:rsid w:val="00560A3D"/>
    <w:rsid w:val="00563AF9"/>
    <w:rsid w:val="005747E7"/>
    <w:rsid w:val="00594C1D"/>
    <w:rsid w:val="005A54A0"/>
    <w:rsid w:val="005B19C4"/>
    <w:rsid w:val="005B68D7"/>
    <w:rsid w:val="005C7C13"/>
    <w:rsid w:val="005F0A38"/>
    <w:rsid w:val="005F0DC4"/>
    <w:rsid w:val="005F792B"/>
    <w:rsid w:val="00612935"/>
    <w:rsid w:val="006143DD"/>
    <w:rsid w:val="006250B6"/>
    <w:rsid w:val="00637D43"/>
    <w:rsid w:val="00650EDA"/>
    <w:rsid w:val="00660C49"/>
    <w:rsid w:val="006646CD"/>
    <w:rsid w:val="00667021"/>
    <w:rsid w:val="00674A30"/>
    <w:rsid w:val="00675068"/>
    <w:rsid w:val="00680D1C"/>
    <w:rsid w:val="0069602E"/>
    <w:rsid w:val="00697ECB"/>
    <w:rsid w:val="006A2843"/>
    <w:rsid w:val="006B57B7"/>
    <w:rsid w:val="006C4C9A"/>
    <w:rsid w:val="006D133E"/>
    <w:rsid w:val="006D5B4C"/>
    <w:rsid w:val="006E0BDE"/>
    <w:rsid w:val="006E72A9"/>
    <w:rsid w:val="00702ADE"/>
    <w:rsid w:val="0071118C"/>
    <w:rsid w:val="007172C1"/>
    <w:rsid w:val="007409DD"/>
    <w:rsid w:val="007414F0"/>
    <w:rsid w:val="00753774"/>
    <w:rsid w:val="0077333E"/>
    <w:rsid w:val="00777D1C"/>
    <w:rsid w:val="00784B4F"/>
    <w:rsid w:val="00784C1E"/>
    <w:rsid w:val="007942F2"/>
    <w:rsid w:val="007D13C5"/>
    <w:rsid w:val="007D6C8D"/>
    <w:rsid w:val="007D7BF7"/>
    <w:rsid w:val="007E0184"/>
    <w:rsid w:val="007E3EA2"/>
    <w:rsid w:val="007E7720"/>
    <w:rsid w:val="00801400"/>
    <w:rsid w:val="00802374"/>
    <w:rsid w:val="008059D9"/>
    <w:rsid w:val="008060A9"/>
    <w:rsid w:val="00813161"/>
    <w:rsid w:val="008173B1"/>
    <w:rsid w:val="00821494"/>
    <w:rsid w:val="00821FB8"/>
    <w:rsid w:val="00834B24"/>
    <w:rsid w:val="00835B57"/>
    <w:rsid w:val="00840295"/>
    <w:rsid w:val="00855420"/>
    <w:rsid w:val="00873F86"/>
    <w:rsid w:val="00882316"/>
    <w:rsid w:val="00887DCB"/>
    <w:rsid w:val="008948E7"/>
    <w:rsid w:val="0089670E"/>
    <w:rsid w:val="008C39DC"/>
    <w:rsid w:val="008C79C0"/>
    <w:rsid w:val="008C7EE4"/>
    <w:rsid w:val="008D7010"/>
    <w:rsid w:val="008E13CD"/>
    <w:rsid w:val="008E37F5"/>
    <w:rsid w:val="008F1CA3"/>
    <w:rsid w:val="008F449A"/>
    <w:rsid w:val="008F5B4A"/>
    <w:rsid w:val="009116EA"/>
    <w:rsid w:val="00914742"/>
    <w:rsid w:val="00914BC6"/>
    <w:rsid w:val="00914C7A"/>
    <w:rsid w:val="00920F07"/>
    <w:rsid w:val="00921365"/>
    <w:rsid w:val="00921A51"/>
    <w:rsid w:val="00922CB1"/>
    <w:rsid w:val="009370C6"/>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3C56"/>
    <w:rsid w:val="00A452E3"/>
    <w:rsid w:val="00A50624"/>
    <w:rsid w:val="00A518F7"/>
    <w:rsid w:val="00A666E1"/>
    <w:rsid w:val="00A66ADD"/>
    <w:rsid w:val="00A8163B"/>
    <w:rsid w:val="00A85DA6"/>
    <w:rsid w:val="00A940C5"/>
    <w:rsid w:val="00A9559B"/>
    <w:rsid w:val="00A978EF"/>
    <w:rsid w:val="00AB0C6F"/>
    <w:rsid w:val="00AB1636"/>
    <w:rsid w:val="00AB4350"/>
    <w:rsid w:val="00AB53DB"/>
    <w:rsid w:val="00AB55CB"/>
    <w:rsid w:val="00AB7E1E"/>
    <w:rsid w:val="00AC1216"/>
    <w:rsid w:val="00AD0A7D"/>
    <w:rsid w:val="00AD66BD"/>
    <w:rsid w:val="00AD7362"/>
    <w:rsid w:val="00AE2E49"/>
    <w:rsid w:val="00AE6B61"/>
    <w:rsid w:val="00B02745"/>
    <w:rsid w:val="00B23838"/>
    <w:rsid w:val="00B250AB"/>
    <w:rsid w:val="00B367A2"/>
    <w:rsid w:val="00B46438"/>
    <w:rsid w:val="00B6302C"/>
    <w:rsid w:val="00B73700"/>
    <w:rsid w:val="00B815E4"/>
    <w:rsid w:val="00B847C1"/>
    <w:rsid w:val="00B9271A"/>
    <w:rsid w:val="00B96D78"/>
    <w:rsid w:val="00BA5D9F"/>
    <w:rsid w:val="00BA65BB"/>
    <w:rsid w:val="00BB0D70"/>
    <w:rsid w:val="00BB4E57"/>
    <w:rsid w:val="00BB5247"/>
    <w:rsid w:val="00BC480D"/>
    <w:rsid w:val="00BD3E51"/>
    <w:rsid w:val="00BE4015"/>
    <w:rsid w:val="00BE41DC"/>
    <w:rsid w:val="00C01D34"/>
    <w:rsid w:val="00C06696"/>
    <w:rsid w:val="00C074FC"/>
    <w:rsid w:val="00C13001"/>
    <w:rsid w:val="00C242AF"/>
    <w:rsid w:val="00C316E3"/>
    <w:rsid w:val="00C343D3"/>
    <w:rsid w:val="00C36C0E"/>
    <w:rsid w:val="00C43885"/>
    <w:rsid w:val="00C512D1"/>
    <w:rsid w:val="00C534A1"/>
    <w:rsid w:val="00C559C1"/>
    <w:rsid w:val="00C60968"/>
    <w:rsid w:val="00C63678"/>
    <w:rsid w:val="00C72A06"/>
    <w:rsid w:val="00C736AE"/>
    <w:rsid w:val="00C919E0"/>
    <w:rsid w:val="00CA0CF5"/>
    <w:rsid w:val="00CA1319"/>
    <w:rsid w:val="00CA1795"/>
    <w:rsid w:val="00CA716A"/>
    <w:rsid w:val="00CC05A0"/>
    <w:rsid w:val="00CC3796"/>
    <w:rsid w:val="00CD5A39"/>
    <w:rsid w:val="00CF12A9"/>
    <w:rsid w:val="00D10C33"/>
    <w:rsid w:val="00D227BE"/>
    <w:rsid w:val="00D37061"/>
    <w:rsid w:val="00D44667"/>
    <w:rsid w:val="00D44A12"/>
    <w:rsid w:val="00D51539"/>
    <w:rsid w:val="00D56C35"/>
    <w:rsid w:val="00D7253D"/>
    <w:rsid w:val="00D812C7"/>
    <w:rsid w:val="00D8584C"/>
    <w:rsid w:val="00D85D97"/>
    <w:rsid w:val="00DA4DCB"/>
    <w:rsid w:val="00DA59D0"/>
    <w:rsid w:val="00DC2141"/>
    <w:rsid w:val="00DC254E"/>
    <w:rsid w:val="00DD01A9"/>
    <w:rsid w:val="00DD0D50"/>
    <w:rsid w:val="00DD40E3"/>
    <w:rsid w:val="00DD4CA2"/>
    <w:rsid w:val="00DD7E01"/>
    <w:rsid w:val="00DE19E5"/>
    <w:rsid w:val="00DE4AD0"/>
    <w:rsid w:val="00DF7966"/>
    <w:rsid w:val="00E036CD"/>
    <w:rsid w:val="00E07FDB"/>
    <w:rsid w:val="00E14448"/>
    <w:rsid w:val="00E33E50"/>
    <w:rsid w:val="00E5045D"/>
    <w:rsid w:val="00E6060D"/>
    <w:rsid w:val="00E6235A"/>
    <w:rsid w:val="00E66BA2"/>
    <w:rsid w:val="00E81E1C"/>
    <w:rsid w:val="00E828ED"/>
    <w:rsid w:val="00E8314C"/>
    <w:rsid w:val="00E87D24"/>
    <w:rsid w:val="00E87F6A"/>
    <w:rsid w:val="00E91539"/>
    <w:rsid w:val="00E9261C"/>
    <w:rsid w:val="00E93B3A"/>
    <w:rsid w:val="00E9562E"/>
    <w:rsid w:val="00EB4A97"/>
    <w:rsid w:val="00EC1D47"/>
    <w:rsid w:val="00ED2AAB"/>
    <w:rsid w:val="00ED6520"/>
    <w:rsid w:val="00ED7289"/>
    <w:rsid w:val="00EE1A08"/>
    <w:rsid w:val="00EE3AC1"/>
    <w:rsid w:val="00F01242"/>
    <w:rsid w:val="00F01D3F"/>
    <w:rsid w:val="00F024B5"/>
    <w:rsid w:val="00F02521"/>
    <w:rsid w:val="00F0292A"/>
    <w:rsid w:val="00F30649"/>
    <w:rsid w:val="00F30A5D"/>
    <w:rsid w:val="00F461B2"/>
    <w:rsid w:val="00F67433"/>
    <w:rsid w:val="00F71BB9"/>
    <w:rsid w:val="00F726DE"/>
    <w:rsid w:val="00F74EC6"/>
    <w:rsid w:val="00F76F66"/>
    <w:rsid w:val="00F83AA9"/>
    <w:rsid w:val="00F929E7"/>
    <w:rsid w:val="00F9649C"/>
    <w:rsid w:val="00FA49FE"/>
    <w:rsid w:val="00FA5E8D"/>
    <w:rsid w:val="00FC621C"/>
    <w:rsid w:val="00FD6347"/>
    <w:rsid w:val="00FD75CE"/>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85198665">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44470509">
      <w:bodyDiv w:val="1"/>
      <w:marLeft w:val="0"/>
      <w:marRight w:val="0"/>
      <w:marTop w:val="0"/>
      <w:marBottom w:val="0"/>
      <w:divBdr>
        <w:top w:val="none" w:sz="0" w:space="0" w:color="auto"/>
        <w:left w:val="none" w:sz="0" w:space="0" w:color="auto"/>
        <w:bottom w:val="none" w:sz="0" w:space="0" w:color="auto"/>
        <w:right w:val="none" w:sz="0" w:space="0" w:color="auto"/>
      </w:divBdr>
    </w:div>
    <w:div w:id="153104475">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0842702">
      <w:bodyDiv w:val="1"/>
      <w:marLeft w:val="0"/>
      <w:marRight w:val="0"/>
      <w:marTop w:val="0"/>
      <w:marBottom w:val="0"/>
      <w:divBdr>
        <w:top w:val="none" w:sz="0" w:space="0" w:color="auto"/>
        <w:left w:val="none" w:sz="0" w:space="0" w:color="auto"/>
        <w:bottom w:val="none" w:sz="0" w:space="0" w:color="auto"/>
        <w:right w:val="none" w:sz="0" w:space="0" w:color="auto"/>
      </w:divBdr>
    </w:div>
    <w:div w:id="19943839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34781352">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6804068">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39429405">
      <w:bodyDiv w:val="1"/>
      <w:marLeft w:val="0"/>
      <w:marRight w:val="0"/>
      <w:marTop w:val="0"/>
      <w:marBottom w:val="0"/>
      <w:divBdr>
        <w:top w:val="none" w:sz="0" w:space="0" w:color="auto"/>
        <w:left w:val="none" w:sz="0" w:space="0" w:color="auto"/>
        <w:bottom w:val="none" w:sz="0" w:space="0" w:color="auto"/>
        <w:right w:val="none" w:sz="0" w:space="0" w:color="auto"/>
      </w:divBdr>
    </w:div>
    <w:div w:id="340399296">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92897315">
      <w:bodyDiv w:val="1"/>
      <w:marLeft w:val="0"/>
      <w:marRight w:val="0"/>
      <w:marTop w:val="0"/>
      <w:marBottom w:val="0"/>
      <w:divBdr>
        <w:top w:val="none" w:sz="0" w:space="0" w:color="auto"/>
        <w:left w:val="none" w:sz="0" w:space="0" w:color="auto"/>
        <w:bottom w:val="none" w:sz="0" w:space="0" w:color="auto"/>
        <w:right w:val="none" w:sz="0" w:space="0" w:color="auto"/>
      </w:divBdr>
    </w:div>
    <w:div w:id="414668064">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22476163">
      <w:bodyDiv w:val="1"/>
      <w:marLeft w:val="0"/>
      <w:marRight w:val="0"/>
      <w:marTop w:val="0"/>
      <w:marBottom w:val="0"/>
      <w:divBdr>
        <w:top w:val="none" w:sz="0" w:space="0" w:color="auto"/>
        <w:left w:val="none" w:sz="0" w:space="0" w:color="auto"/>
        <w:bottom w:val="none" w:sz="0" w:space="0" w:color="auto"/>
        <w:right w:val="none" w:sz="0" w:space="0" w:color="auto"/>
      </w:divBdr>
    </w:div>
    <w:div w:id="527984815">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714587">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59750125">
      <w:bodyDiv w:val="1"/>
      <w:marLeft w:val="0"/>
      <w:marRight w:val="0"/>
      <w:marTop w:val="0"/>
      <w:marBottom w:val="0"/>
      <w:divBdr>
        <w:top w:val="none" w:sz="0" w:space="0" w:color="auto"/>
        <w:left w:val="none" w:sz="0" w:space="0" w:color="auto"/>
        <w:bottom w:val="none" w:sz="0" w:space="0" w:color="auto"/>
        <w:right w:val="none" w:sz="0" w:space="0" w:color="auto"/>
      </w:divBdr>
      <w:divsChild>
        <w:div w:id="14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032705">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5848082">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94825465">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45625604">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264741">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54518075">
      <w:bodyDiv w:val="1"/>
      <w:marLeft w:val="0"/>
      <w:marRight w:val="0"/>
      <w:marTop w:val="0"/>
      <w:marBottom w:val="0"/>
      <w:divBdr>
        <w:top w:val="none" w:sz="0" w:space="0" w:color="auto"/>
        <w:left w:val="none" w:sz="0" w:space="0" w:color="auto"/>
        <w:bottom w:val="none" w:sz="0" w:space="0" w:color="auto"/>
        <w:right w:val="none" w:sz="0" w:space="0" w:color="auto"/>
      </w:divBdr>
    </w:div>
    <w:div w:id="763495030">
      <w:bodyDiv w:val="1"/>
      <w:marLeft w:val="0"/>
      <w:marRight w:val="0"/>
      <w:marTop w:val="0"/>
      <w:marBottom w:val="0"/>
      <w:divBdr>
        <w:top w:val="none" w:sz="0" w:space="0" w:color="auto"/>
        <w:left w:val="none" w:sz="0" w:space="0" w:color="auto"/>
        <w:bottom w:val="none" w:sz="0" w:space="0" w:color="auto"/>
        <w:right w:val="none" w:sz="0" w:space="0" w:color="auto"/>
      </w:divBdr>
    </w:div>
    <w:div w:id="769665380">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72897960">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2589430">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64695026">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67119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5108189">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5636245">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07062764">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0783447">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72750286">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27644189">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0580977">
      <w:bodyDiv w:val="1"/>
      <w:marLeft w:val="0"/>
      <w:marRight w:val="0"/>
      <w:marTop w:val="0"/>
      <w:marBottom w:val="0"/>
      <w:divBdr>
        <w:top w:val="none" w:sz="0" w:space="0" w:color="auto"/>
        <w:left w:val="none" w:sz="0" w:space="0" w:color="auto"/>
        <w:bottom w:val="none" w:sz="0" w:space="0" w:color="auto"/>
        <w:right w:val="none" w:sz="0" w:space="0" w:color="auto"/>
      </w:divBdr>
    </w:div>
    <w:div w:id="1579024909">
      <w:bodyDiv w:val="1"/>
      <w:marLeft w:val="0"/>
      <w:marRight w:val="0"/>
      <w:marTop w:val="0"/>
      <w:marBottom w:val="0"/>
      <w:divBdr>
        <w:top w:val="none" w:sz="0" w:space="0" w:color="auto"/>
        <w:left w:val="none" w:sz="0" w:space="0" w:color="auto"/>
        <w:bottom w:val="none" w:sz="0" w:space="0" w:color="auto"/>
        <w:right w:val="none" w:sz="0" w:space="0" w:color="auto"/>
      </w:divBdr>
    </w:div>
    <w:div w:id="1604457596">
      <w:bodyDiv w:val="1"/>
      <w:marLeft w:val="0"/>
      <w:marRight w:val="0"/>
      <w:marTop w:val="0"/>
      <w:marBottom w:val="0"/>
      <w:divBdr>
        <w:top w:val="none" w:sz="0" w:space="0" w:color="auto"/>
        <w:left w:val="none" w:sz="0" w:space="0" w:color="auto"/>
        <w:bottom w:val="none" w:sz="0" w:space="0" w:color="auto"/>
        <w:right w:val="none" w:sz="0" w:space="0" w:color="auto"/>
      </w:divBdr>
      <w:divsChild>
        <w:div w:id="599604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7823">
      <w:bodyDiv w:val="1"/>
      <w:marLeft w:val="0"/>
      <w:marRight w:val="0"/>
      <w:marTop w:val="0"/>
      <w:marBottom w:val="0"/>
      <w:divBdr>
        <w:top w:val="none" w:sz="0" w:space="0" w:color="auto"/>
        <w:left w:val="none" w:sz="0" w:space="0" w:color="auto"/>
        <w:bottom w:val="none" w:sz="0" w:space="0" w:color="auto"/>
        <w:right w:val="none" w:sz="0" w:space="0" w:color="auto"/>
      </w:divBdr>
    </w:div>
    <w:div w:id="1613974865">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27083078">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1809039">
      <w:bodyDiv w:val="1"/>
      <w:marLeft w:val="0"/>
      <w:marRight w:val="0"/>
      <w:marTop w:val="0"/>
      <w:marBottom w:val="0"/>
      <w:divBdr>
        <w:top w:val="none" w:sz="0" w:space="0" w:color="auto"/>
        <w:left w:val="none" w:sz="0" w:space="0" w:color="auto"/>
        <w:bottom w:val="none" w:sz="0" w:space="0" w:color="auto"/>
        <w:right w:val="none" w:sz="0" w:space="0" w:color="auto"/>
      </w:divBdr>
    </w:div>
    <w:div w:id="1645500939">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82969358">
      <w:bodyDiv w:val="1"/>
      <w:marLeft w:val="0"/>
      <w:marRight w:val="0"/>
      <w:marTop w:val="0"/>
      <w:marBottom w:val="0"/>
      <w:divBdr>
        <w:top w:val="none" w:sz="0" w:space="0" w:color="auto"/>
        <w:left w:val="none" w:sz="0" w:space="0" w:color="auto"/>
        <w:bottom w:val="none" w:sz="0" w:space="0" w:color="auto"/>
        <w:right w:val="none" w:sz="0" w:space="0" w:color="auto"/>
      </w:divBdr>
    </w:div>
    <w:div w:id="1698042646">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06446479">
      <w:bodyDiv w:val="1"/>
      <w:marLeft w:val="0"/>
      <w:marRight w:val="0"/>
      <w:marTop w:val="0"/>
      <w:marBottom w:val="0"/>
      <w:divBdr>
        <w:top w:val="none" w:sz="0" w:space="0" w:color="auto"/>
        <w:left w:val="none" w:sz="0" w:space="0" w:color="auto"/>
        <w:bottom w:val="none" w:sz="0" w:space="0" w:color="auto"/>
        <w:right w:val="none" w:sz="0" w:space="0" w:color="auto"/>
      </w:divBdr>
    </w:div>
    <w:div w:id="1707676661">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706712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6148558">
      <w:bodyDiv w:val="1"/>
      <w:marLeft w:val="0"/>
      <w:marRight w:val="0"/>
      <w:marTop w:val="0"/>
      <w:marBottom w:val="0"/>
      <w:divBdr>
        <w:top w:val="none" w:sz="0" w:space="0" w:color="auto"/>
        <w:left w:val="none" w:sz="0" w:space="0" w:color="auto"/>
        <w:bottom w:val="none" w:sz="0" w:space="0" w:color="auto"/>
        <w:right w:val="none" w:sz="0" w:space="0" w:color="auto"/>
      </w:divBdr>
    </w:div>
    <w:div w:id="1812288898">
      <w:bodyDiv w:val="1"/>
      <w:marLeft w:val="0"/>
      <w:marRight w:val="0"/>
      <w:marTop w:val="0"/>
      <w:marBottom w:val="0"/>
      <w:divBdr>
        <w:top w:val="none" w:sz="0" w:space="0" w:color="auto"/>
        <w:left w:val="none" w:sz="0" w:space="0" w:color="auto"/>
        <w:bottom w:val="none" w:sz="0" w:space="0" w:color="auto"/>
        <w:right w:val="none" w:sz="0" w:space="0" w:color="auto"/>
      </w:divBdr>
    </w:div>
    <w:div w:id="1812401688">
      <w:bodyDiv w:val="1"/>
      <w:marLeft w:val="0"/>
      <w:marRight w:val="0"/>
      <w:marTop w:val="0"/>
      <w:marBottom w:val="0"/>
      <w:divBdr>
        <w:top w:val="none" w:sz="0" w:space="0" w:color="auto"/>
        <w:left w:val="none" w:sz="0" w:space="0" w:color="auto"/>
        <w:bottom w:val="none" w:sz="0" w:space="0" w:color="auto"/>
        <w:right w:val="none" w:sz="0" w:space="0" w:color="auto"/>
      </w:divBdr>
    </w:div>
    <w:div w:id="1815292864">
      <w:bodyDiv w:val="1"/>
      <w:marLeft w:val="0"/>
      <w:marRight w:val="0"/>
      <w:marTop w:val="0"/>
      <w:marBottom w:val="0"/>
      <w:divBdr>
        <w:top w:val="none" w:sz="0" w:space="0" w:color="auto"/>
        <w:left w:val="none" w:sz="0" w:space="0" w:color="auto"/>
        <w:bottom w:val="none" w:sz="0" w:space="0" w:color="auto"/>
        <w:right w:val="none" w:sz="0" w:space="0" w:color="auto"/>
      </w:divBdr>
    </w:div>
    <w:div w:id="1823695763">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1169583">
      <w:bodyDiv w:val="1"/>
      <w:marLeft w:val="0"/>
      <w:marRight w:val="0"/>
      <w:marTop w:val="0"/>
      <w:marBottom w:val="0"/>
      <w:divBdr>
        <w:top w:val="none" w:sz="0" w:space="0" w:color="auto"/>
        <w:left w:val="none" w:sz="0" w:space="0" w:color="auto"/>
        <w:bottom w:val="none" w:sz="0" w:space="0" w:color="auto"/>
        <w:right w:val="none" w:sz="0" w:space="0" w:color="auto"/>
      </w:divBdr>
    </w:div>
    <w:div w:id="184454140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3278568">
      <w:bodyDiv w:val="1"/>
      <w:marLeft w:val="0"/>
      <w:marRight w:val="0"/>
      <w:marTop w:val="0"/>
      <w:marBottom w:val="0"/>
      <w:divBdr>
        <w:top w:val="none" w:sz="0" w:space="0" w:color="auto"/>
        <w:left w:val="none" w:sz="0" w:space="0" w:color="auto"/>
        <w:bottom w:val="none" w:sz="0" w:space="0" w:color="auto"/>
        <w:right w:val="none" w:sz="0" w:space="0" w:color="auto"/>
      </w:divBdr>
    </w:div>
    <w:div w:id="1939021439">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4166343">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3436381">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5693175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1631602">
      <w:bodyDiv w:val="1"/>
      <w:marLeft w:val="0"/>
      <w:marRight w:val="0"/>
      <w:marTop w:val="0"/>
      <w:marBottom w:val="0"/>
      <w:divBdr>
        <w:top w:val="none" w:sz="0" w:space="0" w:color="auto"/>
        <w:left w:val="none" w:sz="0" w:space="0" w:color="auto"/>
        <w:bottom w:val="none" w:sz="0" w:space="0" w:color="auto"/>
        <w:right w:val="none" w:sz="0" w:space="0" w:color="auto"/>
      </w:divBdr>
    </w:div>
    <w:div w:id="2092770691">
      <w:bodyDiv w:val="1"/>
      <w:marLeft w:val="0"/>
      <w:marRight w:val="0"/>
      <w:marTop w:val="0"/>
      <w:marBottom w:val="0"/>
      <w:divBdr>
        <w:top w:val="none" w:sz="0" w:space="0" w:color="auto"/>
        <w:left w:val="none" w:sz="0" w:space="0" w:color="auto"/>
        <w:bottom w:val="none" w:sz="0" w:space="0" w:color="auto"/>
        <w:right w:val="none" w:sz="0" w:space="0" w:color="auto"/>
      </w:divBdr>
    </w:div>
    <w:div w:id="2096511439">
      <w:bodyDiv w:val="1"/>
      <w:marLeft w:val="0"/>
      <w:marRight w:val="0"/>
      <w:marTop w:val="0"/>
      <w:marBottom w:val="0"/>
      <w:divBdr>
        <w:top w:val="none" w:sz="0" w:space="0" w:color="auto"/>
        <w:left w:val="none" w:sz="0" w:space="0" w:color="auto"/>
        <w:bottom w:val="none" w:sz="0" w:space="0" w:color="auto"/>
        <w:right w:val="none" w:sz="0" w:space="0" w:color="auto"/>
      </w:divBdr>
    </w:div>
    <w:div w:id="2100900999">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457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3338</TotalTime>
  <Pages>18</Pages>
  <Words>6264</Words>
  <Characters>35710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146</cp:revision>
  <cp:lastPrinted>2025-05-11T05:19:00Z</cp:lastPrinted>
  <dcterms:created xsi:type="dcterms:W3CDTF">2023-09-07T03:51:00Z</dcterms:created>
  <dcterms:modified xsi:type="dcterms:W3CDTF">2025-05-11T19:23:00Z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