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B98E5" w14:textId="77777777" w:rsidR="00013FD6" w:rsidRPr="008B4797" w:rsidRDefault="00013FD6" w:rsidP="00013FD6">
      <w:pPr>
        <w:pStyle w:val="Heading1"/>
        <w:numPr>
          <w:ilvl w:val="0"/>
          <w:numId w:val="75"/>
        </w:numPr>
      </w:pPr>
      <w:r>
        <w:fldChar w:fldCharType="begin"/>
      </w:r>
      <w:r>
        <w:instrText>HYPERLINK \l "_Toc428542023"</w:instrText>
      </w:r>
      <w:r>
        <w:fldChar w:fldCharType="separate"/>
      </w:r>
      <w:bookmarkStart w:id="0" w:name="_Ref75432985"/>
      <w:bookmarkStart w:id="1" w:name="_Ref75432991"/>
      <w:bookmarkStart w:id="2" w:name="_Toc138082971"/>
      <w:r w:rsidRPr="008B4797">
        <w:t>System Qualities (Non-Functional Requirements)</w:t>
      </w:r>
      <w:bookmarkEnd w:id="0"/>
      <w:bookmarkEnd w:id="1"/>
      <w:bookmarkEnd w:id="2"/>
      <w:r>
        <w:fldChar w:fldCharType="end"/>
      </w:r>
      <w:r w:rsidRPr="008B4797">
        <w:t xml:space="preserve"> </w:t>
      </w:r>
    </w:p>
    <w:p w14:paraId="4155588A" w14:textId="77777777" w:rsidR="00013FD6" w:rsidRDefault="00013FD6" w:rsidP="00013FD6">
      <w:pPr>
        <w:pStyle w:val="Heading2"/>
        <w:numPr>
          <w:ilvl w:val="1"/>
          <w:numId w:val="75"/>
        </w:numPr>
      </w:pPr>
      <w:hyperlink w:anchor="_Toc428542024" w:history="1">
        <w:bookmarkStart w:id="3" w:name="_Ref81851374"/>
        <w:bookmarkStart w:id="4" w:name="_Ref81851377"/>
        <w:bookmarkStart w:id="5" w:name="_Toc138082972"/>
        <w:r w:rsidRPr="008B4797">
          <w:t>Runtime NFRs</w:t>
        </w:r>
        <w:bookmarkEnd w:id="3"/>
        <w:bookmarkEnd w:id="4"/>
        <w:bookmarkEnd w:id="5"/>
      </w:hyperlink>
    </w:p>
    <w:p w14:paraId="02328DB0" w14:textId="77777777" w:rsidR="00013FD6" w:rsidRPr="008B4797" w:rsidRDefault="00013FD6" w:rsidP="00013FD6">
      <w:pPr>
        <w:pStyle w:val="Heading3"/>
        <w:numPr>
          <w:ilvl w:val="2"/>
          <w:numId w:val="75"/>
        </w:numPr>
        <w:ind w:left="720"/>
      </w:pPr>
      <w:hyperlink w:anchor="_Toc428542025" w:history="1">
        <w:bookmarkStart w:id="6" w:name="_Toc138082973"/>
        <w:r w:rsidRPr="008B4797">
          <w:t>Availability</w:t>
        </w:r>
        <w:bookmarkEnd w:id="6"/>
      </w:hyperlink>
    </w:p>
    <w:p w14:paraId="68724D76" w14:textId="77777777" w:rsidR="00013FD6" w:rsidRPr="00997036" w:rsidRDefault="00013FD6" w:rsidP="00013FD6">
      <w:r w:rsidRPr="00997036">
        <w:t>“Planned Operational Availability”</w:t>
      </w:r>
    </w:p>
    <w:p w14:paraId="04128E60" w14:textId="77777777" w:rsidR="00013FD6" w:rsidRDefault="00013FD6" w:rsidP="00013FD6">
      <w:r w:rsidRPr="00997036">
        <w:t>The times the solution is required to be available and offering non-degraded service in its primary role under normal conditions. This represents the negotiated and agreed ‘up-time’ and excludes planned and agreed outages for system upgrades and maintenance.</w:t>
      </w:r>
    </w:p>
    <w:tbl>
      <w:tblPr>
        <w:tblStyle w:val="GridTable4-Accent5"/>
        <w:tblW w:w="14170" w:type="dxa"/>
        <w:tblLook w:val="0420" w:firstRow="1" w:lastRow="0" w:firstColumn="0" w:lastColumn="0" w:noHBand="0" w:noVBand="1"/>
      </w:tblPr>
      <w:tblGrid>
        <w:gridCol w:w="1129"/>
        <w:gridCol w:w="3685"/>
        <w:gridCol w:w="3686"/>
        <w:gridCol w:w="5670"/>
      </w:tblGrid>
      <w:tr w:rsidR="00013FD6" w:rsidRPr="003B33E7" w14:paraId="4D62D94D" w14:textId="77777777" w:rsidTr="00013FD6">
        <w:trPr>
          <w:cnfStyle w:val="100000000000" w:firstRow="1" w:lastRow="0" w:firstColumn="0" w:lastColumn="0" w:oddVBand="0" w:evenVBand="0" w:oddHBand="0" w:evenHBand="0" w:firstRowFirstColumn="0" w:firstRowLastColumn="0" w:lastRowFirstColumn="0" w:lastRowLastColumn="0"/>
          <w:tblHeader/>
        </w:trPr>
        <w:tc>
          <w:tcPr>
            <w:tcW w:w="1129" w:type="dxa"/>
          </w:tcPr>
          <w:p w14:paraId="56ECAF92" w14:textId="77777777" w:rsidR="00013FD6" w:rsidRPr="00ED45DA" w:rsidRDefault="00013FD6" w:rsidP="002C3F33">
            <w:r w:rsidRPr="00ED45DA">
              <w:t>Ref</w:t>
            </w:r>
          </w:p>
        </w:tc>
        <w:tc>
          <w:tcPr>
            <w:tcW w:w="3685" w:type="dxa"/>
          </w:tcPr>
          <w:p w14:paraId="2FE01AD6" w14:textId="77777777" w:rsidR="00013FD6" w:rsidRPr="00ED45DA" w:rsidRDefault="00013FD6" w:rsidP="002C3F33">
            <w:r w:rsidRPr="00ED45DA">
              <w:t>Description</w:t>
            </w:r>
          </w:p>
        </w:tc>
        <w:tc>
          <w:tcPr>
            <w:tcW w:w="3686" w:type="dxa"/>
          </w:tcPr>
          <w:p w14:paraId="43726214" w14:textId="77777777" w:rsidR="00013FD6" w:rsidRPr="00ED45DA" w:rsidRDefault="00013FD6" w:rsidP="002C3F33">
            <w:r w:rsidRPr="00ED45DA">
              <w:t>Target</w:t>
            </w:r>
          </w:p>
        </w:tc>
        <w:tc>
          <w:tcPr>
            <w:tcW w:w="5670" w:type="dxa"/>
          </w:tcPr>
          <w:p w14:paraId="1629670B" w14:textId="77777777" w:rsidR="00013FD6" w:rsidRPr="00ED45DA" w:rsidRDefault="00013FD6" w:rsidP="002C3F33">
            <w:r w:rsidRPr="00ED45DA">
              <w:t>Solution Traceability</w:t>
            </w:r>
          </w:p>
        </w:tc>
      </w:tr>
      <w:tr w:rsidR="00013FD6" w:rsidRPr="00B626DE" w14:paraId="086D496A" w14:textId="77777777" w:rsidTr="00013FD6">
        <w:trPr>
          <w:cnfStyle w:val="000000100000" w:firstRow="0" w:lastRow="0" w:firstColumn="0" w:lastColumn="0" w:oddVBand="0" w:evenVBand="0" w:oddHBand="1" w:evenHBand="0" w:firstRowFirstColumn="0" w:firstRowLastColumn="0" w:lastRowFirstColumn="0" w:lastRowLastColumn="0"/>
          <w:trHeight w:val="311"/>
        </w:trPr>
        <w:tc>
          <w:tcPr>
            <w:tcW w:w="1129" w:type="dxa"/>
            <w:shd w:val="clear" w:color="auto" w:fill="auto"/>
          </w:tcPr>
          <w:p w14:paraId="643743AD" w14:textId="77777777" w:rsidR="00013FD6" w:rsidRPr="00E26B10" w:rsidRDefault="00013FD6" w:rsidP="002C3F33">
            <w:pPr>
              <w:pStyle w:val="Normal-Table"/>
              <w:rPr>
                <w:lang w:eastAsia="en-NZ"/>
              </w:rPr>
            </w:pPr>
            <w:r>
              <w:rPr>
                <w:lang w:eastAsia="en-NZ"/>
              </w:rPr>
              <w:t>D</w:t>
            </w:r>
            <w:r w:rsidRPr="00E26B10">
              <w:rPr>
                <w:lang w:eastAsia="en-NZ"/>
              </w:rPr>
              <w:t>NFR-0</w:t>
            </w:r>
            <w:r>
              <w:rPr>
                <w:lang w:eastAsia="en-NZ"/>
              </w:rPr>
              <w:t>1</w:t>
            </w:r>
          </w:p>
        </w:tc>
        <w:tc>
          <w:tcPr>
            <w:tcW w:w="3685" w:type="dxa"/>
            <w:shd w:val="clear" w:color="auto" w:fill="auto"/>
          </w:tcPr>
          <w:p w14:paraId="614D4510" w14:textId="77777777" w:rsidR="00013FD6" w:rsidRDefault="00013FD6" w:rsidP="002C3F33">
            <w:pPr>
              <w:pStyle w:val="Normal-Table"/>
            </w:pPr>
            <w:r>
              <w:t xml:space="preserve">Availability </w:t>
            </w:r>
            <w:r w:rsidRPr="00765604">
              <w:t xml:space="preserve">of system for </w:t>
            </w:r>
            <w:r w:rsidRPr="00753DC7">
              <w:t>“primary role” f</w:t>
            </w:r>
            <w:r w:rsidRPr="00765604">
              <w:t>unctions</w:t>
            </w:r>
            <w:r>
              <w:t>.</w:t>
            </w:r>
          </w:p>
          <w:p w14:paraId="6C5F5D03" w14:textId="77777777" w:rsidR="00013FD6" w:rsidRPr="00E26B10" w:rsidRDefault="00013FD6" w:rsidP="002C3F33">
            <w:pPr>
              <w:pStyle w:val="Normal-Table"/>
              <w:rPr>
                <w:lang w:eastAsia="en-NZ"/>
              </w:rPr>
            </w:pPr>
          </w:p>
        </w:tc>
        <w:tc>
          <w:tcPr>
            <w:tcW w:w="3686" w:type="dxa"/>
            <w:shd w:val="clear" w:color="auto" w:fill="FFFFFF" w:themeFill="background1"/>
          </w:tcPr>
          <w:p w14:paraId="21803301" w14:textId="77777777" w:rsidR="00013FD6" w:rsidRPr="00E26B10" w:rsidRDefault="00013FD6" w:rsidP="002C3F33">
            <w:pPr>
              <w:pStyle w:val="Normal-Table"/>
              <w:rPr>
                <w:rFonts w:cs="Times New Roman"/>
                <w:lang w:eastAsia="en-NZ"/>
              </w:rPr>
            </w:pPr>
            <w:r w:rsidRPr="007B787A">
              <w:t>The system must provide service to end-users between 0</w:t>
            </w:r>
            <w:r>
              <w:t>9</w:t>
            </w:r>
            <w:r w:rsidRPr="007B787A">
              <w:t xml:space="preserve">:00 and </w:t>
            </w:r>
            <w:r>
              <w:t>17</w:t>
            </w:r>
            <w:r w:rsidRPr="007B787A">
              <w:t>:00 Monday to Friday</w:t>
            </w:r>
            <w:r>
              <w:t xml:space="preserve"> (refer decision #217).</w:t>
            </w:r>
          </w:p>
        </w:tc>
        <w:tc>
          <w:tcPr>
            <w:tcW w:w="5670" w:type="dxa"/>
            <w:shd w:val="clear" w:color="auto" w:fill="FFFFFF" w:themeFill="background1"/>
          </w:tcPr>
          <w:p w14:paraId="4E316B07" w14:textId="77777777" w:rsidR="00013FD6" w:rsidRPr="00E26B10" w:rsidRDefault="00013FD6" w:rsidP="002C3F33">
            <w:pPr>
              <w:pStyle w:val="Normal-Table"/>
            </w:pPr>
            <w:r w:rsidRPr="00E26B10">
              <w:t>Solution:</w:t>
            </w:r>
          </w:p>
          <w:p w14:paraId="58E3D830" w14:textId="0A10C080" w:rsidR="00013FD6" w:rsidRDefault="00013FD6" w:rsidP="002C3F33">
            <w:pPr>
              <w:pStyle w:val="Normal-Table"/>
              <w:numPr>
                <w:ilvl w:val="0"/>
                <w:numId w:val="30"/>
              </w:numPr>
            </w:pPr>
            <w:r>
              <w:t>{Org}</w:t>
            </w:r>
            <w:r>
              <w:t xml:space="preserve"> supporting network infrastructure designed for maximum resiliency.</w:t>
            </w:r>
          </w:p>
          <w:p w14:paraId="37E991D0" w14:textId="77777777" w:rsidR="00013FD6" w:rsidRDefault="00013FD6" w:rsidP="002C3F33">
            <w:pPr>
              <w:pStyle w:val="Normal-Table"/>
              <w:numPr>
                <w:ilvl w:val="0"/>
                <w:numId w:val="30"/>
              </w:numPr>
            </w:pPr>
            <w:r w:rsidRPr="00140D26">
              <w:t xml:space="preserve">All </w:t>
            </w:r>
            <w:r>
              <w:t xml:space="preserve">on-premise virtualised hosting and public </w:t>
            </w:r>
            <w:r w:rsidRPr="00140D26">
              <w:t xml:space="preserve">cloud platform service levels meet or exceed those required by the solution (refer section </w:t>
            </w:r>
            <w:r w:rsidRPr="00F83D75">
              <w:rPr>
                <w:rStyle w:val="LocalRefChar"/>
              </w:rPr>
              <w:fldChar w:fldCharType="begin"/>
            </w:r>
            <w:r w:rsidRPr="00F83D75">
              <w:rPr>
                <w:rStyle w:val="LocalRefChar"/>
              </w:rPr>
              <w:instrText xml:space="preserve"> REF _Ref81247280 \r \h  \* MERGEFORMAT </w:instrText>
            </w:r>
            <w:r w:rsidRPr="00F83D75">
              <w:rPr>
                <w:rStyle w:val="LocalRefChar"/>
              </w:rPr>
            </w:r>
            <w:r w:rsidRPr="00F83D75">
              <w:rPr>
                <w:rStyle w:val="LocalRefChar"/>
              </w:rPr>
              <w:fldChar w:fldCharType="separate"/>
            </w:r>
            <w:r w:rsidRPr="00F83D75">
              <w:rPr>
                <w:rStyle w:val="LocalRefChar"/>
              </w:rPr>
              <w:t>8.3</w:t>
            </w:r>
            <w:r w:rsidRPr="00F83D75">
              <w:rPr>
                <w:rStyle w:val="LocalRefChar"/>
              </w:rPr>
              <w:fldChar w:fldCharType="end"/>
            </w:r>
            <w:r w:rsidRPr="00F83D75">
              <w:rPr>
                <w:rStyle w:val="LocalRefChar"/>
              </w:rPr>
              <w:t xml:space="preserve"> </w:t>
            </w:r>
            <w:r w:rsidRPr="00F83D75">
              <w:rPr>
                <w:rStyle w:val="LocalRefChar"/>
              </w:rPr>
              <w:fldChar w:fldCharType="begin"/>
            </w:r>
            <w:r w:rsidRPr="00F83D75">
              <w:rPr>
                <w:rStyle w:val="LocalRefChar"/>
              </w:rPr>
              <w:instrText xml:space="preserve"> REF _Ref81247280 \h  \* MERGEFORMAT </w:instrText>
            </w:r>
            <w:r w:rsidRPr="00F83D75">
              <w:rPr>
                <w:rStyle w:val="LocalRefChar"/>
              </w:rPr>
            </w:r>
            <w:r w:rsidRPr="00F83D75">
              <w:rPr>
                <w:rStyle w:val="LocalRefChar"/>
              </w:rPr>
              <w:fldChar w:fldCharType="separate"/>
            </w:r>
            <w:r w:rsidRPr="00F83D75">
              <w:rPr>
                <w:rStyle w:val="LocalRefChar"/>
              </w:rPr>
              <w:t>NFR Alignment</w:t>
            </w:r>
            <w:r w:rsidRPr="00F83D75">
              <w:rPr>
                <w:rStyle w:val="LocalRefChar"/>
              </w:rPr>
              <w:fldChar w:fldCharType="end"/>
            </w:r>
            <w:r w:rsidRPr="00140D26">
              <w:t>).</w:t>
            </w:r>
          </w:p>
          <w:p w14:paraId="168BB361" w14:textId="77777777" w:rsidR="00013FD6" w:rsidRPr="00140D26" w:rsidRDefault="00013FD6" w:rsidP="002C3F33">
            <w:pPr>
              <w:pStyle w:val="Normal-Table"/>
              <w:numPr>
                <w:ilvl w:val="0"/>
                <w:numId w:val="30"/>
              </w:numPr>
            </w:pPr>
            <w:r>
              <w:t xml:space="preserve">Active monitoring of solution availability (refer section </w:t>
            </w:r>
            <w:r w:rsidRPr="00F83D75">
              <w:rPr>
                <w:rStyle w:val="LocalRefChar"/>
              </w:rPr>
              <w:fldChar w:fldCharType="begin"/>
            </w:r>
            <w:r w:rsidRPr="00F83D75">
              <w:rPr>
                <w:rStyle w:val="LocalRefChar"/>
              </w:rPr>
              <w:instrText xml:space="preserve"> REF _Ref76480180 \r \h </w:instrText>
            </w:r>
            <w:r>
              <w:rPr>
                <w:rStyle w:val="LocalRefChar"/>
              </w:rPr>
              <w:instrText xml:space="preserve"> \* MERGEFORMAT </w:instrText>
            </w:r>
            <w:r w:rsidRPr="00F83D75">
              <w:rPr>
                <w:rStyle w:val="LocalRefChar"/>
              </w:rPr>
            </w:r>
            <w:r w:rsidRPr="00F83D75">
              <w:rPr>
                <w:rStyle w:val="LocalRefChar"/>
              </w:rPr>
              <w:fldChar w:fldCharType="separate"/>
            </w:r>
            <w:r w:rsidRPr="00F83D75">
              <w:rPr>
                <w:rStyle w:val="LocalRefChar"/>
              </w:rPr>
              <w:t>7.2.2</w:t>
            </w:r>
            <w:r w:rsidRPr="00F83D75">
              <w:rPr>
                <w:rStyle w:val="LocalRefChar"/>
              </w:rPr>
              <w:fldChar w:fldCharType="end"/>
            </w:r>
            <w:r w:rsidRPr="00F83D75">
              <w:rPr>
                <w:rStyle w:val="LocalRefChar"/>
              </w:rPr>
              <w:t xml:space="preserve"> </w:t>
            </w:r>
            <w:r w:rsidRPr="00F83D75">
              <w:rPr>
                <w:rStyle w:val="LocalRefChar"/>
              </w:rPr>
              <w:fldChar w:fldCharType="begin"/>
            </w:r>
            <w:r w:rsidRPr="00F83D75">
              <w:rPr>
                <w:rStyle w:val="LocalRefChar"/>
              </w:rPr>
              <w:instrText xml:space="preserve"> REF _Ref76480180 \h </w:instrText>
            </w:r>
            <w:r>
              <w:rPr>
                <w:rStyle w:val="LocalRefChar"/>
              </w:rPr>
              <w:instrText xml:space="preserve"> \* MERGEFORMAT </w:instrText>
            </w:r>
            <w:r w:rsidRPr="00F83D75">
              <w:rPr>
                <w:rStyle w:val="LocalRefChar"/>
              </w:rPr>
            </w:r>
            <w:r w:rsidRPr="00F83D75">
              <w:rPr>
                <w:rStyle w:val="LocalRefChar"/>
              </w:rPr>
              <w:fldChar w:fldCharType="separate"/>
            </w:r>
            <w:r w:rsidRPr="00F83D75">
              <w:rPr>
                <w:rStyle w:val="LocalRefChar"/>
              </w:rPr>
              <w:t>Operational Monitoring</w:t>
            </w:r>
            <w:r w:rsidRPr="00F83D75">
              <w:rPr>
                <w:rStyle w:val="LocalRefChar"/>
              </w:rPr>
              <w:fldChar w:fldCharType="end"/>
            </w:r>
            <w:r>
              <w:t xml:space="preserve">). </w:t>
            </w:r>
          </w:p>
        </w:tc>
      </w:tr>
      <w:tr w:rsidR="00013FD6" w:rsidRPr="00B626DE" w14:paraId="31A1325D" w14:textId="77777777" w:rsidTr="00013FD6">
        <w:trPr>
          <w:trHeight w:val="286"/>
        </w:trPr>
        <w:tc>
          <w:tcPr>
            <w:tcW w:w="1129" w:type="dxa"/>
            <w:shd w:val="clear" w:color="auto" w:fill="auto"/>
          </w:tcPr>
          <w:p w14:paraId="63A60B52" w14:textId="77777777" w:rsidR="00013FD6" w:rsidRPr="002812A6" w:rsidRDefault="00013FD6" w:rsidP="002C3F33">
            <w:pPr>
              <w:pStyle w:val="Normal-Table"/>
            </w:pPr>
            <w:r>
              <w:t>DNFR-02</w:t>
            </w:r>
          </w:p>
        </w:tc>
        <w:tc>
          <w:tcPr>
            <w:tcW w:w="3685" w:type="dxa"/>
            <w:shd w:val="clear" w:color="auto" w:fill="auto"/>
          </w:tcPr>
          <w:p w14:paraId="3BB35596" w14:textId="77777777" w:rsidR="00013FD6" w:rsidRPr="0022054F" w:rsidRDefault="00013FD6" w:rsidP="002C3F33">
            <w:pPr>
              <w:pStyle w:val="Normal-Table"/>
            </w:pPr>
            <w:r>
              <w:t>The ability to carry out essential, scheduled maintenance and releases within the agreed service or change window.</w:t>
            </w:r>
          </w:p>
        </w:tc>
        <w:tc>
          <w:tcPr>
            <w:tcW w:w="3686" w:type="dxa"/>
            <w:shd w:val="clear" w:color="auto" w:fill="auto"/>
          </w:tcPr>
          <w:p w14:paraId="69E72824" w14:textId="77777777" w:rsidR="00013FD6" w:rsidRPr="0022054F" w:rsidRDefault="00013FD6" w:rsidP="002C3F33">
            <w:pPr>
              <w:pStyle w:val="Normal-Table"/>
            </w:pPr>
            <w:r w:rsidRPr="007B787A">
              <w:t xml:space="preserve">Maintenance windows </w:t>
            </w:r>
            <w:r>
              <w:t xml:space="preserve">for on-premise systems </w:t>
            </w:r>
            <w:r w:rsidRPr="007B787A">
              <w:t>are reserved between 12:00 and 18:00 on Sundays.  Access will be provided by negotiation outside of these times.</w:t>
            </w:r>
          </w:p>
        </w:tc>
        <w:tc>
          <w:tcPr>
            <w:tcW w:w="5670" w:type="dxa"/>
          </w:tcPr>
          <w:p w14:paraId="63FBE64F" w14:textId="77777777" w:rsidR="00013FD6" w:rsidRDefault="00013FD6" w:rsidP="002C3F33">
            <w:pPr>
              <w:pStyle w:val="Normal-Table"/>
            </w:pPr>
            <w:r>
              <w:t>Solution:</w:t>
            </w:r>
          </w:p>
          <w:p w14:paraId="51BF60DB" w14:textId="77777777" w:rsidR="00013FD6" w:rsidRDefault="00013FD6" w:rsidP="002C3F33">
            <w:pPr>
              <w:pStyle w:val="Normal-Table"/>
              <w:numPr>
                <w:ilvl w:val="0"/>
                <w:numId w:val="31"/>
              </w:numPr>
            </w:pPr>
            <w:r>
              <w:t>Highly automated (scripted) deployment for platform and application deployments.</w:t>
            </w:r>
          </w:p>
          <w:p w14:paraId="35F38A93" w14:textId="77777777" w:rsidR="00013FD6" w:rsidRDefault="00013FD6" w:rsidP="002C3F33">
            <w:pPr>
              <w:pStyle w:val="Normal-Table"/>
              <w:numPr>
                <w:ilvl w:val="0"/>
                <w:numId w:val="31"/>
              </w:numPr>
            </w:pPr>
            <w:r>
              <w:t>User facing platform maintenance mode support. Salesforce supports the ability to display a maintenance page during deployment activities as follows:</w:t>
            </w:r>
          </w:p>
          <w:p w14:paraId="5B17FB26" w14:textId="77777777" w:rsidR="00013FD6" w:rsidRDefault="00013FD6" w:rsidP="002C3F33">
            <w:pPr>
              <w:pStyle w:val="Normal-Table"/>
              <w:numPr>
                <w:ilvl w:val="1"/>
                <w:numId w:val="32"/>
              </w:numPr>
            </w:pPr>
            <w:r>
              <w:t>Back office (Service Cloud) – Bulk freezing of internal user accounts.</w:t>
            </w:r>
          </w:p>
          <w:p w14:paraId="420AC12A" w14:textId="77777777" w:rsidR="00013FD6" w:rsidRPr="001F1D84" w:rsidRDefault="00013FD6" w:rsidP="002C3F33">
            <w:pPr>
              <w:pStyle w:val="Normal-Table"/>
              <w:numPr>
                <w:ilvl w:val="1"/>
                <w:numId w:val="32"/>
              </w:numPr>
            </w:pPr>
            <w:r>
              <w:t>External portals (Community Cloud) – Deactivating the community portal.</w:t>
            </w:r>
          </w:p>
        </w:tc>
      </w:tr>
    </w:tbl>
    <w:p w14:paraId="1015E5EA" w14:textId="77777777" w:rsidR="00013FD6" w:rsidRPr="007578F5" w:rsidRDefault="00013FD6" w:rsidP="00013FD6"/>
    <w:p w14:paraId="33220A77" w14:textId="77777777" w:rsidR="00013FD6" w:rsidRDefault="00013FD6" w:rsidP="00013FD6">
      <w:pPr>
        <w:pStyle w:val="Heading3"/>
        <w:numPr>
          <w:ilvl w:val="2"/>
          <w:numId w:val="75"/>
        </w:numPr>
        <w:ind w:left="720"/>
      </w:pPr>
      <w:hyperlink w:anchor="_Toc428542027" w:history="1">
        <w:bookmarkStart w:id="7" w:name="_Toc138082974"/>
        <w:r w:rsidRPr="002221FB">
          <w:t>Recoverability</w:t>
        </w:r>
        <w:bookmarkEnd w:id="7"/>
      </w:hyperlink>
    </w:p>
    <w:p w14:paraId="3BF84382" w14:textId="77777777" w:rsidR="00013FD6" w:rsidRPr="00621983" w:rsidRDefault="00013FD6" w:rsidP="00013FD6">
      <w:r w:rsidRPr="00621983">
        <w:t>“Disaster Recovery and Business Continuity”</w:t>
      </w:r>
    </w:p>
    <w:p w14:paraId="3E42A89F" w14:textId="77777777" w:rsidR="00013FD6" w:rsidRPr="00621983" w:rsidRDefault="00013FD6" w:rsidP="00013FD6">
      <w:r w:rsidRPr="00621983">
        <w:t>Recoverability is the ability to re-establish business operations after a service disruption. A disruptive incident and its response are categorised at two levels:</w:t>
      </w:r>
    </w:p>
    <w:p w14:paraId="1E4B9FCD" w14:textId="77777777" w:rsidR="00013FD6" w:rsidRPr="00BE3A74" w:rsidRDefault="00013FD6" w:rsidP="00013FD6">
      <w:pPr>
        <w:pStyle w:val="ListParagraph"/>
        <w:numPr>
          <w:ilvl w:val="0"/>
          <w:numId w:val="5"/>
        </w:numPr>
      </w:pPr>
      <w:r w:rsidRPr="00BE3A74">
        <w:t>A Business Continuity Response is triggered by a localised event and will be tailored according to the scale of the event.</w:t>
      </w:r>
    </w:p>
    <w:p w14:paraId="563E2C40" w14:textId="77777777" w:rsidR="00013FD6" w:rsidRPr="00BE3A74" w:rsidRDefault="00013FD6" w:rsidP="00013FD6">
      <w:pPr>
        <w:pStyle w:val="ListParagraph"/>
        <w:numPr>
          <w:ilvl w:val="0"/>
          <w:numId w:val="5"/>
        </w:numPr>
      </w:pPr>
      <w:r w:rsidRPr="00BE3A74">
        <w:t>A Disaster Recovery Response is triggered from a significant external event implying a total loss of production capacity.</w:t>
      </w:r>
    </w:p>
    <w:p w14:paraId="2A34769B" w14:textId="77777777" w:rsidR="00013FD6" w:rsidRPr="00BE3A74" w:rsidRDefault="00013FD6" w:rsidP="00013FD6">
      <w:r w:rsidRPr="00BE3A74">
        <w:t xml:space="preserve">For more detail of the recoverability solution refer to Section </w:t>
      </w:r>
      <w:r>
        <w:fldChar w:fldCharType="begin"/>
      </w:r>
      <w:r w:rsidRPr="00BE3A74">
        <w:instrText xml:space="preserve"> REF _Ref75800599 \r \h </w:instrText>
      </w:r>
      <w:r>
        <w:instrText xml:space="preserve"> \* MERGEFORMAT </w:instrText>
      </w:r>
      <w:r>
        <w:fldChar w:fldCharType="separate"/>
      </w:r>
      <w:r>
        <w:t>7.3</w:t>
      </w:r>
      <w:r>
        <w:fldChar w:fldCharType="end"/>
      </w:r>
      <w:r>
        <w:t xml:space="preserve"> </w:t>
      </w:r>
      <w:r>
        <w:fldChar w:fldCharType="begin"/>
      </w:r>
      <w:r>
        <w:instrText xml:space="preserve"> REF _Ref75800604 \h  \* MERGEFORMAT </w:instrText>
      </w:r>
      <w:r>
        <w:fldChar w:fldCharType="separate"/>
      </w:r>
      <w:r w:rsidRPr="00A07E62">
        <w:t>Business Continuity View</w:t>
      </w:r>
      <w:r>
        <w:fldChar w:fldCharType="end"/>
      </w:r>
      <w:r>
        <w:t>.</w:t>
      </w:r>
    </w:p>
    <w:tbl>
      <w:tblPr>
        <w:tblStyle w:val="GridTable4-Accent5"/>
        <w:tblW w:w="14312" w:type="dxa"/>
        <w:tblLook w:val="0420" w:firstRow="1" w:lastRow="0" w:firstColumn="0" w:lastColumn="0" w:noHBand="0" w:noVBand="1"/>
      </w:tblPr>
      <w:tblGrid>
        <w:gridCol w:w="1129"/>
        <w:gridCol w:w="4110"/>
        <w:gridCol w:w="3402"/>
        <w:gridCol w:w="5671"/>
      </w:tblGrid>
      <w:tr w:rsidR="00013FD6" w:rsidRPr="003B33E7" w14:paraId="73D2B31B" w14:textId="77777777" w:rsidTr="00013FD6">
        <w:trPr>
          <w:cnfStyle w:val="100000000000" w:firstRow="1" w:lastRow="0" w:firstColumn="0" w:lastColumn="0" w:oddVBand="0" w:evenVBand="0" w:oddHBand="0" w:evenHBand="0" w:firstRowFirstColumn="0" w:firstRowLastColumn="0" w:lastRowFirstColumn="0" w:lastRowLastColumn="0"/>
          <w:tblHeader/>
        </w:trPr>
        <w:tc>
          <w:tcPr>
            <w:tcW w:w="1129" w:type="dxa"/>
          </w:tcPr>
          <w:p w14:paraId="39B6EC9B" w14:textId="77777777" w:rsidR="00013FD6" w:rsidRPr="00ED45DA" w:rsidRDefault="00013FD6" w:rsidP="002C3F33">
            <w:r w:rsidRPr="00ED45DA">
              <w:t>Ref</w:t>
            </w:r>
          </w:p>
        </w:tc>
        <w:tc>
          <w:tcPr>
            <w:tcW w:w="4110" w:type="dxa"/>
          </w:tcPr>
          <w:p w14:paraId="3F3E1ECD" w14:textId="77777777" w:rsidR="00013FD6" w:rsidRPr="00ED45DA" w:rsidRDefault="00013FD6" w:rsidP="002C3F33">
            <w:r w:rsidRPr="00ED45DA">
              <w:t>Description</w:t>
            </w:r>
          </w:p>
        </w:tc>
        <w:tc>
          <w:tcPr>
            <w:tcW w:w="3402" w:type="dxa"/>
          </w:tcPr>
          <w:p w14:paraId="4D307756" w14:textId="77777777" w:rsidR="00013FD6" w:rsidRPr="00ED45DA" w:rsidRDefault="00013FD6" w:rsidP="002C3F33">
            <w:r w:rsidRPr="00ED45DA">
              <w:t>Target</w:t>
            </w:r>
          </w:p>
        </w:tc>
        <w:tc>
          <w:tcPr>
            <w:tcW w:w="5671" w:type="dxa"/>
          </w:tcPr>
          <w:p w14:paraId="575F086A" w14:textId="77777777" w:rsidR="00013FD6" w:rsidRPr="00ED45DA" w:rsidRDefault="00013FD6" w:rsidP="002C3F33">
            <w:r w:rsidRPr="00ED45DA">
              <w:t>Solution Traceability</w:t>
            </w:r>
          </w:p>
        </w:tc>
      </w:tr>
      <w:tr w:rsidR="00013FD6" w:rsidRPr="00B626DE" w14:paraId="2590821A" w14:textId="77777777" w:rsidTr="00013FD6">
        <w:trPr>
          <w:cnfStyle w:val="000000100000" w:firstRow="0" w:lastRow="0" w:firstColumn="0" w:lastColumn="0" w:oddVBand="0" w:evenVBand="0" w:oddHBand="1" w:evenHBand="0" w:firstRowFirstColumn="0" w:firstRowLastColumn="0" w:lastRowFirstColumn="0" w:lastRowLastColumn="0"/>
          <w:trHeight w:val="311"/>
        </w:trPr>
        <w:tc>
          <w:tcPr>
            <w:tcW w:w="1129" w:type="dxa"/>
            <w:shd w:val="clear" w:color="auto" w:fill="auto"/>
          </w:tcPr>
          <w:p w14:paraId="752E0286" w14:textId="77777777" w:rsidR="00013FD6" w:rsidRPr="00E26B10" w:rsidRDefault="00013FD6" w:rsidP="002C3F33">
            <w:pPr>
              <w:pStyle w:val="Normal-Table"/>
              <w:rPr>
                <w:rFonts w:eastAsia="Times New Roman" w:cs="Times New Roman"/>
                <w:lang w:eastAsia="en-NZ"/>
              </w:rPr>
            </w:pPr>
            <w:r>
              <w:t>DNFR-03</w:t>
            </w:r>
          </w:p>
        </w:tc>
        <w:tc>
          <w:tcPr>
            <w:tcW w:w="4110" w:type="dxa"/>
            <w:shd w:val="clear" w:color="auto" w:fill="auto"/>
          </w:tcPr>
          <w:p w14:paraId="54C7913A" w14:textId="77777777" w:rsidR="00013FD6" w:rsidRPr="00E26B10" w:rsidRDefault="00013FD6" w:rsidP="002C3F33">
            <w:pPr>
              <w:pStyle w:val="Normal-Table"/>
            </w:pPr>
            <w:r>
              <w:t>Return to Operation (RTO)</w:t>
            </w:r>
          </w:p>
        </w:tc>
        <w:tc>
          <w:tcPr>
            <w:tcW w:w="3402" w:type="dxa"/>
            <w:shd w:val="clear" w:color="auto" w:fill="FFFFFF" w:themeFill="background1"/>
          </w:tcPr>
          <w:p w14:paraId="071B4FD1" w14:textId="77777777" w:rsidR="00013FD6" w:rsidRPr="00E26B10" w:rsidRDefault="00013FD6" w:rsidP="002C3F33">
            <w:pPr>
              <w:pStyle w:val="Normal-Table"/>
              <w:rPr>
                <w:rFonts w:eastAsia="Times New Roman" w:cs="Times New Roman"/>
                <w:lang w:eastAsia="en-NZ"/>
              </w:rPr>
            </w:pPr>
            <w:r w:rsidRPr="007B787A">
              <w:t xml:space="preserve">The mean time to recovery (MTTR) in the event of loss of the production processing capacity of the system must be no more than </w:t>
            </w:r>
            <w:r>
              <w:t>1 working day</w:t>
            </w:r>
            <w:r w:rsidRPr="007B787A">
              <w:t>.</w:t>
            </w:r>
          </w:p>
        </w:tc>
        <w:tc>
          <w:tcPr>
            <w:tcW w:w="5671" w:type="dxa"/>
            <w:shd w:val="clear" w:color="auto" w:fill="FFFFFF" w:themeFill="background1"/>
          </w:tcPr>
          <w:p w14:paraId="3DD1B987" w14:textId="77777777" w:rsidR="00013FD6" w:rsidRDefault="00013FD6" w:rsidP="002C3F33">
            <w:pPr>
              <w:pStyle w:val="Normal-Table"/>
            </w:pPr>
            <w:r>
              <w:t>Interpretation/Assumptions:</w:t>
            </w:r>
          </w:p>
          <w:p w14:paraId="31C73727" w14:textId="77777777" w:rsidR="00013FD6" w:rsidRDefault="00013FD6" w:rsidP="002C3F33">
            <w:pPr>
              <w:pStyle w:val="Normal-Table"/>
              <w:numPr>
                <w:ilvl w:val="0"/>
                <w:numId w:val="33"/>
              </w:numPr>
            </w:pPr>
            <w:r>
              <w:t>Measurement of system recovery time applies to core availability hours (refer DNFR-01).</w:t>
            </w:r>
          </w:p>
          <w:p w14:paraId="429B951B" w14:textId="77777777" w:rsidR="00013FD6" w:rsidRDefault="00013FD6" w:rsidP="002C3F33">
            <w:pPr>
              <w:pStyle w:val="Normal-Table"/>
              <w:numPr>
                <w:ilvl w:val="0"/>
                <w:numId w:val="33"/>
              </w:numPr>
            </w:pPr>
            <w:r>
              <w:t xml:space="preserve">The RTO excludes the time required to resolve business transaction consistency errors (once the system is restored). </w:t>
            </w:r>
          </w:p>
          <w:p w14:paraId="65B400A7" w14:textId="77777777" w:rsidR="00013FD6" w:rsidRDefault="00013FD6" w:rsidP="002C3F33">
            <w:pPr>
              <w:pStyle w:val="Normal-Table"/>
            </w:pPr>
            <w:r>
              <w:t>Solution:</w:t>
            </w:r>
          </w:p>
          <w:p w14:paraId="4589EA53" w14:textId="38CE4611" w:rsidR="00013FD6" w:rsidRDefault="00013FD6" w:rsidP="002C3F33">
            <w:pPr>
              <w:pStyle w:val="Normal-Table"/>
              <w:numPr>
                <w:ilvl w:val="0"/>
                <w:numId w:val="57"/>
              </w:numPr>
            </w:pPr>
            <w:r>
              <w:t xml:space="preserve">Failover to the </w:t>
            </w:r>
            <w:r>
              <w:t>{Org}</w:t>
            </w:r>
            <w:r>
              <w:t xml:space="preserve"> Secondary data centre (Orbit) for ArcGIS on-premise components (refer </w:t>
            </w:r>
            <w:r w:rsidRPr="00F778BB">
              <w:rPr>
                <w:rStyle w:val="LocalRefChar"/>
              </w:rPr>
              <w:fldChar w:fldCharType="begin"/>
            </w:r>
            <w:r w:rsidRPr="00F778BB">
              <w:rPr>
                <w:rStyle w:val="LocalRefChar"/>
              </w:rPr>
              <w:instrText xml:space="preserve"> REF _Ref81903909 \r \h  \* MERGEFORMAT </w:instrText>
            </w:r>
            <w:r w:rsidRPr="00F778BB">
              <w:rPr>
                <w:rStyle w:val="LocalRefChar"/>
              </w:rPr>
            </w:r>
            <w:r w:rsidRPr="00F778BB">
              <w:rPr>
                <w:rStyle w:val="LocalRefChar"/>
              </w:rPr>
              <w:fldChar w:fldCharType="separate"/>
            </w:r>
            <w:r w:rsidRPr="00F778BB">
              <w:rPr>
                <w:rStyle w:val="LocalRefChar"/>
              </w:rPr>
              <w:t>7.3.5.2</w:t>
            </w:r>
            <w:r w:rsidRPr="00F778BB">
              <w:rPr>
                <w:rStyle w:val="LocalRefChar"/>
              </w:rPr>
              <w:fldChar w:fldCharType="end"/>
            </w:r>
            <w:r w:rsidRPr="00F778BB">
              <w:rPr>
                <w:rStyle w:val="LocalRefChar"/>
              </w:rPr>
              <w:t xml:space="preserve"> </w:t>
            </w:r>
            <w:r w:rsidRPr="00F778BB">
              <w:rPr>
                <w:rStyle w:val="LocalRefChar"/>
              </w:rPr>
              <w:fldChar w:fldCharType="begin"/>
            </w:r>
            <w:r w:rsidRPr="00F778BB">
              <w:rPr>
                <w:rStyle w:val="LocalRefChar"/>
              </w:rPr>
              <w:instrText xml:space="preserve"> REF _Ref81903909 \h  \* MERGEFORMAT </w:instrText>
            </w:r>
            <w:r w:rsidRPr="00F778BB">
              <w:rPr>
                <w:rStyle w:val="LocalRefChar"/>
              </w:rPr>
            </w:r>
            <w:r w:rsidRPr="00F778BB">
              <w:rPr>
                <w:rStyle w:val="LocalRefChar"/>
              </w:rPr>
              <w:fldChar w:fldCharType="separate"/>
            </w:r>
            <w:r w:rsidRPr="00F778BB">
              <w:rPr>
                <w:rStyle w:val="LocalRefChar"/>
              </w:rPr>
              <w:t>ArcGIS Enterprise</w:t>
            </w:r>
            <w:r w:rsidRPr="00F778BB">
              <w:rPr>
                <w:rStyle w:val="LocalRefChar"/>
              </w:rPr>
              <w:fldChar w:fldCharType="end"/>
            </w:r>
            <w:r w:rsidRPr="00F778BB">
              <w:rPr>
                <w:rStyle w:val="LocalRefChar"/>
              </w:rPr>
              <w:t>).</w:t>
            </w:r>
          </w:p>
          <w:p w14:paraId="56EF3BF5" w14:textId="4E5F1940" w:rsidR="00013FD6" w:rsidRDefault="00013FD6" w:rsidP="002C3F33">
            <w:pPr>
              <w:pStyle w:val="Normal-Table"/>
              <w:numPr>
                <w:ilvl w:val="0"/>
                <w:numId w:val="57"/>
              </w:numPr>
            </w:pPr>
            <w:r>
              <w:t xml:space="preserve">Pipeline-based redeployment of </w:t>
            </w:r>
            <w:r>
              <w:t>{</w:t>
            </w:r>
            <w:proofErr w:type="spellStart"/>
            <w:r>
              <w:t>Soltn</w:t>
            </w:r>
            <w:proofErr w:type="spellEnd"/>
            <w:r>
              <w:t>}</w:t>
            </w:r>
            <w:r>
              <w:t xml:space="preserve"> Azure non-global services (refer </w:t>
            </w:r>
            <w:r w:rsidRPr="00F778BB">
              <w:rPr>
                <w:rStyle w:val="LocalRefChar"/>
              </w:rPr>
              <w:fldChar w:fldCharType="begin"/>
            </w:r>
            <w:r w:rsidRPr="00F778BB">
              <w:rPr>
                <w:rStyle w:val="LocalRefChar"/>
              </w:rPr>
              <w:instrText xml:space="preserve"> REF _Ref81903971 \r \h  \* MERGEFORMAT </w:instrText>
            </w:r>
            <w:r w:rsidRPr="00F778BB">
              <w:rPr>
                <w:rStyle w:val="LocalRefChar"/>
              </w:rPr>
            </w:r>
            <w:r w:rsidRPr="00F778BB">
              <w:rPr>
                <w:rStyle w:val="LocalRefChar"/>
              </w:rPr>
              <w:fldChar w:fldCharType="separate"/>
            </w:r>
            <w:r w:rsidRPr="00F778BB">
              <w:rPr>
                <w:rStyle w:val="LocalRefChar"/>
              </w:rPr>
              <w:t>7.3.5.3</w:t>
            </w:r>
            <w:r w:rsidRPr="00F778BB">
              <w:rPr>
                <w:rStyle w:val="LocalRefChar"/>
              </w:rPr>
              <w:fldChar w:fldCharType="end"/>
            </w:r>
            <w:r w:rsidRPr="00F778BB">
              <w:rPr>
                <w:rStyle w:val="LocalRefChar"/>
              </w:rPr>
              <w:t xml:space="preserve"> </w:t>
            </w:r>
            <w:r w:rsidRPr="00F778BB">
              <w:rPr>
                <w:rStyle w:val="LocalRefChar"/>
              </w:rPr>
              <w:fldChar w:fldCharType="begin"/>
            </w:r>
            <w:r w:rsidRPr="00F778BB">
              <w:rPr>
                <w:rStyle w:val="LocalRefChar"/>
              </w:rPr>
              <w:instrText xml:space="preserve"> REF _Ref81903971 \h  \* MERGEFORMAT </w:instrText>
            </w:r>
            <w:r w:rsidRPr="00F778BB">
              <w:rPr>
                <w:rStyle w:val="LocalRefChar"/>
              </w:rPr>
            </w:r>
            <w:r w:rsidRPr="00F778BB">
              <w:rPr>
                <w:rStyle w:val="LocalRefChar"/>
              </w:rPr>
              <w:fldChar w:fldCharType="separate"/>
            </w:r>
            <w:r w:rsidRPr="00F778BB">
              <w:rPr>
                <w:rStyle w:val="LocalRefChar"/>
              </w:rPr>
              <w:t>Azure Services</w:t>
            </w:r>
            <w:r w:rsidRPr="00F778BB">
              <w:rPr>
                <w:rStyle w:val="LocalRefChar"/>
              </w:rPr>
              <w:fldChar w:fldCharType="end"/>
            </w:r>
            <w:r>
              <w:t>).</w:t>
            </w:r>
          </w:p>
          <w:p w14:paraId="32DBFC9F" w14:textId="77777777" w:rsidR="00013FD6" w:rsidRDefault="00013FD6" w:rsidP="002C3F33">
            <w:pPr>
              <w:pStyle w:val="Normal-Table"/>
              <w:numPr>
                <w:ilvl w:val="0"/>
                <w:numId w:val="57"/>
              </w:numPr>
            </w:pPr>
            <w:r>
              <w:t xml:space="preserve">Salesforce managed DR from a primary to secondary data center (refer </w:t>
            </w:r>
            <w:r w:rsidRPr="00F778BB">
              <w:rPr>
                <w:rStyle w:val="LocalRefChar"/>
              </w:rPr>
              <w:fldChar w:fldCharType="begin"/>
            </w:r>
            <w:r w:rsidRPr="00F778BB">
              <w:rPr>
                <w:rStyle w:val="LocalRefChar"/>
              </w:rPr>
              <w:instrText xml:space="preserve"> REF _Ref81906392 \r \h  \* MERGEFORMAT </w:instrText>
            </w:r>
            <w:r w:rsidRPr="00F778BB">
              <w:rPr>
                <w:rStyle w:val="LocalRefChar"/>
              </w:rPr>
            </w:r>
            <w:r w:rsidRPr="00F778BB">
              <w:rPr>
                <w:rStyle w:val="LocalRefChar"/>
              </w:rPr>
              <w:fldChar w:fldCharType="separate"/>
            </w:r>
            <w:r w:rsidRPr="00F778BB">
              <w:rPr>
                <w:rStyle w:val="LocalRefChar"/>
              </w:rPr>
              <w:t>7.3.5.1</w:t>
            </w:r>
            <w:r w:rsidRPr="00F778BB">
              <w:rPr>
                <w:rStyle w:val="LocalRefChar"/>
              </w:rPr>
              <w:fldChar w:fldCharType="end"/>
            </w:r>
            <w:r w:rsidRPr="00F778BB">
              <w:rPr>
                <w:rStyle w:val="LocalRefChar"/>
              </w:rPr>
              <w:t xml:space="preserve"> </w:t>
            </w:r>
            <w:r w:rsidRPr="00F778BB">
              <w:rPr>
                <w:rStyle w:val="LocalRefChar"/>
              </w:rPr>
              <w:fldChar w:fldCharType="begin"/>
            </w:r>
            <w:r w:rsidRPr="00F778BB">
              <w:rPr>
                <w:rStyle w:val="LocalRefChar"/>
              </w:rPr>
              <w:instrText xml:space="preserve"> REF _Ref81906392 \h  \* MERGEFORMAT </w:instrText>
            </w:r>
            <w:r w:rsidRPr="00F778BB">
              <w:rPr>
                <w:rStyle w:val="LocalRefChar"/>
              </w:rPr>
            </w:r>
            <w:r w:rsidRPr="00F778BB">
              <w:rPr>
                <w:rStyle w:val="LocalRefChar"/>
              </w:rPr>
              <w:fldChar w:fldCharType="separate"/>
            </w:r>
            <w:r w:rsidRPr="00F778BB">
              <w:rPr>
                <w:rStyle w:val="LocalRefChar"/>
              </w:rPr>
              <w:t>Salesforce</w:t>
            </w:r>
            <w:r w:rsidRPr="00F778BB">
              <w:rPr>
                <w:rStyle w:val="LocalRefChar"/>
              </w:rPr>
              <w:fldChar w:fldCharType="end"/>
            </w:r>
            <w:r>
              <w:t>).</w:t>
            </w:r>
          </w:p>
          <w:p w14:paraId="3C7738B4" w14:textId="77777777" w:rsidR="00013FD6" w:rsidRDefault="00013FD6" w:rsidP="002C3F33">
            <w:pPr>
              <w:pStyle w:val="Normal-Table"/>
              <w:numPr>
                <w:ilvl w:val="0"/>
                <w:numId w:val="57"/>
              </w:numPr>
            </w:pPr>
            <w:r>
              <w:t>Comprehensive backup of solution business data and on-premise servers (refer</w:t>
            </w:r>
            <w:r>
              <w:rPr>
                <w:rStyle w:val="LocalRefChar"/>
              </w:rPr>
              <w:t xml:space="preserve"> </w:t>
            </w:r>
            <w:r w:rsidRPr="00896F9E">
              <w:rPr>
                <w:rStyle w:val="LocalRefChar"/>
                <w:i w:val="0"/>
                <w:iCs/>
              </w:rPr>
              <w:fldChar w:fldCharType="begin"/>
            </w:r>
            <w:r w:rsidRPr="00896F9E">
              <w:rPr>
                <w:rStyle w:val="LocalRefChar"/>
                <w:i w:val="0"/>
                <w:iCs/>
              </w:rPr>
              <w:instrText xml:space="preserve"> REF _Ref114127482 \r \h </w:instrText>
            </w:r>
            <w:r>
              <w:rPr>
                <w:rStyle w:val="LocalRefChar"/>
                <w:i w:val="0"/>
                <w:iCs/>
              </w:rPr>
              <w:instrText xml:space="preserve"> \* MERGEFORMAT </w:instrText>
            </w:r>
            <w:r w:rsidRPr="00896F9E">
              <w:rPr>
                <w:rStyle w:val="LocalRefChar"/>
                <w:i w:val="0"/>
                <w:iCs/>
              </w:rPr>
            </w:r>
            <w:r w:rsidRPr="00896F9E">
              <w:rPr>
                <w:rStyle w:val="LocalRefChar"/>
                <w:i w:val="0"/>
                <w:iCs/>
              </w:rPr>
              <w:fldChar w:fldCharType="separate"/>
            </w:r>
            <w:r w:rsidRPr="00896F9E">
              <w:rPr>
                <w:rStyle w:val="LocalRefChar"/>
                <w:i w:val="0"/>
                <w:iCs/>
              </w:rPr>
              <w:t>7.2.6</w:t>
            </w:r>
            <w:r w:rsidRPr="00896F9E">
              <w:rPr>
                <w:rStyle w:val="LocalRefChar"/>
                <w:i w:val="0"/>
                <w:iCs/>
              </w:rPr>
              <w:fldChar w:fldCharType="end"/>
            </w:r>
            <w:r w:rsidRPr="00896F9E">
              <w:rPr>
                <w:rStyle w:val="LocalRefChar"/>
                <w:i w:val="0"/>
                <w:iCs/>
              </w:rPr>
              <w:t xml:space="preserve"> </w:t>
            </w:r>
            <w:r w:rsidRPr="00896F9E">
              <w:rPr>
                <w:rStyle w:val="LocalRefChar"/>
                <w:i w:val="0"/>
                <w:iCs/>
              </w:rPr>
              <w:fldChar w:fldCharType="begin"/>
            </w:r>
            <w:r w:rsidRPr="00896F9E">
              <w:rPr>
                <w:rStyle w:val="LocalRefChar"/>
                <w:i w:val="0"/>
                <w:iCs/>
              </w:rPr>
              <w:instrText xml:space="preserve"> REF _Ref114127485 \h </w:instrText>
            </w:r>
            <w:r>
              <w:rPr>
                <w:rStyle w:val="LocalRefChar"/>
                <w:i w:val="0"/>
                <w:iCs/>
              </w:rPr>
              <w:instrText xml:space="preserve"> \* MERGEFORMAT </w:instrText>
            </w:r>
            <w:r w:rsidRPr="00896F9E">
              <w:rPr>
                <w:rStyle w:val="LocalRefChar"/>
                <w:i w:val="0"/>
                <w:iCs/>
              </w:rPr>
            </w:r>
            <w:r w:rsidRPr="00896F9E">
              <w:rPr>
                <w:rStyle w:val="LocalRefChar"/>
                <w:i w:val="0"/>
                <w:iCs/>
              </w:rPr>
              <w:fldChar w:fldCharType="separate"/>
            </w:r>
            <w:r w:rsidRPr="00896F9E">
              <w:rPr>
                <w:i/>
                <w:iCs/>
              </w:rPr>
              <w:t>Backup and Restore</w:t>
            </w:r>
            <w:r w:rsidRPr="00896F9E">
              <w:rPr>
                <w:rStyle w:val="LocalRefChar"/>
                <w:i w:val="0"/>
                <w:iCs/>
              </w:rPr>
              <w:fldChar w:fldCharType="end"/>
            </w:r>
            <w:r>
              <w:t>).</w:t>
            </w:r>
          </w:p>
          <w:p w14:paraId="44C71C2B" w14:textId="34AB4976" w:rsidR="00013FD6" w:rsidRPr="00E26B10" w:rsidRDefault="00013FD6" w:rsidP="002C3F33">
            <w:pPr>
              <w:pStyle w:val="Normal-Table"/>
              <w:numPr>
                <w:ilvl w:val="0"/>
                <w:numId w:val="57"/>
              </w:numPr>
            </w:pPr>
            <w:r>
              <w:t xml:space="preserve">The programme Business Change stream will ensure that relevant business continuity plans </w:t>
            </w:r>
            <w:r>
              <w:lastRenderedPageBreak/>
              <w:t xml:space="preserve">are updated to accommodate the new </w:t>
            </w:r>
            <w:r>
              <w:t>{</w:t>
            </w:r>
            <w:proofErr w:type="spellStart"/>
            <w:r>
              <w:t>Soltn</w:t>
            </w:r>
            <w:proofErr w:type="spellEnd"/>
            <w:r>
              <w:t>}</w:t>
            </w:r>
            <w:r>
              <w:t xml:space="preserve"> solution.</w:t>
            </w:r>
          </w:p>
        </w:tc>
      </w:tr>
      <w:tr w:rsidR="00013FD6" w:rsidRPr="00B626DE" w14:paraId="35B51475" w14:textId="77777777" w:rsidTr="00013FD6">
        <w:trPr>
          <w:trHeight w:val="286"/>
        </w:trPr>
        <w:tc>
          <w:tcPr>
            <w:tcW w:w="1129" w:type="dxa"/>
            <w:shd w:val="clear" w:color="auto" w:fill="auto"/>
          </w:tcPr>
          <w:p w14:paraId="33DBE92D" w14:textId="77777777" w:rsidR="00013FD6" w:rsidRPr="002812A6" w:rsidRDefault="00013FD6" w:rsidP="002C3F33">
            <w:pPr>
              <w:pStyle w:val="Normal-Table"/>
            </w:pPr>
            <w:r>
              <w:lastRenderedPageBreak/>
              <w:t>DNFR-04</w:t>
            </w:r>
          </w:p>
        </w:tc>
        <w:tc>
          <w:tcPr>
            <w:tcW w:w="4110" w:type="dxa"/>
            <w:shd w:val="clear" w:color="auto" w:fill="auto"/>
          </w:tcPr>
          <w:p w14:paraId="41EA3DB3" w14:textId="77777777" w:rsidR="00013FD6" w:rsidRPr="0022054F" w:rsidRDefault="00013FD6" w:rsidP="002C3F33">
            <w:pPr>
              <w:pStyle w:val="Normal-Table"/>
            </w:pPr>
            <w:r w:rsidRPr="00B40CDF">
              <w:t>Recovery Point Objective (RPO)</w:t>
            </w:r>
            <w:r>
              <w:t xml:space="preserve"> </w:t>
            </w:r>
          </w:p>
        </w:tc>
        <w:tc>
          <w:tcPr>
            <w:tcW w:w="3402" w:type="dxa"/>
            <w:shd w:val="clear" w:color="auto" w:fill="auto"/>
          </w:tcPr>
          <w:p w14:paraId="524DC66E" w14:textId="77777777" w:rsidR="00013FD6" w:rsidRPr="0022054F" w:rsidRDefault="00013FD6" w:rsidP="002C3F33">
            <w:pPr>
              <w:pStyle w:val="Normal-Table"/>
            </w:pPr>
            <w:r w:rsidRPr="007B787A">
              <w:t xml:space="preserve">In the event of sudden loss of the production processing capacity of the system there must be no loss of committed data older than </w:t>
            </w:r>
            <w:r>
              <w:t>4 hours.</w:t>
            </w:r>
          </w:p>
        </w:tc>
        <w:tc>
          <w:tcPr>
            <w:tcW w:w="5671" w:type="dxa"/>
          </w:tcPr>
          <w:p w14:paraId="0CC251F7" w14:textId="77777777" w:rsidR="00013FD6" w:rsidRDefault="00013FD6" w:rsidP="002C3F33">
            <w:pPr>
              <w:pStyle w:val="Normal-Table"/>
            </w:pPr>
            <w:r>
              <w:t>Interpretation/Assumptions:</w:t>
            </w:r>
          </w:p>
          <w:p w14:paraId="15CF28B4" w14:textId="77777777" w:rsidR="00013FD6" w:rsidRDefault="00013FD6" w:rsidP="002C3F33">
            <w:pPr>
              <w:pStyle w:val="Normal-Table"/>
              <w:numPr>
                <w:ilvl w:val="0"/>
                <w:numId w:val="34"/>
              </w:numPr>
            </w:pPr>
            <w:r>
              <w:t>The RPO applies to Site Recovery and Local Data Protection.</w:t>
            </w:r>
          </w:p>
          <w:p w14:paraId="47594F2B" w14:textId="77777777" w:rsidR="00013FD6" w:rsidRDefault="00013FD6" w:rsidP="002C3F33">
            <w:pPr>
              <w:pStyle w:val="Normal-Table"/>
              <w:numPr>
                <w:ilvl w:val="0"/>
                <w:numId w:val="34"/>
              </w:numPr>
            </w:pPr>
            <w:r>
              <w:t>The RPO applies to business/transactional data only (not OS/Platform log files).</w:t>
            </w:r>
          </w:p>
          <w:p w14:paraId="483EECED" w14:textId="77777777" w:rsidR="00013FD6" w:rsidRDefault="00013FD6" w:rsidP="002C3F33">
            <w:pPr>
              <w:pStyle w:val="Normal-Table"/>
            </w:pPr>
            <w:r>
              <w:t>Solution:</w:t>
            </w:r>
          </w:p>
          <w:p w14:paraId="311424CD" w14:textId="77777777" w:rsidR="00013FD6" w:rsidRDefault="00013FD6" w:rsidP="002C3F33">
            <w:pPr>
              <w:pStyle w:val="Normal-Table"/>
              <w:numPr>
                <w:ilvl w:val="0"/>
                <w:numId w:val="56"/>
              </w:numPr>
            </w:pPr>
            <w:r>
              <w:t>Intraday local recovery of ArcGIS databases from local SQL logs (refer</w:t>
            </w:r>
            <w:r w:rsidRPr="005D1EC9">
              <w:rPr>
                <w:i/>
                <w:iCs/>
              </w:rPr>
              <w:t xml:space="preserve"> </w:t>
            </w:r>
            <w:r w:rsidRPr="00F778BB">
              <w:rPr>
                <w:rStyle w:val="LocalRefChar"/>
              </w:rPr>
              <w:fldChar w:fldCharType="begin"/>
            </w:r>
            <w:r w:rsidRPr="00F778BB">
              <w:rPr>
                <w:rStyle w:val="LocalRefChar"/>
              </w:rPr>
              <w:instrText xml:space="preserve"> REF _Ref81903685 \r \h  \* MERGEFORMAT </w:instrText>
            </w:r>
            <w:r w:rsidRPr="00F778BB">
              <w:rPr>
                <w:rStyle w:val="LocalRefChar"/>
              </w:rPr>
            </w:r>
            <w:r w:rsidRPr="00F778BB">
              <w:rPr>
                <w:rStyle w:val="LocalRefChar"/>
              </w:rPr>
              <w:fldChar w:fldCharType="separate"/>
            </w:r>
            <w:r w:rsidRPr="00F778BB">
              <w:rPr>
                <w:rStyle w:val="LocalRefChar"/>
              </w:rPr>
              <w:t>7.3.4</w:t>
            </w:r>
            <w:r w:rsidRPr="00F778BB">
              <w:rPr>
                <w:rStyle w:val="LocalRefChar"/>
              </w:rPr>
              <w:fldChar w:fldCharType="end"/>
            </w:r>
            <w:r w:rsidRPr="00F778BB">
              <w:rPr>
                <w:rStyle w:val="LocalRefChar"/>
              </w:rPr>
              <w:t xml:space="preserve"> </w:t>
            </w:r>
            <w:r w:rsidRPr="00F778BB">
              <w:rPr>
                <w:rStyle w:val="LocalRefChar"/>
              </w:rPr>
              <w:fldChar w:fldCharType="begin"/>
            </w:r>
            <w:r w:rsidRPr="00F778BB">
              <w:rPr>
                <w:rStyle w:val="LocalRefChar"/>
              </w:rPr>
              <w:instrText xml:space="preserve"> REF _Ref81903688 \h  \* MERGEFORMAT </w:instrText>
            </w:r>
            <w:r w:rsidRPr="00F778BB">
              <w:rPr>
                <w:rStyle w:val="LocalRefChar"/>
              </w:rPr>
            </w:r>
            <w:r w:rsidRPr="00F778BB">
              <w:rPr>
                <w:rStyle w:val="LocalRefChar"/>
              </w:rPr>
              <w:fldChar w:fldCharType="separate"/>
            </w:r>
            <w:r w:rsidRPr="00F778BB">
              <w:rPr>
                <w:rStyle w:val="LocalRefChar"/>
              </w:rPr>
              <w:t>Local Recovery</w:t>
            </w:r>
            <w:r w:rsidRPr="00F778BB">
              <w:rPr>
                <w:rStyle w:val="LocalRefChar"/>
              </w:rPr>
              <w:fldChar w:fldCharType="end"/>
            </w:r>
            <w:r>
              <w:t>).</w:t>
            </w:r>
          </w:p>
          <w:p w14:paraId="6CD4AB1B" w14:textId="77777777" w:rsidR="00013FD6" w:rsidRPr="0022054F" w:rsidRDefault="00013FD6" w:rsidP="002C3F33">
            <w:pPr>
              <w:pStyle w:val="Normal-Table"/>
              <w:numPr>
                <w:ilvl w:val="0"/>
                <w:numId w:val="56"/>
              </w:numPr>
            </w:pPr>
            <w:r w:rsidRPr="005B1569">
              <w:t xml:space="preserve">Intraday backups of the solution Azure SQL database(s) and locally replicated cloud storage accounts (refer </w:t>
            </w:r>
            <w:r w:rsidRPr="005B1569">
              <w:rPr>
                <w:rStyle w:val="LocalRefChar"/>
              </w:rPr>
              <w:fldChar w:fldCharType="begin"/>
            </w:r>
            <w:r w:rsidRPr="005B1569">
              <w:rPr>
                <w:rStyle w:val="LocalRefChar"/>
              </w:rPr>
              <w:instrText xml:space="preserve"> REF _Ref81903731 \r \h  \* MERGEFORMAT </w:instrText>
            </w:r>
            <w:r w:rsidRPr="005B1569">
              <w:rPr>
                <w:rStyle w:val="LocalRefChar"/>
              </w:rPr>
            </w:r>
            <w:r w:rsidRPr="005B1569">
              <w:rPr>
                <w:rStyle w:val="LocalRefChar"/>
              </w:rPr>
              <w:fldChar w:fldCharType="separate"/>
            </w:r>
            <w:r w:rsidRPr="005B1569">
              <w:rPr>
                <w:rStyle w:val="LocalRefChar"/>
              </w:rPr>
              <w:t>7.3.5</w:t>
            </w:r>
            <w:r w:rsidRPr="005B1569">
              <w:rPr>
                <w:rStyle w:val="LocalRefChar"/>
              </w:rPr>
              <w:fldChar w:fldCharType="end"/>
            </w:r>
            <w:r w:rsidRPr="005B1569">
              <w:rPr>
                <w:rStyle w:val="LocalRefChar"/>
              </w:rPr>
              <w:t xml:space="preserve"> </w:t>
            </w:r>
            <w:r w:rsidRPr="005B1569">
              <w:rPr>
                <w:rStyle w:val="LocalRefChar"/>
              </w:rPr>
              <w:fldChar w:fldCharType="begin"/>
            </w:r>
            <w:r w:rsidRPr="005B1569">
              <w:rPr>
                <w:rStyle w:val="LocalRefChar"/>
              </w:rPr>
              <w:instrText xml:space="preserve"> REF _Ref81903734 \h  \* MERGEFORMAT </w:instrText>
            </w:r>
            <w:r w:rsidRPr="005B1569">
              <w:rPr>
                <w:rStyle w:val="LocalRefChar"/>
              </w:rPr>
            </w:r>
            <w:r w:rsidRPr="005B1569">
              <w:rPr>
                <w:rStyle w:val="LocalRefChar"/>
              </w:rPr>
              <w:fldChar w:fldCharType="separate"/>
            </w:r>
            <w:r w:rsidRPr="005B1569">
              <w:rPr>
                <w:rStyle w:val="LocalRefChar"/>
              </w:rPr>
              <w:t>Disaster Recovery</w:t>
            </w:r>
            <w:r w:rsidRPr="005B1569">
              <w:rPr>
                <w:rStyle w:val="LocalRefChar"/>
              </w:rPr>
              <w:fldChar w:fldCharType="end"/>
            </w:r>
            <w:r w:rsidRPr="005B1569">
              <w:t>).</w:t>
            </w:r>
          </w:p>
        </w:tc>
      </w:tr>
      <w:tr w:rsidR="00013FD6" w:rsidRPr="00B626DE" w14:paraId="451C52A0" w14:textId="77777777" w:rsidTr="00013FD6">
        <w:trPr>
          <w:cnfStyle w:val="000000100000" w:firstRow="0" w:lastRow="0" w:firstColumn="0" w:lastColumn="0" w:oddVBand="0" w:evenVBand="0" w:oddHBand="1" w:evenHBand="0" w:firstRowFirstColumn="0" w:firstRowLastColumn="0" w:lastRowFirstColumn="0" w:lastRowLastColumn="0"/>
          <w:trHeight w:val="286"/>
        </w:trPr>
        <w:tc>
          <w:tcPr>
            <w:tcW w:w="1129" w:type="dxa"/>
            <w:shd w:val="clear" w:color="auto" w:fill="auto"/>
          </w:tcPr>
          <w:p w14:paraId="7EDEAAD6" w14:textId="77777777" w:rsidR="00013FD6" w:rsidRPr="002812A6" w:rsidRDefault="00013FD6" w:rsidP="002C3F33">
            <w:pPr>
              <w:pStyle w:val="Normal-Table"/>
            </w:pPr>
            <w:r>
              <w:t>DNFR-05</w:t>
            </w:r>
          </w:p>
        </w:tc>
        <w:tc>
          <w:tcPr>
            <w:tcW w:w="4110" w:type="dxa"/>
            <w:shd w:val="clear" w:color="auto" w:fill="auto"/>
          </w:tcPr>
          <w:p w14:paraId="7F9CF18E" w14:textId="77777777" w:rsidR="00013FD6" w:rsidRPr="0022054F" w:rsidRDefault="00013FD6" w:rsidP="002C3F33">
            <w:pPr>
              <w:pStyle w:val="Normal-Table"/>
            </w:pPr>
            <w:r>
              <w:t>Alternate environment capacity.</w:t>
            </w:r>
          </w:p>
        </w:tc>
        <w:tc>
          <w:tcPr>
            <w:tcW w:w="3402" w:type="dxa"/>
            <w:shd w:val="clear" w:color="auto" w:fill="auto"/>
          </w:tcPr>
          <w:p w14:paraId="42EBC73A" w14:textId="77777777" w:rsidR="00013FD6" w:rsidRPr="0022054F" w:rsidRDefault="00013FD6" w:rsidP="002C3F33">
            <w:pPr>
              <w:pStyle w:val="Normal-Table"/>
            </w:pPr>
            <w:r w:rsidRPr="007B787A">
              <w:t>An alternate environment for operating the system must provide 100% of capacity of the primary environment and deliver full functionality.</w:t>
            </w:r>
          </w:p>
        </w:tc>
        <w:tc>
          <w:tcPr>
            <w:tcW w:w="5671" w:type="dxa"/>
            <w:shd w:val="clear" w:color="auto" w:fill="auto"/>
          </w:tcPr>
          <w:p w14:paraId="6A46D29C" w14:textId="77777777" w:rsidR="00013FD6" w:rsidRDefault="00013FD6" w:rsidP="002C3F33">
            <w:pPr>
              <w:pStyle w:val="Normal-Table"/>
            </w:pPr>
            <w:r>
              <w:t>Solution:</w:t>
            </w:r>
          </w:p>
          <w:p w14:paraId="3A0AA302" w14:textId="77777777" w:rsidR="00013FD6" w:rsidRPr="0022054F" w:rsidRDefault="00013FD6" w:rsidP="002C3F33">
            <w:pPr>
              <w:pStyle w:val="Normal-Table"/>
              <w:numPr>
                <w:ilvl w:val="0"/>
                <w:numId w:val="58"/>
              </w:numPr>
            </w:pPr>
            <w:r>
              <w:t>Solution DR provisions can support 100% of capacity requirements (refer</w:t>
            </w:r>
            <w:r w:rsidRPr="00F778BB">
              <w:rPr>
                <w:rStyle w:val="LocalRefChar"/>
              </w:rPr>
              <w:t xml:space="preserve"> </w:t>
            </w:r>
            <w:r w:rsidRPr="00F778BB">
              <w:rPr>
                <w:rStyle w:val="LocalRefChar"/>
              </w:rPr>
              <w:fldChar w:fldCharType="begin"/>
            </w:r>
            <w:r w:rsidRPr="00F778BB">
              <w:rPr>
                <w:rStyle w:val="LocalRefChar"/>
              </w:rPr>
              <w:instrText xml:space="preserve"> REF _Ref81904072 \r \h  \* MERGEFORMAT </w:instrText>
            </w:r>
            <w:r w:rsidRPr="00F778BB">
              <w:rPr>
                <w:rStyle w:val="LocalRefChar"/>
              </w:rPr>
            </w:r>
            <w:r w:rsidRPr="00F778BB">
              <w:rPr>
                <w:rStyle w:val="LocalRefChar"/>
              </w:rPr>
              <w:fldChar w:fldCharType="separate"/>
            </w:r>
            <w:r w:rsidRPr="00F778BB">
              <w:rPr>
                <w:rStyle w:val="LocalRefChar"/>
              </w:rPr>
              <w:t>7.3.5</w:t>
            </w:r>
            <w:r w:rsidRPr="00F778BB">
              <w:rPr>
                <w:rStyle w:val="LocalRefChar"/>
              </w:rPr>
              <w:fldChar w:fldCharType="end"/>
            </w:r>
            <w:r w:rsidRPr="00F778BB">
              <w:rPr>
                <w:rStyle w:val="LocalRefChar"/>
              </w:rPr>
              <w:t xml:space="preserve"> </w:t>
            </w:r>
            <w:r w:rsidRPr="00F778BB">
              <w:rPr>
                <w:rStyle w:val="LocalRefChar"/>
              </w:rPr>
              <w:fldChar w:fldCharType="begin"/>
            </w:r>
            <w:r w:rsidRPr="00F778BB">
              <w:rPr>
                <w:rStyle w:val="LocalRefChar"/>
              </w:rPr>
              <w:instrText xml:space="preserve"> REF _Ref81904075 \h  \* MERGEFORMAT </w:instrText>
            </w:r>
            <w:r w:rsidRPr="00F778BB">
              <w:rPr>
                <w:rStyle w:val="LocalRefChar"/>
              </w:rPr>
            </w:r>
            <w:r w:rsidRPr="00F778BB">
              <w:rPr>
                <w:rStyle w:val="LocalRefChar"/>
              </w:rPr>
              <w:fldChar w:fldCharType="separate"/>
            </w:r>
            <w:r w:rsidRPr="00F778BB">
              <w:rPr>
                <w:rStyle w:val="LocalRefChar"/>
              </w:rPr>
              <w:t>Disaster Recovery</w:t>
            </w:r>
            <w:r w:rsidRPr="00F778BB">
              <w:rPr>
                <w:rStyle w:val="LocalRefChar"/>
              </w:rPr>
              <w:fldChar w:fldCharType="end"/>
            </w:r>
            <w:r>
              <w:t>).</w:t>
            </w:r>
          </w:p>
        </w:tc>
      </w:tr>
    </w:tbl>
    <w:p w14:paraId="6A9AA83A" w14:textId="77777777" w:rsidR="00013FD6" w:rsidRPr="00406C4B" w:rsidRDefault="00013FD6" w:rsidP="00013FD6">
      <w:pPr>
        <w:pStyle w:val="Body"/>
        <w:numPr>
          <w:ilvl w:val="0"/>
          <w:numId w:val="0"/>
        </w:numPr>
        <w:ind w:left="720"/>
      </w:pPr>
    </w:p>
    <w:p w14:paraId="4A34ACAF" w14:textId="77777777" w:rsidR="00013FD6" w:rsidRDefault="00013FD6" w:rsidP="00013FD6">
      <w:pPr>
        <w:pStyle w:val="Heading3"/>
        <w:numPr>
          <w:ilvl w:val="2"/>
          <w:numId w:val="75"/>
        </w:numPr>
        <w:ind w:left="720"/>
      </w:pPr>
      <w:hyperlink w:anchor="_Toc428542028" w:history="1">
        <w:bookmarkStart w:id="8" w:name="_Toc138082975"/>
        <w:r w:rsidRPr="002221FB">
          <w:t>Security</w:t>
        </w:r>
        <w:bookmarkEnd w:id="8"/>
      </w:hyperlink>
    </w:p>
    <w:p w14:paraId="61D199D4" w14:textId="77777777" w:rsidR="00013FD6" w:rsidRPr="008A5535" w:rsidRDefault="00013FD6" w:rsidP="00013FD6">
      <w:r w:rsidRPr="008A5535">
        <w:t>“Data Confidentiality, Privacy and Integrity”</w:t>
      </w:r>
    </w:p>
    <w:p w14:paraId="41073534" w14:textId="77777777" w:rsidR="00013FD6" w:rsidRDefault="00013FD6" w:rsidP="00013FD6">
      <w:r w:rsidRPr="008A5535">
        <w:t>The ability to authenticate users and provide authorised service access at the appropriate level. To ensure information confidentiality through authorisation of access within the Ministry, privacy through protection of client information and integrity, protection of information from unauthorised, accidental, or malicious modification.</w:t>
      </w:r>
    </w:p>
    <w:tbl>
      <w:tblPr>
        <w:tblStyle w:val="GridTable4-Accent5"/>
        <w:tblW w:w="14312" w:type="dxa"/>
        <w:tblLook w:val="0420" w:firstRow="1" w:lastRow="0" w:firstColumn="0" w:lastColumn="0" w:noHBand="0" w:noVBand="1"/>
      </w:tblPr>
      <w:tblGrid>
        <w:gridCol w:w="1129"/>
        <w:gridCol w:w="3544"/>
        <w:gridCol w:w="3827"/>
        <w:gridCol w:w="5812"/>
      </w:tblGrid>
      <w:tr w:rsidR="00013FD6" w:rsidRPr="003B33E7" w14:paraId="58753F10" w14:textId="77777777" w:rsidTr="00013FD6">
        <w:trPr>
          <w:cnfStyle w:val="100000000000" w:firstRow="1" w:lastRow="0" w:firstColumn="0" w:lastColumn="0" w:oddVBand="0" w:evenVBand="0" w:oddHBand="0" w:evenHBand="0" w:firstRowFirstColumn="0" w:firstRowLastColumn="0" w:lastRowFirstColumn="0" w:lastRowLastColumn="0"/>
          <w:tblHeader/>
        </w:trPr>
        <w:tc>
          <w:tcPr>
            <w:tcW w:w="1129" w:type="dxa"/>
          </w:tcPr>
          <w:p w14:paraId="4C90E7E7" w14:textId="77777777" w:rsidR="00013FD6" w:rsidRPr="00ED45DA" w:rsidRDefault="00013FD6" w:rsidP="002C3F33">
            <w:r w:rsidRPr="00ED45DA">
              <w:t>Ref</w:t>
            </w:r>
          </w:p>
        </w:tc>
        <w:tc>
          <w:tcPr>
            <w:tcW w:w="3544" w:type="dxa"/>
          </w:tcPr>
          <w:p w14:paraId="78B2FA86" w14:textId="77777777" w:rsidR="00013FD6" w:rsidRPr="00ED45DA" w:rsidRDefault="00013FD6" w:rsidP="002C3F33">
            <w:r w:rsidRPr="00ED45DA">
              <w:t>Description</w:t>
            </w:r>
          </w:p>
        </w:tc>
        <w:tc>
          <w:tcPr>
            <w:tcW w:w="3827" w:type="dxa"/>
          </w:tcPr>
          <w:p w14:paraId="0541E649" w14:textId="77777777" w:rsidR="00013FD6" w:rsidRPr="00ED45DA" w:rsidRDefault="00013FD6" w:rsidP="002C3F33">
            <w:r w:rsidRPr="00ED45DA">
              <w:t>Target</w:t>
            </w:r>
          </w:p>
        </w:tc>
        <w:tc>
          <w:tcPr>
            <w:tcW w:w="5812" w:type="dxa"/>
          </w:tcPr>
          <w:p w14:paraId="4C2C3EE2" w14:textId="77777777" w:rsidR="00013FD6" w:rsidRPr="00ED45DA" w:rsidRDefault="00013FD6" w:rsidP="002C3F33">
            <w:r w:rsidRPr="00ED45DA">
              <w:t>Solution Traceability</w:t>
            </w:r>
          </w:p>
        </w:tc>
      </w:tr>
      <w:tr w:rsidR="00013FD6" w:rsidRPr="00B626DE" w14:paraId="21137175" w14:textId="77777777" w:rsidTr="00013FD6">
        <w:trPr>
          <w:cnfStyle w:val="000000100000" w:firstRow="0" w:lastRow="0" w:firstColumn="0" w:lastColumn="0" w:oddVBand="0" w:evenVBand="0" w:oddHBand="1" w:evenHBand="0" w:firstRowFirstColumn="0" w:firstRowLastColumn="0" w:lastRowFirstColumn="0" w:lastRowLastColumn="0"/>
          <w:trHeight w:val="311"/>
        </w:trPr>
        <w:tc>
          <w:tcPr>
            <w:tcW w:w="1129" w:type="dxa"/>
            <w:shd w:val="clear" w:color="auto" w:fill="auto"/>
          </w:tcPr>
          <w:p w14:paraId="25013649" w14:textId="77777777" w:rsidR="00013FD6" w:rsidRPr="00E26B10" w:rsidRDefault="00013FD6" w:rsidP="002C3F33">
            <w:pPr>
              <w:pStyle w:val="Normal-Table"/>
              <w:rPr>
                <w:rFonts w:eastAsia="Times New Roman" w:cs="Times New Roman"/>
                <w:lang w:eastAsia="en-NZ"/>
              </w:rPr>
            </w:pPr>
            <w:r>
              <w:t>DNFR-06</w:t>
            </w:r>
          </w:p>
        </w:tc>
        <w:tc>
          <w:tcPr>
            <w:tcW w:w="3544" w:type="dxa"/>
            <w:shd w:val="clear" w:color="auto" w:fill="auto"/>
          </w:tcPr>
          <w:p w14:paraId="77BB5D3F" w14:textId="55C2D6C1" w:rsidR="00013FD6" w:rsidRPr="00E26B10" w:rsidRDefault="00013FD6" w:rsidP="002C3F33">
            <w:pPr>
              <w:pStyle w:val="Normal-Table"/>
              <w:rPr>
                <w:lang w:eastAsia="en-NZ"/>
              </w:rPr>
            </w:pPr>
            <w:r w:rsidRPr="00E26B10">
              <w:rPr>
                <w:lang w:eastAsia="en-NZ"/>
              </w:rPr>
              <w:t xml:space="preserve">The ability to deliver a secure system i.e. one with a level of </w:t>
            </w:r>
            <w:r w:rsidRPr="00E26B10">
              <w:rPr>
                <w:lang w:eastAsia="en-NZ"/>
              </w:rPr>
              <w:lastRenderedPageBreak/>
              <w:t xml:space="preserve">security risk that has been accepted by </w:t>
            </w:r>
            <w:r>
              <w:rPr>
                <w:lang w:eastAsia="en-NZ"/>
              </w:rPr>
              <w:t>{Org}</w:t>
            </w:r>
            <w:r w:rsidRPr="00E26B10">
              <w:rPr>
                <w:lang w:eastAsia="en-NZ"/>
              </w:rPr>
              <w:t>.</w:t>
            </w:r>
          </w:p>
        </w:tc>
        <w:tc>
          <w:tcPr>
            <w:tcW w:w="3827" w:type="dxa"/>
            <w:shd w:val="clear" w:color="auto" w:fill="FFFFFF" w:themeFill="background1"/>
          </w:tcPr>
          <w:p w14:paraId="69F52E19" w14:textId="77777777" w:rsidR="00013FD6" w:rsidRPr="00E26B10" w:rsidRDefault="00013FD6" w:rsidP="002C3F33">
            <w:pPr>
              <w:pStyle w:val="Normal-Table"/>
              <w:rPr>
                <w:lang w:eastAsia="en-NZ"/>
              </w:rPr>
            </w:pPr>
            <w:r w:rsidRPr="00E26B10">
              <w:rPr>
                <w:lang w:eastAsia="en-NZ"/>
              </w:rPr>
              <w:lastRenderedPageBreak/>
              <w:t>This NFR is met via the security accreditation process.</w:t>
            </w:r>
          </w:p>
        </w:tc>
        <w:tc>
          <w:tcPr>
            <w:tcW w:w="5812" w:type="dxa"/>
            <w:shd w:val="clear" w:color="auto" w:fill="FFFFFF" w:themeFill="background1"/>
          </w:tcPr>
          <w:p w14:paraId="7DF66ACA" w14:textId="77777777" w:rsidR="00013FD6" w:rsidRPr="002A70FA" w:rsidRDefault="00013FD6" w:rsidP="002C3F33">
            <w:pPr>
              <w:pStyle w:val="SmallBody"/>
              <w:rPr>
                <w:sz w:val="20"/>
                <w:szCs w:val="20"/>
              </w:rPr>
            </w:pPr>
            <w:r w:rsidRPr="002A70FA">
              <w:rPr>
                <w:sz w:val="20"/>
                <w:szCs w:val="20"/>
              </w:rPr>
              <w:t>Solution:</w:t>
            </w:r>
          </w:p>
          <w:p w14:paraId="716BD54B" w14:textId="43CDCA8E" w:rsidR="00013FD6" w:rsidRPr="00414072" w:rsidRDefault="00013FD6" w:rsidP="002C3F33">
            <w:pPr>
              <w:pStyle w:val="SmallBody"/>
              <w:numPr>
                <w:ilvl w:val="0"/>
                <w:numId w:val="8"/>
              </w:numPr>
              <w:rPr>
                <w:sz w:val="20"/>
                <w:szCs w:val="20"/>
              </w:rPr>
            </w:pPr>
            <w:r w:rsidRPr="002A70FA">
              <w:rPr>
                <w:sz w:val="20"/>
                <w:szCs w:val="20"/>
              </w:rPr>
              <w:lastRenderedPageBreak/>
              <w:t xml:space="preserve">This NFR is met via </w:t>
            </w:r>
            <w:r>
              <w:rPr>
                <w:sz w:val="20"/>
                <w:szCs w:val="20"/>
              </w:rPr>
              <w:t xml:space="preserve">application of relevant security principles to the design (validated by the </w:t>
            </w:r>
            <w:r w:rsidRPr="002A70FA">
              <w:rPr>
                <w:sz w:val="20"/>
                <w:szCs w:val="20"/>
              </w:rPr>
              <w:fldChar w:fldCharType="begin"/>
            </w:r>
            <w:r w:rsidRPr="002A70FA">
              <w:rPr>
                <w:sz w:val="20"/>
                <w:szCs w:val="20"/>
              </w:rPr>
              <w:instrText xml:space="preserve"> TITLE   \* MERGEFORMAT </w:instrText>
            </w:r>
            <w:r w:rsidRPr="002A70FA">
              <w:rPr>
                <w:sz w:val="20"/>
                <w:szCs w:val="20"/>
              </w:rPr>
              <w:fldChar w:fldCharType="separate"/>
            </w:r>
            <w:r>
              <w:rPr>
                <w:sz w:val="20"/>
                <w:szCs w:val="20"/>
              </w:rPr>
              <w:t>{</w:t>
            </w:r>
            <w:proofErr w:type="spellStart"/>
            <w:r>
              <w:rPr>
                <w:sz w:val="20"/>
                <w:szCs w:val="20"/>
              </w:rPr>
              <w:t>Soltn</w:t>
            </w:r>
            <w:proofErr w:type="spellEnd"/>
            <w:r>
              <w:rPr>
                <w:sz w:val="20"/>
                <w:szCs w:val="20"/>
              </w:rPr>
              <w:t>}</w:t>
            </w:r>
            <w:r>
              <w:rPr>
                <w:sz w:val="20"/>
                <w:szCs w:val="20"/>
              </w:rPr>
              <w:t xml:space="preserve"> </w:t>
            </w:r>
            <w:r>
              <w:rPr>
                <w:sz w:val="20"/>
                <w:szCs w:val="20"/>
              </w:rPr>
              <w:t>{</w:t>
            </w:r>
            <w:proofErr w:type="spellStart"/>
            <w:r>
              <w:rPr>
                <w:sz w:val="20"/>
                <w:szCs w:val="20"/>
              </w:rPr>
              <w:t>Soltn</w:t>
            </w:r>
            <w:proofErr w:type="spellEnd"/>
            <w:r>
              <w:rPr>
                <w:sz w:val="20"/>
                <w:szCs w:val="20"/>
              </w:rPr>
              <w:t>}</w:t>
            </w:r>
            <w:r w:rsidRPr="002A70FA">
              <w:rPr>
                <w:sz w:val="20"/>
                <w:szCs w:val="20"/>
              </w:rPr>
              <w:fldChar w:fldCharType="end"/>
            </w:r>
            <w:r w:rsidRPr="002A70FA">
              <w:rPr>
                <w:sz w:val="20"/>
                <w:szCs w:val="20"/>
              </w:rPr>
              <w:t xml:space="preserve"> solution security accreditation process</w:t>
            </w:r>
            <w:r>
              <w:rPr>
                <w:sz w:val="20"/>
                <w:szCs w:val="20"/>
              </w:rPr>
              <w:t>)</w:t>
            </w:r>
            <w:r w:rsidRPr="002A70FA">
              <w:rPr>
                <w:sz w:val="20"/>
                <w:szCs w:val="20"/>
              </w:rPr>
              <w:t xml:space="preserve">. </w:t>
            </w:r>
          </w:p>
          <w:p w14:paraId="50E29FA6" w14:textId="77777777" w:rsidR="00013FD6" w:rsidRPr="00E26B10" w:rsidRDefault="00013FD6" w:rsidP="002C3F33">
            <w:pPr>
              <w:pStyle w:val="SmallBody"/>
            </w:pPr>
            <w:r w:rsidRPr="002A70FA">
              <w:rPr>
                <w:sz w:val="20"/>
                <w:szCs w:val="20"/>
              </w:rPr>
              <w:t xml:space="preserve">Refer: </w:t>
            </w:r>
            <w:r w:rsidRPr="00F778BB">
              <w:rPr>
                <w:rStyle w:val="LocalRefChar"/>
              </w:rPr>
              <w:fldChar w:fldCharType="begin"/>
            </w:r>
            <w:r w:rsidRPr="00F778BB">
              <w:rPr>
                <w:rStyle w:val="LocalRefChar"/>
              </w:rPr>
              <w:instrText xml:space="preserve"> REF _Ref76128252 \r \h  \* MERGEFORMAT </w:instrText>
            </w:r>
            <w:r w:rsidRPr="00F778BB">
              <w:rPr>
                <w:rStyle w:val="LocalRefChar"/>
              </w:rPr>
            </w:r>
            <w:r w:rsidRPr="00F778BB">
              <w:rPr>
                <w:rStyle w:val="LocalRefChar"/>
              </w:rPr>
              <w:fldChar w:fldCharType="separate"/>
            </w:r>
            <w:r w:rsidRPr="00F778BB">
              <w:rPr>
                <w:rStyle w:val="LocalRefChar"/>
              </w:rPr>
              <w:t>7.1</w:t>
            </w:r>
            <w:r w:rsidRPr="00F778BB">
              <w:rPr>
                <w:rStyle w:val="LocalRefChar"/>
              </w:rPr>
              <w:fldChar w:fldCharType="end"/>
            </w:r>
            <w:r w:rsidRPr="00F778BB">
              <w:rPr>
                <w:rStyle w:val="LocalRefChar"/>
              </w:rPr>
              <w:t xml:space="preserve"> </w:t>
            </w:r>
            <w:r w:rsidRPr="00F778BB">
              <w:rPr>
                <w:rStyle w:val="LocalRefChar"/>
              </w:rPr>
              <w:fldChar w:fldCharType="begin"/>
            </w:r>
            <w:r w:rsidRPr="00F778BB">
              <w:rPr>
                <w:rStyle w:val="LocalRefChar"/>
              </w:rPr>
              <w:instrText xml:space="preserve"> REF _Ref76128238 \h  \* MERGEFORMAT </w:instrText>
            </w:r>
            <w:r w:rsidRPr="00F778BB">
              <w:rPr>
                <w:rStyle w:val="LocalRefChar"/>
              </w:rPr>
            </w:r>
            <w:r w:rsidRPr="00F778BB">
              <w:rPr>
                <w:rStyle w:val="LocalRefChar"/>
              </w:rPr>
              <w:fldChar w:fldCharType="separate"/>
            </w:r>
            <w:r w:rsidRPr="00F778BB">
              <w:rPr>
                <w:rStyle w:val="LocalRefChar"/>
              </w:rPr>
              <w:t>Security View</w:t>
            </w:r>
            <w:r w:rsidRPr="00F778BB">
              <w:rPr>
                <w:rStyle w:val="LocalRefChar"/>
              </w:rPr>
              <w:fldChar w:fldCharType="end"/>
            </w:r>
          </w:p>
        </w:tc>
      </w:tr>
    </w:tbl>
    <w:p w14:paraId="01F45A4B" w14:textId="77777777" w:rsidR="00013FD6" w:rsidRPr="008A5535" w:rsidRDefault="00013FD6" w:rsidP="00013FD6"/>
    <w:p w14:paraId="163898FC" w14:textId="77777777" w:rsidR="00013FD6" w:rsidRDefault="00013FD6" w:rsidP="00013FD6">
      <w:pPr>
        <w:pStyle w:val="Heading3"/>
        <w:numPr>
          <w:ilvl w:val="2"/>
          <w:numId w:val="75"/>
        </w:numPr>
        <w:ind w:left="720"/>
      </w:pPr>
      <w:hyperlink w:anchor="_Toc428542029" w:history="1">
        <w:bookmarkStart w:id="9" w:name="_Toc138082976"/>
        <w:r w:rsidRPr="002221FB">
          <w:t>Performance</w:t>
        </w:r>
        <w:bookmarkEnd w:id="9"/>
      </w:hyperlink>
    </w:p>
    <w:p w14:paraId="1451B5B2" w14:textId="77777777" w:rsidR="00013FD6" w:rsidRPr="003E19DC" w:rsidRDefault="00013FD6" w:rsidP="00013FD6">
      <w:r w:rsidRPr="003E19DC">
        <w:t>“Efficiency, Throughput, Response Time, Batch Windows and Capacity”</w:t>
      </w:r>
    </w:p>
    <w:p w14:paraId="1DB43659" w14:textId="77777777" w:rsidR="00013FD6" w:rsidRDefault="00013FD6" w:rsidP="00013FD6">
      <w:r w:rsidRPr="003E19DC">
        <w:t>The system’s ability to complete defined volumes of business transactions (real-time and batch operations) consistently within acceptable times.</w:t>
      </w:r>
    </w:p>
    <w:tbl>
      <w:tblPr>
        <w:tblStyle w:val="GridTable4-Accent5"/>
        <w:tblW w:w="14312" w:type="dxa"/>
        <w:tblLook w:val="0420" w:firstRow="1" w:lastRow="0" w:firstColumn="0" w:lastColumn="0" w:noHBand="0" w:noVBand="1"/>
      </w:tblPr>
      <w:tblGrid>
        <w:gridCol w:w="1129"/>
        <w:gridCol w:w="3544"/>
        <w:gridCol w:w="3827"/>
        <w:gridCol w:w="5812"/>
      </w:tblGrid>
      <w:tr w:rsidR="00013FD6" w:rsidRPr="003B33E7" w14:paraId="53425A5D" w14:textId="77777777" w:rsidTr="00013FD6">
        <w:trPr>
          <w:cnfStyle w:val="100000000000" w:firstRow="1" w:lastRow="0" w:firstColumn="0" w:lastColumn="0" w:oddVBand="0" w:evenVBand="0" w:oddHBand="0" w:evenHBand="0" w:firstRowFirstColumn="0" w:firstRowLastColumn="0" w:lastRowFirstColumn="0" w:lastRowLastColumn="0"/>
          <w:cantSplit/>
          <w:tblHeader/>
        </w:trPr>
        <w:tc>
          <w:tcPr>
            <w:tcW w:w="1129" w:type="dxa"/>
          </w:tcPr>
          <w:p w14:paraId="2595AF27" w14:textId="77777777" w:rsidR="00013FD6" w:rsidRPr="00ED45DA" w:rsidRDefault="00013FD6" w:rsidP="002C3F33">
            <w:r w:rsidRPr="00ED45DA">
              <w:t>Ref</w:t>
            </w:r>
          </w:p>
        </w:tc>
        <w:tc>
          <w:tcPr>
            <w:tcW w:w="3544" w:type="dxa"/>
          </w:tcPr>
          <w:p w14:paraId="4A9EAAB0" w14:textId="77777777" w:rsidR="00013FD6" w:rsidRPr="00ED45DA" w:rsidRDefault="00013FD6" w:rsidP="002C3F33">
            <w:r w:rsidRPr="00ED45DA">
              <w:t>Description</w:t>
            </w:r>
          </w:p>
        </w:tc>
        <w:tc>
          <w:tcPr>
            <w:tcW w:w="3827" w:type="dxa"/>
          </w:tcPr>
          <w:p w14:paraId="4406EE97" w14:textId="77777777" w:rsidR="00013FD6" w:rsidRPr="00ED45DA" w:rsidRDefault="00013FD6" w:rsidP="002C3F33">
            <w:r w:rsidRPr="00ED45DA">
              <w:t>Target</w:t>
            </w:r>
          </w:p>
        </w:tc>
        <w:tc>
          <w:tcPr>
            <w:tcW w:w="5812" w:type="dxa"/>
          </w:tcPr>
          <w:p w14:paraId="58FBE9BA" w14:textId="77777777" w:rsidR="00013FD6" w:rsidRPr="00ED45DA" w:rsidRDefault="00013FD6" w:rsidP="002C3F33">
            <w:r w:rsidRPr="00ED45DA">
              <w:t>Solution Traceability</w:t>
            </w:r>
          </w:p>
        </w:tc>
      </w:tr>
      <w:tr w:rsidR="00013FD6" w:rsidRPr="00B626DE" w14:paraId="6A3D59D3" w14:textId="77777777" w:rsidTr="00013FD6">
        <w:trPr>
          <w:cnfStyle w:val="000000100000" w:firstRow="0" w:lastRow="0" w:firstColumn="0" w:lastColumn="0" w:oddVBand="0" w:evenVBand="0" w:oddHBand="1" w:evenHBand="0" w:firstRowFirstColumn="0" w:firstRowLastColumn="0" w:lastRowFirstColumn="0" w:lastRowLastColumn="0"/>
          <w:cantSplit/>
          <w:trHeight w:val="311"/>
        </w:trPr>
        <w:tc>
          <w:tcPr>
            <w:tcW w:w="1129" w:type="dxa"/>
            <w:shd w:val="clear" w:color="auto" w:fill="auto"/>
          </w:tcPr>
          <w:p w14:paraId="33917ACD" w14:textId="77777777" w:rsidR="00013FD6" w:rsidRPr="00E26B10" w:rsidRDefault="00013FD6" w:rsidP="002C3F33">
            <w:pPr>
              <w:pStyle w:val="Normal-Table"/>
              <w:rPr>
                <w:rFonts w:eastAsia="Times New Roman" w:cs="Times New Roman"/>
                <w:lang w:eastAsia="en-NZ"/>
              </w:rPr>
            </w:pPr>
            <w:r>
              <w:t>DNFR-07</w:t>
            </w:r>
          </w:p>
        </w:tc>
        <w:tc>
          <w:tcPr>
            <w:tcW w:w="3544" w:type="dxa"/>
            <w:shd w:val="clear" w:color="auto" w:fill="auto"/>
          </w:tcPr>
          <w:p w14:paraId="512668E1" w14:textId="77777777" w:rsidR="00013FD6" w:rsidRDefault="00013FD6" w:rsidP="002C3F33">
            <w:pPr>
              <w:pStyle w:val="Normal-Table"/>
            </w:pPr>
            <w:r>
              <w:t>The ability to deliver acceptable response times including during periods of peak demand.</w:t>
            </w:r>
          </w:p>
          <w:p w14:paraId="49926651" w14:textId="77777777" w:rsidR="00013FD6" w:rsidRPr="00571120" w:rsidRDefault="00013FD6" w:rsidP="002C3F33">
            <w:pPr>
              <w:pStyle w:val="Normal-Table"/>
            </w:pPr>
          </w:p>
        </w:tc>
        <w:tc>
          <w:tcPr>
            <w:tcW w:w="3827" w:type="dxa"/>
            <w:shd w:val="clear" w:color="auto" w:fill="FFFFFF" w:themeFill="background1"/>
          </w:tcPr>
          <w:p w14:paraId="106BFE75" w14:textId="067403B8" w:rsidR="00013FD6" w:rsidRDefault="00013FD6" w:rsidP="002C3F33">
            <w:pPr>
              <w:pStyle w:val="Normal-Table"/>
            </w:pPr>
            <w:r>
              <w:t xml:space="preserve">Once platforms and systems are available </w:t>
            </w:r>
            <w:r>
              <w:t>{Org}</w:t>
            </w:r>
            <w:r>
              <w:t xml:space="preserve"> and the project vendors will jointly identify inviolable constraints for different transaction/operation types, and what measurement conditions should apply. This will allow baselines to be established and fit-for-purpose measures for the non-functional requirements to be agreed.</w:t>
            </w:r>
          </w:p>
          <w:p w14:paraId="1A0D777E" w14:textId="77777777" w:rsidR="00013FD6" w:rsidRPr="00CF5999" w:rsidRDefault="00013FD6" w:rsidP="002C3F33">
            <w:pPr>
              <w:pStyle w:val="Normal-Table"/>
            </w:pPr>
          </w:p>
        </w:tc>
        <w:tc>
          <w:tcPr>
            <w:tcW w:w="5812" w:type="dxa"/>
            <w:shd w:val="clear" w:color="auto" w:fill="FFFFFF" w:themeFill="background1"/>
          </w:tcPr>
          <w:p w14:paraId="11ADDDF7" w14:textId="77777777" w:rsidR="00013FD6" w:rsidRDefault="00013FD6" w:rsidP="002C3F33">
            <w:pPr>
              <w:pStyle w:val="Normal-Table"/>
            </w:pPr>
            <w:r>
              <w:t>Interpretation/Assumptions:</w:t>
            </w:r>
          </w:p>
          <w:p w14:paraId="56290141" w14:textId="77777777" w:rsidR="00013FD6" w:rsidRDefault="00013FD6" w:rsidP="002C3F33">
            <w:pPr>
              <w:pStyle w:val="Normal-Table"/>
              <w:numPr>
                <w:ilvl w:val="0"/>
                <w:numId w:val="26"/>
              </w:numPr>
            </w:pPr>
            <w:r>
              <w:t>Measured from when the user selects a destination until the page becomes responsive to user input.</w:t>
            </w:r>
          </w:p>
          <w:p w14:paraId="7E22011D" w14:textId="77777777" w:rsidR="00013FD6" w:rsidRDefault="00013FD6" w:rsidP="002C3F33">
            <w:pPr>
              <w:pStyle w:val="Normal-Table"/>
            </w:pPr>
            <w:r>
              <w:t>Solution:</w:t>
            </w:r>
          </w:p>
          <w:p w14:paraId="7991A1F4" w14:textId="77777777" w:rsidR="00013FD6" w:rsidRDefault="00013FD6" w:rsidP="002C3F33">
            <w:pPr>
              <w:pStyle w:val="Normal-Table"/>
              <w:numPr>
                <w:ilvl w:val="0"/>
                <w:numId w:val="35"/>
              </w:numPr>
            </w:pPr>
            <w:r>
              <w:t>The candidate transactions and response times will be utilised for capacity planning and acceptance test activities.</w:t>
            </w:r>
          </w:p>
          <w:p w14:paraId="62FF078C" w14:textId="77777777" w:rsidR="00013FD6" w:rsidRDefault="00013FD6" w:rsidP="002C3F33">
            <w:pPr>
              <w:pStyle w:val="Normal-Table"/>
              <w:numPr>
                <w:ilvl w:val="0"/>
                <w:numId w:val="35"/>
              </w:numPr>
            </w:pPr>
            <w:r>
              <w:t>Capacity planning to ensure sufficient headroom exists for technical platforms.</w:t>
            </w:r>
          </w:p>
          <w:p w14:paraId="6CD17414" w14:textId="77777777" w:rsidR="00013FD6" w:rsidRDefault="00013FD6" w:rsidP="002C3F33">
            <w:pPr>
              <w:pStyle w:val="Normal-Table"/>
              <w:numPr>
                <w:ilvl w:val="0"/>
                <w:numId w:val="35"/>
              </w:numPr>
            </w:pPr>
            <w:r>
              <w:t xml:space="preserve">The results of per-release performance testing </w:t>
            </w:r>
            <w:proofErr w:type="gramStart"/>
            <w:r>
              <w:t>is</w:t>
            </w:r>
            <w:proofErr w:type="gramEnd"/>
            <w:r>
              <w:t xml:space="preserve"> used to right-size capacity for Production.</w:t>
            </w:r>
          </w:p>
          <w:p w14:paraId="3A5F0486" w14:textId="77777777" w:rsidR="00013FD6" w:rsidRPr="007403E8" w:rsidRDefault="00013FD6" w:rsidP="002C3F33">
            <w:pPr>
              <w:pStyle w:val="Normal-Table"/>
            </w:pPr>
          </w:p>
        </w:tc>
      </w:tr>
    </w:tbl>
    <w:p w14:paraId="4EABE8FD" w14:textId="77777777" w:rsidR="00013FD6" w:rsidRPr="003E19DC" w:rsidRDefault="00013FD6" w:rsidP="00013FD6"/>
    <w:p w14:paraId="34161CFC" w14:textId="77777777" w:rsidR="00013FD6" w:rsidRDefault="00013FD6" w:rsidP="00013FD6">
      <w:pPr>
        <w:pStyle w:val="Heading3"/>
        <w:numPr>
          <w:ilvl w:val="2"/>
          <w:numId w:val="75"/>
        </w:numPr>
        <w:ind w:left="720"/>
      </w:pPr>
      <w:hyperlink w:anchor="_Toc428542030" w:history="1">
        <w:bookmarkStart w:id="10" w:name="_Toc138082977"/>
        <w:r w:rsidRPr="002221FB">
          <w:t>Scalability</w:t>
        </w:r>
        <w:bookmarkEnd w:id="10"/>
      </w:hyperlink>
    </w:p>
    <w:p w14:paraId="4F62B8AD" w14:textId="77777777" w:rsidR="00013FD6" w:rsidRPr="00BC2CA9" w:rsidRDefault="00013FD6" w:rsidP="00013FD6">
      <w:pPr>
        <w:keepNext/>
      </w:pPr>
      <w:r w:rsidRPr="00BC2CA9">
        <w:t>“Expandability and Organic Growth Capability”</w:t>
      </w:r>
    </w:p>
    <w:p w14:paraId="1953A97B" w14:textId="77777777" w:rsidR="00013FD6" w:rsidRPr="00BC2CA9" w:rsidRDefault="00013FD6" w:rsidP="00013FD6">
      <w:pPr>
        <w:keepNext/>
      </w:pPr>
      <w:r w:rsidRPr="00BC2CA9">
        <w:t xml:space="preserve">The ability of the system to accommodate future increases in the number of users, </w:t>
      </w:r>
      <w:proofErr w:type="gramStart"/>
      <w:r w:rsidRPr="00BC2CA9">
        <w:t>records</w:t>
      </w:r>
      <w:proofErr w:type="gramEnd"/>
      <w:r w:rsidRPr="00BC2CA9">
        <w:t xml:space="preserve"> and processing load without requiring significant redesign or development.</w:t>
      </w:r>
    </w:p>
    <w:tbl>
      <w:tblPr>
        <w:tblStyle w:val="GridTable4-Accent5"/>
        <w:tblW w:w="14029" w:type="dxa"/>
        <w:tblLook w:val="0420" w:firstRow="1" w:lastRow="0" w:firstColumn="0" w:lastColumn="0" w:noHBand="0" w:noVBand="1"/>
      </w:tblPr>
      <w:tblGrid>
        <w:gridCol w:w="1129"/>
        <w:gridCol w:w="3685"/>
        <w:gridCol w:w="3827"/>
        <w:gridCol w:w="5388"/>
      </w:tblGrid>
      <w:tr w:rsidR="00013FD6" w:rsidRPr="003B33E7" w14:paraId="03089DAE" w14:textId="77777777" w:rsidTr="00013FD6">
        <w:trPr>
          <w:cnfStyle w:val="100000000000" w:firstRow="1" w:lastRow="0" w:firstColumn="0" w:lastColumn="0" w:oddVBand="0" w:evenVBand="0" w:oddHBand="0" w:evenHBand="0" w:firstRowFirstColumn="0" w:firstRowLastColumn="0" w:lastRowFirstColumn="0" w:lastRowLastColumn="0"/>
          <w:cantSplit/>
          <w:tblHeader/>
        </w:trPr>
        <w:tc>
          <w:tcPr>
            <w:tcW w:w="1129" w:type="dxa"/>
          </w:tcPr>
          <w:p w14:paraId="399984FD" w14:textId="77777777" w:rsidR="00013FD6" w:rsidRPr="00ED45DA" w:rsidRDefault="00013FD6" w:rsidP="002C3F33">
            <w:pPr>
              <w:keepNext/>
            </w:pPr>
            <w:r w:rsidRPr="00ED45DA">
              <w:t>Ref</w:t>
            </w:r>
          </w:p>
        </w:tc>
        <w:tc>
          <w:tcPr>
            <w:tcW w:w="3685" w:type="dxa"/>
          </w:tcPr>
          <w:p w14:paraId="0EC5F23D" w14:textId="77777777" w:rsidR="00013FD6" w:rsidRPr="00ED45DA" w:rsidRDefault="00013FD6" w:rsidP="002C3F33">
            <w:pPr>
              <w:keepNext/>
            </w:pPr>
            <w:r w:rsidRPr="00ED45DA">
              <w:t>Description</w:t>
            </w:r>
          </w:p>
        </w:tc>
        <w:tc>
          <w:tcPr>
            <w:tcW w:w="3827" w:type="dxa"/>
          </w:tcPr>
          <w:p w14:paraId="5AEAD185" w14:textId="77777777" w:rsidR="00013FD6" w:rsidRPr="00ED45DA" w:rsidRDefault="00013FD6" w:rsidP="002C3F33">
            <w:pPr>
              <w:keepNext/>
            </w:pPr>
            <w:r w:rsidRPr="00ED45DA">
              <w:t>Target</w:t>
            </w:r>
          </w:p>
        </w:tc>
        <w:tc>
          <w:tcPr>
            <w:tcW w:w="5388" w:type="dxa"/>
          </w:tcPr>
          <w:p w14:paraId="7D74C077" w14:textId="77777777" w:rsidR="00013FD6" w:rsidRPr="00ED45DA" w:rsidRDefault="00013FD6" w:rsidP="002C3F33">
            <w:pPr>
              <w:keepNext/>
            </w:pPr>
            <w:r w:rsidRPr="00ED45DA">
              <w:t>Solution Traceability</w:t>
            </w:r>
          </w:p>
        </w:tc>
      </w:tr>
      <w:tr w:rsidR="00013FD6" w:rsidRPr="00B626DE" w14:paraId="27DA8F2F" w14:textId="77777777" w:rsidTr="00013FD6">
        <w:trPr>
          <w:cnfStyle w:val="000000100000" w:firstRow="0" w:lastRow="0" w:firstColumn="0" w:lastColumn="0" w:oddVBand="0" w:evenVBand="0" w:oddHBand="1" w:evenHBand="0" w:firstRowFirstColumn="0" w:firstRowLastColumn="0" w:lastRowFirstColumn="0" w:lastRowLastColumn="0"/>
          <w:cantSplit/>
          <w:trHeight w:val="311"/>
        </w:trPr>
        <w:tc>
          <w:tcPr>
            <w:tcW w:w="1129" w:type="dxa"/>
            <w:shd w:val="clear" w:color="auto" w:fill="auto"/>
          </w:tcPr>
          <w:p w14:paraId="7C95C6D7" w14:textId="77777777" w:rsidR="00013FD6" w:rsidRPr="00E26B10" w:rsidRDefault="00013FD6" w:rsidP="002C3F33">
            <w:pPr>
              <w:pStyle w:val="Normal-Table"/>
              <w:keepNext/>
              <w:rPr>
                <w:rFonts w:eastAsia="Times New Roman" w:cs="Times New Roman"/>
                <w:lang w:eastAsia="en-NZ"/>
              </w:rPr>
            </w:pPr>
            <w:r>
              <w:t>DNFR-08</w:t>
            </w:r>
          </w:p>
        </w:tc>
        <w:tc>
          <w:tcPr>
            <w:tcW w:w="3685" w:type="dxa"/>
            <w:shd w:val="clear" w:color="auto" w:fill="auto"/>
          </w:tcPr>
          <w:p w14:paraId="51A4D60A" w14:textId="77777777" w:rsidR="00013FD6" w:rsidRPr="00E26B10" w:rsidRDefault="00013FD6" w:rsidP="002C3F33">
            <w:pPr>
              <w:pStyle w:val="Normal-Table"/>
              <w:keepNext/>
            </w:pPr>
            <w:r w:rsidRPr="007B787A">
              <w:t xml:space="preserve">The ability to accommodate future growth in number of users, data, and processing load. </w:t>
            </w:r>
          </w:p>
        </w:tc>
        <w:tc>
          <w:tcPr>
            <w:tcW w:w="3827" w:type="dxa"/>
            <w:shd w:val="clear" w:color="auto" w:fill="FFFFFF" w:themeFill="background1"/>
          </w:tcPr>
          <w:p w14:paraId="3BB42A48" w14:textId="77777777" w:rsidR="00013FD6" w:rsidRPr="007B787A" w:rsidRDefault="00013FD6" w:rsidP="002C3F33">
            <w:pPr>
              <w:pStyle w:val="Normal-Table"/>
              <w:keepNext/>
            </w:pPr>
            <w:r w:rsidRPr="007B787A">
              <w:t xml:space="preserve">The system must be able to support the following (approximate) operational load defined as follows with </w:t>
            </w:r>
            <w:r>
              <w:t>no</w:t>
            </w:r>
            <w:r w:rsidRPr="007B787A">
              <w:t>/minimal degradation in performance:</w:t>
            </w:r>
          </w:p>
          <w:p w14:paraId="09C6CE2C" w14:textId="77777777" w:rsidR="00013FD6" w:rsidRPr="007B787A" w:rsidRDefault="00013FD6" w:rsidP="00013FD6">
            <w:pPr>
              <w:pStyle w:val="Body-Left"/>
              <w:numPr>
                <w:ilvl w:val="0"/>
                <w:numId w:val="77"/>
              </w:numPr>
            </w:pPr>
            <w:r>
              <w:t>2,150</w:t>
            </w:r>
            <w:r w:rsidRPr="007B787A">
              <w:t xml:space="preserve"> users (</w:t>
            </w:r>
            <w:r>
              <w:t xml:space="preserve">current </w:t>
            </w:r>
            <w:r w:rsidRPr="007B787A">
              <w:t>total)</w:t>
            </w:r>
          </w:p>
          <w:p w14:paraId="2AE02270" w14:textId="77777777" w:rsidR="00013FD6" w:rsidRPr="007B787A" w:rsidRDefault="00013FD6" w:rsidP="00013FD6">
            <w:pPr>
              <w:pStyle w:val="Body-Left"/>
              <w:numPr>
                <w:ilvl w:val="0"/>
                <w:numId w:val="77"/>
              </w:numPr>
            </w:pPr>
            <w:r w:rsidRPr="007B787A">
              <w:t>500 concurrent users</w:t>
            </w:r>
            <w:r>
              <w:t xml:space="preserve"> at peak times (MER and VER periods)</w:t>
            </w:r>
          </w:p>
          <w:p w14:paraId="7395DBDB" w14:textId="77777777" w:rsidR="00013FD6" w:rsidRPr="00E26B10" w:rsidRDefault="00013FD6" w:rsidP="00013FD6">
            <w:pPr>
              <w:pStyle w:val="Body-Left"/>
              <w:numPr>
                <w:ilvl w:val="0"/>
                <w:numId w:val="77"/>
              </w:numPr>
              <w:rPr>
                <w:rFonts w:cs="Times New Roman"/>
                <w:lang w:eastAsia="en-NZ"/>
              </w:rPr>
            </w:pPr>
            <w:r w:rsidRPr="0073175F">
              <w:t>An estimated 500,000 new pieces of work created each month. This includes system-generated tasks, received emails, and received calls.</w:t>
            </w:r>
          </w:p>
        </w:tc>
        <w:tc>
          <w:tcPr>
            <w:tcW w:w="5388" w:type="dxa"/>
            <w:shd w:val="clear" w:color="auto" w:fill="FFFFFF" w:themeFill="background1"/>
          </w:tcPr>
          <w:p w14:paraId="5720511A" w14:textId="77777777" w:rsidR="00013FD6" w:rsidRDefault="00013FD6" w:rsidP="002C3F33">
            <w:pPr>
              <w:pStyle w:val="Normal-Table"/>
              <w:keepNext/>
            </w:pPr>
            <w:r>
              <w:t>Solution:</w:t>
            </w:r>
          </w:p>
          <w:p w14:paraId="0DD425B2" w14:textId="77777777" w:rsidR="00013FD6" w:rsidRDefault="00013FD6" w:rsidP="002C3F33">
            <w:pPr>
              <w:pStyle w:val="Normal-Table"/>
              <w:keepNext/>
              <w:numPr>
                <w:ilvl w:val="0"/>
                <w:numId w:val="36"/>
              </w:numPr>
            </w:pPr>
            <w:r>
              <w:t>All solution cloud platforms support the ability to scale to the required operational load.</w:t>
            </w:r>
          </w:p>
          <w:p w14:paraId="1EB6C993" w14:textId="77777777" w:rsidR="00013FD6" w:rsidRDefault="00013FD6" w:rsidP="002C3F33">
            <w:pPr>
              <w:pStyle w:val="Normal-Table"/>
              <w:keepNext/>
              <w:numPr>
                <w:ilvl w:val="0"/>
                <w:numId w:val="36"/>
              </w:numPr>
            </w:pPr>
            <w:r>
              <w:t>ArcGIS on-premise server deployments can be scaled up and/or out as required to support the required operational load.</w:t>
            </w:r>
          </w:p>
          <w:p w14:paraId="655FD0CF" w14:textId="77777777" w:rsidR="00013FD6" w:rsidRPr="00E26B10" w:rsidRDefault="00013FD6" w:rsidP="002C3F33">
            <w:pPr>
              <w:pStyle w:val="LocalRef"/>
              <w:jc w:val="left"/>
            </w:pPr>
            <w:r w:rsidRPr="00574E63">
              <w:rPr>
                <w:i w:val="0"/>
                <w:iCs/>
              </w:rPr>
              <w:t xml:space="preserve">Refer </w:t>
            </w:r>
            <w:r>
              <w:fldChar w:fldCharType="begin"/>
            </w:r>
            <w:r>
              <w:instrText xml:space="preserve"> REF _Ref81903320 \h </w:instrText>
            </w:r>
            <w:r>
              <w:fldChar w:fldCharType="separate"/>
            </w:r>
            <w:r w:rsidRPr="008B4797">
              <w:t xml:space="preserve">Appendix </w:t>
            </w:r>
            <w:r>
              <w:t>A</w:t>
            </w:r>
            <w:r w:rsidRPr="008B4797">
              <w:t>: Software Licencing</w:t>
            </w:r>
            <w:r>
              <w:fldChar w:fldCharType="end"/>
            </w:r>
            <w:r>
              <w:t xml:space="preserve"> r</w:t>
            </w:r>
            <w:r w:rsidRPr="00574E63">
              <w:rPr>
                <w:i w:val="0"/>
                <w:iCs/>
              </w:rPr>
              <w:t>egarding potential licencing impact.</w:t>
            </w:r>
          </w:p>
        </w:tc>
      </w:tr>
    </w:tbl>
    <w:p w14:paraId="06B3CCD4" w14:textId="77777777" w:rsidR="00013FD6" w:rsidRPr="00BC2CA9" w:rsidRDefault="00013FD6" w:rsidP="00013FD6"/>
    <w:p w14:paraId="3AC590D2" w14:textId="77777777" w:rsidR="00013FD6" w:rsidRDefault="00013FD6" w:rsidP="00013FD6">
      <w:pPr>
        <w:pStyle w:val="Heading3"/>
        <w:numPr>
          <w:ilvl w:val="2"/>
          <w:numId w:val="75"/>
        </w:numPr>
        <w:ind w:left="720"/>
      </w:pPr>
      <w:hyperlink w:anchor="_Toc428542031" w:history="1">
        <w:bookmarkStart w:id="11" w:name="_Toc138082978"/>
        <w:r w:rsidRPr="002221FB">
          <w:t>Traceability</w:t>
        </w:r>
        <w:bookmarkEnd w:id="11"/>
      </w:hyperlink>
    </w:p>
    <w:p w14:paraId="48519DC8" w14:textId="77777777" w:rsidR="00013FD6" w:rsidRPr="00450EB1" w:rsidRDefault="00013FD6" w:rsidP="00013FD6">
      <w:r>
        <w:t>“</w:t>
      </w:r>
      <w:proofErr w:type="gramStart"/>
      <w:r w:rsidRPr="00063F71">
        <w:t>Audit-ability</w:t>
      </w:r>
      <w:proofErr w:type="gramEnd"/>
      <w:r w:rsidRPr="00063F71">
        <w:t xml:space="preserve"> and Audit trail</w:t>
      </w:r>
      <w:r>
        <w:t>”</w:t>
      </w:r>
    </w:p>
    <w:p w14:paraId="7E1EE528" w14:textId="77777777" w:rsidR="00013FD6" w:rsidRDefault="00013FD6" w:rsidP="00013FD6">
      <w:r>
        <w:t>Traceability refers to the ability to retain details of specified business, transactional and system activity and data changes including normal, abnormal and error conditions with selective control.</w:t>
      </w:r>
    </w:p>
    <w:tbl>
      <w:tblPr>
        <w:tblStyle w:val="GridTable4-Accent5"/>
        <w:tblW w:w="14029" w:type="dxa"/>
        <w:tblLook w:val="0420" w:firstRow="1" w:lastRow="0" w:firstColumn="0" w:lastColumn="0" w:noHBand="0" w:noVBand="1"/>
      </w:tblPr>
      <w:tblGrid>
        <w:gridCol w:w="1129"/>
        <w:gridCol w:w="3969"/>
        <w:gridCol w:w="3260"/>
        <w:gridCol w:w="5671"/>
      </w:tblGrid>
      <w:tr w:rsidR="00013FD6" w:rsidRPr="003B33E7" w14:paraId="04F89924" w14:textId="77777777" w:rsidTr="00013FD6">
        <w:trPr>
          <w:cnfStyle w:val="100000000000" w:firstRow="1" w:lastRow="0" w:firstColumn="0" w:lastColumn="0" w:oddVBand="0" w:evenVBand="0" w:oddHBand="0" w:evenHBand="0" w:firstRowFirstColumn="0" w:firstRowLastColumn="0" w:lastRowFirstColumn="0" w:lastRowLastColumn="0"/>
          <w:cantSplit/>
          <w:tblHeader/>
        </w:trPr>
        <w:tc>
          <w:tcPr>
            <w:tcW w:w="1129" w:type="dxa"/>
          </w:tcPr>
          <w:p w14:paraId="024A3821" w14:textId="77777777" w:rsidR="00013FD6" w:rsidRPr="00ED45DA" w:rsidRDefault="00013FD6" w:rsidP="002C3F33">
            <w:r w:rsidRPr="00ED45DA">
              <w:lastRenderedPageBreak/>
              <w:t>Ref</w:t>
            </w:r>
          </w:p>
        </w:tc>
        <w:tc>
          <w:tcPr>
            <w:tcW w:w="3969" w:type="dxa"/>
          </w:tcPr>
          <w:p w14:paraId="6F67071C" w14:textId="77777777" w:rsidR="00013FD6" w:rsidRPr="00ED45DA" w:rsidRDefault="00013FD6" w:rsidP="002C3F33">
            <w:r w:rsidRPr="00ED45DA">
              <w:t>Description</w:t>
            </w:r>
          </w:p>
        </w:tc>
        <w:tc>
          <w:tcPr>
            <w:tcW w:w="3260" w:type="dxa"/>
          </w:tcPr>
          <w:p w14:paraId="5E88A1F3" w14:textId="77777777" w:rsidR="00013FD6" w:rsidRPr="00ED45DA" w:rsidRDefault="00013FD6" w:rsidP="002C3F33">
            <w:r w:rsidRPr="00ED45DA">
              <w:t>Target</w:t>
            </w:r>
          </w:p>
        </w:tc>
        <w:tc>
          <w:tcPr>
            <w:tcW w:w="5671" w:type="dxa"/>
          </w:tcPr>
          <w:p w14:paraId="3AB9CCF5" w14:textId="77777777" w:rsidR="00013FD6" w:rsidRPr="00ED45DA" w:rsidRDefault="00013FD6" w:rsidP="002C3F33">
            <w:r w:rsidRPr="00ED45DA">
              <w:t>Solution Traceability</w:t>
            </w:r>
          </w:p>
        </w:tc>
      </w:tr>
      <w:tr w:rsidR="00013FD6" w:rsidRPr="00B626DE" w14:paraId="17EDA371" w14:textId="77777777" w:rsidTr="00013FD6">
        <w:trPr>
          <w:cnfStyle w:val="000000100000" w:firstRow="0" w:lastRow="0" w:firstColumn="0" w:lastColumn="0" w:oddVBand="0" w:evenVBand="0" w:oddHBand="1" w:evenHBand="0" w:firstRowFirstColumn="0" w:firstRowLastColumn="0" w:lastRowFirstColumn="0" w:lastRowLastColumn="0"/>
          <w:cantSplit/>
          <w:trHeight w:val="311"/>
        </w:trPr>
        <w:tc>
          <w:tcPr>
            <w:tcW w:w="1129" w:type="dxa"/>
            <w:shd w:val="clear" w:color="auto" w:fill="auto"/>
          </w:tcPr>
          <w:p w14:paraId="5017AE27" w14:textId="77777777" w:rsidR="00013FD6" w:rsidRPr="00E26B10" w:rsidRDefault="00013FD6" w:rsidP="002C3F33">
            <w:pPr>
              <w:pStyle w:val="Normal-Table"/>
              <w:rPr>
                <w:rFonts w:eastAsia="Times New Roman" w:cs="Times New Roman"/>
                <w:lang w:eastAsia="en-NZ"/>
              </w:rPr>
            </w:pPr>
            <w:r>
              <w:t>DNFR-09</w:t>
            </w:r>
          </w:p>
        </w:tc>
        <w:tc>
          <w:tcPr>
            <w:tcW w:w="3969" w:type="dxa"/>
            <w:shd w:val="clear" w:color="auto" w:fill="auto"/>
          </w:tcPr>
          <w:p w14:paraId="68B2F67D" w14:textId="67B3C13A" w:rsidR="00013FD6" w:rsidRPr="00E26B10" w:rsidRDefault="00013FD6" w:rsidP="002C3F33">
            <w:pPr>
              <w:pStyle w:val="Normal-Table"/>
              <w:rPr>
                <w:rFonts w:eastAsia="Times New Roman" w:cs="Times New Roman"/>
                <w:lang w:eastAsia="en-NZ"/>
              </w:rPr>
            </w:pPr>
            <w:r w:rsidRPr="007B787A">
              <w:t xml:space="preserve">All production changes to the system must be executed in accordance with </w:t>
            </w:r>
            <w:r>
              <w:t>{Org}</w:t>
            </w:r>
            <w:r w:rsidRPr="007B787A">
              <w:t>’s standard Production Change Process and will be logged as part of that process.</w:t>
            </w:r>
          </w:p>
        </w:tc>
        <w:tc>
          <w:tcPr>
            <w:tcW w:w="3260" w:type="dxa"/>
            <w:shd w:val="clear" w:color="auto" w:fill="FFFFFF" w:themeFill="background1"/>
          </w:tcPr>
          <w:p w14:paraId="34A710FF" w14:textId="77777777" w:rsidR="00013FD6" w:rsidRPr="00E26B10" w:rsidRDefault="00013FD6" w:rsidP="002C3F33">
            <w:pPr>
              <w:pStyle w:val="Normal-Table"/>
              <w:rPr>
                <w:lang w:eastAsia="en-NZ"/>
              </w:rPr>
            </w:pPr>
            <w:r>
              <w:rPr>
                <w:lang w:eastAsia="en-NZ"/>
              </w:rPr>
              <w:t>N/A</w:t>
            </w:r>
          </w:p>
        </w:tc>
        <w:tc>
          <w:tcPr>
            <w:tcW w:w="5671" w:type="dxa"/>
            <w:shd w:val="clear" w:color="auto" w:fill="FFFFFF" w:themeFill="background1"/>
          </w:tcPr>
          <w:p w14:paraId="0843DC95" w14:textId="46DBF345" w:rsidR="00013FD6" w:rsidRDefault="00013FD6" w:rsidP="002C3F33">
            <w:pPr>
              <w:pStyle w:val="Normal-Table"/>
            </w:pPr>
            <w:r>
              <w:t xml:space="preserve">The project will adhere to applicable </w:t>
            </w:r>
            <w:r>
              <w:t>{Org}</w:t>
            </w:r>
            <w:r>
              <w:t xml:space="preserve"> ITSM change and release management processes. Specifically:</w:t>
            </w:r>
          </w:p>
          <w:p w14:paraId="2E7200B8" w14:textId="77777777" w:rsidR="00013FD6" w:rsidRPr="00F85627" w:rsidRDefault="00013FD6" w:rsidP="002C3F33">
            <w:pPr>
              <w:pStyle w:val="Normal-Table"/>
              <w:numPr>
                <w:ilvl w:val="0"/>
                <w:numId w:val="48"/>
              </w:numPr>
            </w:pPr>
            <w:r w:rsidRPr="00F85627">
              <w:t>Obtaining the necessary approvals via both Technical Change and Change Advisory (business) boards.</w:t>
            </w:r>
          </w:p>
          <w:p w14:paraId="66925C59" w14:textId="2143566A" w:rsidR="00013FD6" w:rsidRPr="00E26B10" w:rsidRDefault="00013FD6" w:rsidP="002C3F33">
            <w:pPr>
              <w:pStyle w:val="Normal-Table"/>
              <w:numPr>
                <w:ilvl w:val="0"/>
                <w:numId w:val="48"/>
              </w:numPr>
            </w:pPr>
            <w:r>
              <w:t>For each m</w:t>
            </w:r>
            <w:r w:rsidRPr="00C13159">
              <w:t xml:space="preserve">ajor release, the </w:t>
            </w:r>
            <w:r>
              <w:t>Acceptance Into Service (AIS) s</w:t>
            </w:r>
            <w:r w:rsidRPr="00C13159">
              <w:t xml:space="preserve">chedules </w:t>
            </w:r>
            <w:r>
              <w:t xml:space="preserve">will include </w:t>
            </w:r>
            <w:r>
              <w:t>{Org}</w:t>
            </w:r>
            <w:r>
              <w:t xml:space="preserve"> Operations v</w:t>
            </w:r>
            <w:r w:rsidRPr="00C13159">
              <w:t xml:space="preserve">alidation that </w:t>
            </w:r>
            <w:r>
              <w:t xml:space="preserve">appropriate </w:t>
            </w:r>
            <w:r w:rsidRPr="00C13159">
              <w:t xml:space="preserve">Change Requests </w:t>
            </w:r>
            <w:r>
              <w:t>have been loaded (</w:t>
            </w:r>
            <w:r w:rsidRPr="00C13159">
              <w:t>and approved</w:t>
            </w:r>
            <w:r>
              <w:t xml:space="preserve">) via the </w:t>
            </w:r>
            <w:r>
              <w:t>{Org}</w:t>
            </w:r>
            <w:r>
              <w:t xml:space="preserve"> enterprise Change Management function.</w:t>
            </w:r>
          </w:p>
        </w:tc>
      </w:tr>
      <w:tr w:rsidR="00013FD6" w:rsidRPr="00B626DE" w14:paraId="3736F92D" w14:textId="77777777" w:rsidTr="00013FD6">
        <w:trPr>
          <w:cantSplit/>
          <w:trHeight w:val="286"/>
        </w:trPr>
        <w:tc>
          <w:tcPr>
            <w:tcW w:w="1129" w:type="dxa"/>
            <w:shd w:val="clear" w:color="auto" w:fill="auto"/>
          </w:tcPr>
          <w:p w14:paraId="12A3E91D" w14:textId="77777777" w:rsidR="00013FD6" w:rsidRPr="002812A6" w:rsidRDefault="00013FD6" w:rsidP="002C3F33">
            <w:pPr>
              <w:pStyle w:val="Normal-Table"/>
            </w:pPr>
            <w:r>
              <w:t>DNFR-10</w:t>
            </w:r>
          </w:p>
        </w:tc>
        <w:tc>
          <w:tcPr>
            <w:tcW w:w="3969" w:type="dxa"/>
            <w:shd w:val="clear" w:color="auto" w:fill="auto"/>
          </w:tcPr>
          <w:p w14:paraId="01981D6B" w14:textId="77777777" w:rsidR="00013FD6" w:rsidRPr="007B787A" w:rsidRDefault="00013FD6" w:rsidP="002C3F33">
            <w:pPr>
              <w:pStyle w:val="Normal-Table"/>
            </w:pPr>
            <w:r w:rsidRPr="007B787A">
              <w:t>The system must maintain a detailed audit log of all user actions.</w:t>
            </w:r>
            <w:r w:rsidRPr="007B787A">
              <w:br/>
              <w:t>At a minimum, these logs must:</w:t>
            </w:r>
          </w:p>
          <w:p w14:paraId="43AD33AA" w14:textId="77777777" w:rsidR="00013FD6" w:rsidRPr="007B787A" w:rsidRDefault="00013FD6" w:rsidP="00013FD6">
            <w:pPr>
              <w:pStyle w:val="Body-Left"/>
              <w:numPr>
                <w:ilvl w:val="0"/>
                <w:numId w:val="77"/>
              </w:numPr>
            </w:pPr>
            <w:r w:rsidRPr="007B787A">
              <w:t>Record the individual who executed the action.</w:t>
            </w:r>
          </w:p>
          <w:p w14:paraId="66A3D786" w14:textId="77777777" w:rsidR="00013FD6" w:rsidRPr="007B787A" w:rsidRDefault="00013FD6" w:rsidP="00013FD6">
            <w:pPr>
              <w:pStyle w:val="Body-Left"/>
              <w:numPr>
                <w:ilvl w:val="0"/>
                <w:numId w:val="77"/>
              </w:numPr>
            </w:pPr>
            <w:r w:rsidRPr="007B787A">
              <w:t>Record the date and time the action was executed.</w:t>
            </w:r>
          </w:p>
          <w:p w14:paraId="36902205" w14:textId="77777777" w:rsidR="00013FD6" w:rsidRPr="007B787A" w:rsidRDefault="00013FD6" w:rsidP="00013FD6">
            <w:pPr>
              <w:pStyle w:val="Body-Left"/>
              <w:numPr>
                <w:ilvl w:val="0"/>
                <w:numId w:val="77"/>
              </w:numPr>
            </w:pPr>
            <w:r w:rsidRPr="007B787A">
              <w:t>Record the significant data elements referenced, manipulated, or changed by the action.</w:t>
            </w:r>
          </w:p>
          <w:p w14:paraId="5275FAB3" w14:textId="77777777" w:rsidR="00013FD6" w:rsidRPr="0022054F" w:rsidRDefault="00013FD6" w:rsidP="00013FD6">
            <w:pPr>
              <w:pStyle w:val="Body-Left"/>
              <w:numPr>
                <w:ilvl w:val="0"/>
                <w:numId w:val="77"/>
              </w:numPr>
            </w:pPr>
            <w:r w:rsidRPr="007B787A">
              <w:t>Be retained for no less than 18 months</w:t>
            </w:r>
          </w:p>
        </w:tc>
        <w:tc>
          <w:tcPr>
            <w:tcW w:w="3260" w:type="dxa"/>
            <w:shd w:val="clear" w:color="auto" w:fill="auto"/>
          </w:tcPr>
          <w:p w14:paraId="131F798D" w14:textId="77777777" w:rsidR="00013FD6" w:rsidRPr="0022054F" w:rsidRDefault="00013FD6" w:rsidP="002C3F33">
            <w:pPr>
              <w:pStyle w:val="Normal-Table"/>
            </w:pPr>
            <w:r>
              <w:rPr>
                <w:lang w:eastAsia="en-NZ"/>
              </w:rPr>
              <w:t>N/A</w:t>
            </w:r>
          </w:p>
        </w:tc>
        <w:tc>
          <w:tcPr>
            <w:tcW w:w="5671" w:type="dxa"/>
            <w:shd w:val="clear" w:color="auto" w:fill="auto"/>
          </w:tcPr>
          <w:p w14:paraId="3986C581" w14:textId="77777777" w:rsidR="00013FD6" w:rsidRDefault="00013FD6" w:rsidP="002C3F33">
            <w:pPr>
              <w:pStyle w:val="Normal-Table"/>
            </w:pPr>
            <w:r>
              <w:t>Solution:</w:t>
            </w:r>
          </w:p>
          <w:p w14:paraId="0253B0F2" w14:textId="77777777" w:rsidR="00013FD6" w:rsidRDefault="00013FD6" w:rsidP="002C3F33">
            <w:pPr>
              <w:pStyle w:val="Normal-Table"/>
              <w:numPr>
                <w:ilvl w:val="0"/>
                <w:numId w:val="37"/>
              </w:numPr>
            </w:pPr>
            <w:r>
              <w:t xml:space="preserve">All solution technical platforms support fine grained logging of user activity (refer section </w:t>
            </w:r>
            <w:r w:rsidRPr="00574E63">
              <w:rPr>
                <w:rStyle w:val="LocalRefChar"/>
              </w:rPr>
              <w:fldChar w:fldCharType="begin"/>
            </w:r>
            <w:r w:rsidRPr="00574E63">
              <w:rPr>
                <w:rStyle w:val="LocalRefChar"/>
              </w:rPr>
              <w:instrText xml:space="preserve"> REF _Ref80857771 \r \h </w:instrText>
            </w:r>
            <w:r>
              <w:rPr>
                <w:rStyle w:val="LocalRefChar"/>
              </w:rPr>
              <w:instrText xml:space="preserve"> \* MERGEFORMAT </w:instrText>
            </w:r>
            <w:r w:rsidRPr="00574E63">
              <w:rPr>
                <w:rStyle w:val="LocalRefChar"/>
              </w:rPr>
            </w:r>
            <w:r w:rsidRPr="00574E63">
              <w:rPr>
                <w:rStyle w:val="LocalRefChar"/>
              </w:rPr>
              <w:fldChar w:fldCharType="separate"/>
            </w:r>
            <w:r w:rsidRPr="00574E63">
              <w:rPr>
                <w:rStyle w:val="LocalRefChar"/>
              </w:rPr>
              <w:t>7.2.3</w:t>
            </w:r>
            <w:r w:rsidRPr="00574E63">
              <w:rPr>
                <w:rStyle w:val="LocalRefChar"/>
              </w:rPr>
              <w:fldChar w:fldCharType="end"/>
            </w:r>
            <w:r w:rsidRPr="00574E63">
              <w:rPr>
                <w:rStyle w:val="LocalRefChar"/>
              </w:rPr>
              <w:t xml:space="preserve"> </w:t>
            </w:r>
            <w:r w:rsidRPr="00574E63">
              <w:rPr>
                <w:rStyle w:val="LocalRefChar"/>
              </w:rPr>
              <w:fldChar w:fldCharType="begin"/>
            </w:r>
            <w:r w:rsidRPr="00574E63">
              <w:rPr>
                <w:rStyle w:val="LocalRefChar"/>
              </w:rPr>
              <w:instrText xml:space="preserve"> REF _Ref80857771 \h </w:instrText>
            </w:r>
            <w:r>
              <w:rPr>
                <w:rStyle w:val="LocalRefChar"/>
              </w:rPr>
              <w:instrText xml:space="preserve"> \* MERGEFORMAT </w:instrText>
            </w:r>
            <w:r w:rsidRPr="00574E63">
              <w:rPr>
                <w:rStyle w:val="LocalRefChar"/>
              </w:rPr>
            </w:r>
            <w:r w:rsidRPr="00574E63">
              <w:rPr>
                <w:rStyle w:val="LocalRefChar"/>
              </w:rPr>
              <w:fldChar w:fldCharType="separate"/>
            </w:r>
            <w:r w:rsidRPr="00574E63">
              <w:rPr>
                <w:rStyle w:val="LocalRefChar"/>
              </w:rPr>
              <w:t>Event Collection and Management</w:t>
            </w:r>
            <w:r w:rsidRPr="00574E63">
              <w:rPr>
                <w:rStyle w:val="LocalRefChar"/>
              </w:rPr>
              <w:fldChar w:fldCharType="end"/>
            </w:r>
            <w:r>
              <w:t>).</w:t>
            </w:r>
          </w:p>
          <w:p w14:paraId="5FB7E78A" w14:textId="77777777" w:rsidR="00013FD6" w:rsidRDefault="00013FD6" w:rsidP="002C3F33">
            <w:pPr>
              <w:pStyle w:val="Normal-Table"/>
              <w:numPr>
                <w:ilvl w:val="0"/>
                <w:numId w:val="37"/>
              </w:numPr>
            </w:pPr>
            <w:r>
              <w:t xml:space="preserve">ArcGIS Enterprise (on-premise) supports the required 18 months retention (refer section </w:t>
            </w:r>
            <w:r w:rsidRPr="00574E63">
              <w:rPr>
                <w:rStyle w:val="LocalRefChar"/>
              </w:rPr>
              <w:fldChar w:fldCharType="begin"/>
            </w:r>
            <w:r w:rsidRPr="00574E63">
              <w:rPr>
                <w:rStyle w:val="LocalRefChar"/>
              </w:rPr>
              <w:instrText xml:space="preserve"> REF _Ref81249859 \r \h </w:instrText>
            </w:r>
            <w:r>
              <w:rPr>
                <w:rStyle w:val="LocalRefChar"/>
              </w:rPr>
              <w:instrText xml:space="preserve"> \* MERGEFORMAT </w:instrText>
            </w:r>
            <w:r w:rsidRPr="00574E63">
              <w:rPr>
                <w:rStyle w:val="LocalRefChar"/>
              </w:rPr>
            </w:r>
            <w:r w:rsidRPr="00574E63">
              <w:rPr>
                <w:rStyle w:val="LocalRefChar"/>
              </w:rPr>
              <w:fldChar w:fldCharType="separate"/>
            </w:r>
            <w:r w:rsidRPr="00574E63">
              <w:rPr>
                <w:rStyle w:val="LocalRefChar"/>
              </w:rPr>
              <w:t>7.2.3.3</w:t>
            </w:r>
            <w:r w:rsidRPr="00574E63">
              <w:rPr>
                <w:rStyle w:val="LocalRefChar"/>
              </w:rPr>
              <w:fldChar w:fldCharType="end"/>
            </w:r>
            <w:r w:rsidRPr="00574E63">
              <w:rPr>
                <w:rStyle w:val="LocalRefChar"/>
              </w:rPr>
              <w:t xml:space="preserve"> </w:t>
            </w:r>
            <w:r w:rsidRPr="00574E63">
              <w:rPr>
                <w:rStyle w:val="LocalRefChar"/>
              </w:rPr>
              <w:fldChar w:fldCharType="begin"/>
            </w:r>
            <w:r w:rsidRPr="00574E63">
              <w:rPr>
                <w:rStyle w:val="LocalRefChar"/>
              </w:rPr>
              <w:instrText xml:space="preserve"> REF _Ref81249859 \h </w:instrText>
            </w:r>
            <w:r>
              <w:rPr>
                <w:rStyle w:val="LocalRefChar"/>
              </w:rPr>
              <w:instrText xml:space="preserve"> \* MERGEFORMAT </w:instrText>
            </w:r>
            <w:r w:rsidRPr="00574E63">
              <w:rPr>
                <w:rStyle w:val="LocalRefChar"/>
              </w:rPr>
            </w:r>
            <w:r w:rsidRPr="00574E63">
              <w:rPr>
                <w:rStyle w:val="LocalRefChar"/>
              </w:rPr>
              <w:fldChar w:fldCharType="separate"/>
            </w:r>
            <w:r w:rsidRPr="00574E63">
              <w:rPr>
                <w:rStyle w:val="LocalRefChar"/>
              </w:rPr>
              <w:t>Diagnostic Event Map</w:t>
            </w:r>
            <w:r w:rsidRPr="00574E63">
              <w:rPr>
                <w:rStyle w:val="LocalRefChar"/>
              </w:rPr>
              <w:fldChar w:fldCharType="end"/>
            </w:r>
            <w:r>
              <w:t>).</w:t>
            </w:r>
          </w:p>
          <w:p w14:paraId="2D3A78BF" w14:textId="77777777" w:rsidR="00013FD6" w:rsidRPr="0022054F" w:rsidRDefault="00013FD6" w:rsidP="002C3F33">
            <w:pPr>
              <w:pStyle w:val="Normal-Table"/>
              <w:numPr>
                <w:ilvl w:val="0"/>
                <w:numId w:val="37"/>
              </w:numPr>
            </w:pPr>
            <w:r>
              <w:t xml:space="preserve">The ArcGIS Online and Salesforce platform user activity and data modification audit logs will be extracted and persisted to Azure Storage via a custom Azure application service (refer section </w:t>
            </w:r>
            <w:r w:rsidRPr="00AD4199">
              <w:rPr>
                <w:rStyle w:val="LocalRefChar"/>
              </w:rPr>
              <w:fldChar w:fldCharType="begin"/>
            </w:r>
            <w:r w:rsidRPr="00AD4199">
              <w:rPr>
                <w:rStyle w:val="LocalRefChar"/>
              </w:rPr>
              <w:instrText xml:space="preserve"> REF _Ref81809634 \r \h </w:instrText>
            </w:r>
            <w:r>
              <w:rPr>
                <w:rStyle w:val="LocalRefChar"/>
              </w:rPr>
              <w:instrText xml:space="preserve"> \* MERGEFORMAT </w:instrText>
            </w:r>
            <w:r w:rsidRPr="00AD4199">
              <w:rPr>
                <w:rStyle w:val="LocalRefChar"/>
              </w:rPr>
            </w:r>
            <w:r w:rsidRPr="00AD4199">
              <w:rPr>
                <w:rStyle w:val="LocalRefChar"/>
              </w:rPr>
              <w:fldChar w:fldCharType="separate"/>
            </w:r>
            <w:r w:rsidRPr="00AD4199">
              <w:rPr>
                <w:rStyle w:val="LocalRefChar"/>
              </w:rPr>
              <w:t>6.1.4.2.1</w:t>
            </w:r>
            <w:r w:rsidRPr="00AD4199">
              <w:rPr>
                <w:rStyle w:val="LocalRefChar"/>
              </w:rPr>
              <w:fldChar w:fldCharType="end"/>
            </w:r>
            <w:r w:rsidRPr="00AD4199">
              <w:rPr>
                <w:rStyle w:val="LocalRefChar"/>
              </w:rPr>
              <w:t xml:space="preserve"> </w:t>
            </w:r>
            <w:r w:rsidRPr="00AD4199">
              <w:rPr>
                <w:rStyle w:val="LocalRefChar"/>
              </w:rPr>
              <w:fldChar w:fldCharType="begin"/>
            </w:r>
            <w:r w:rsidRPr="00AD4199">
              <w:rPr>
                <w:rStyle w:val="LocalRefChar"/>
              </w:rPr>
              <w:instrText xml:space="preserve"> REF _Ref81809634 \h </w:instrText>
            </w:r>
            <w:r>
              <w:rPr>
                <w:rStyle w:val="LocalRefChar"/>
              </w:rPr>
              <w:instrText xml:space="preserve"> \* MERGEFORMAT </w:instrText>
            </w:r>
            <w:r w:rsidRPr="00AD4199">
              <w:rPr>
                <w:rStyle w:val="LocalRefChar"/>
              </w:rPr>
            </w:r>
            <w:r w:rsidRPr="00AD4199">
              <w:rPr>
                <w:rStyle w:val="LocalRefChar"/>
              </w:rPr>
              <w:fldChar w:fldCharType="separate"/>
            </w:r>
            <w:r w:rsidRPr="00AD4199">
              <w:rPr>
                <w:rStyle w:val="LocalRefChar"/>
              </w:rPr>
              <w:t>Log Aggregation</w:t>
            </w:r>
            <w:r w:rsidRPr="00AD4199">
              <w:rPr>
                <w:rStyle w:val="LocalRefChar"/>
              </w:rPr>
              <w:fldChar w:fldCharType="end"/>
            </w:r>
            <w:r>
              <w:t>).</w:t>
            </w:r>
          </w:p>
        </w:tc>
      </w:tr>
      <w:tr w:rsidR="00013FD6" w:rsidRPr="00B626DE" w14:paraId="281DA8D9" w14:textId="77777777" w:rsidTr="00013FD6">
        <w:trPr>
          <w:cnfStyle w:val="000000100000" w:firstRow="0" w:lastRow="0" w:firstColumn="0" w:lastColumn="0" w:oddVBand="0" w:evenVBand="0" w:oddHBand="1" w:evenHBand="0" w:firstRowFirstColumn="0" w:firstRowLastColumn="0" w:lastRowFirstColumn="0" w:lastRowLastColumn="0"/>
          <w:cantSplit/>
          <w:trHeight w:val="286"/>
        </w:trPr>
        <w:tc>
          <w:tcPr>
            <w:tcW w:w="1129" w:type="dxa"/>
            <w:shd w:val="clear" w:color="auto" w:fill="auto"/>
          </w:tcPr>
          <w:p w14:paraId="5301F941" w14:textId="77777777" w:rsidR="00013FD6" w:rsidRPr="002812A6" w:rsidRDefault="00013FD6" w:rsidP="002C3F33">
            <w:pPr>
              <w:pStyle w:val="Normal-Table"/>
            </w:pPr>
            <w:r>
              <w:t>DNFR-11</w:t>
            </w:r>
          </w:p>
        </w:tc>
        <w:tc>
          <w:tcPr>
            <w:tcW w:w="3969" w:type="dxa"/>
            <w:shd w:val="clear" w:color="auto" w:fill="auto"/>
          </w:tcPr>
          <w:p w14:paraId="37D350A5" w14:textId="34DAD082" w:rsidR="00013FD6" w:rsidRPr="0022054F" w:rsidRDefault="00013FD6" w:rsidP="002C3F33">
            <w:pPr>
              <w:pStyle w:val="Normal-Table"/>
            </w:pPr>
            <w:r w:rsidRPr="007B787A">
              <w:t xml:space="preserve">The system must enable </w:t>
            </w:r>
            <w:r>
              <w:t>{Org}</w:t>
            </w:r>
            <w:r w:rsidRPr="007B787A">
              <w:t xml:space="preserve"> to limit audit log access to authorised users.</w:t>
            </w:r>
          </w:p>
        </w:tc>
        <w:tc>
          <w:tcPr>
            <w:tcW w:w="3260" w:type="dxa"/>
            <w:shd w:val="clear" w:color="auto" w:fill="auto"/>
          </w:tcPr>
          <w:p w14:paraId="40C9A79A" w14:textId="77777777" w:rsidR="00013FD6" w:rsidRPr="0022054F" w:rsidRDefault="00013FD6" w:rsidP="002C3F33">
            <w:pPr>
              <w:pStyle w:val="Normal-Table"/>
            </w:pPr>
            <w:r>
              <w:rPr>
                <w:lang w:eastAsia="en-NZ"/>
              </w:rPr>
              <w:t>N/A</w:t>
            </w:r>
          </w:p>
        </w:tc>
        <w:tc>
          <w:tcPr>
            <w:tcW w:w="5671" w:type="dxa"/>
            <w:shd w:val="clear" w:color="auto" w:fill="auto"/>
          </w:tcPr>
          <w:p w14:paraId="132F9ABC" w14:textId="77777777" w:rsidR="00013FD6" w:rsidRDefault="00013FD6" w:rsidP="002C3F33">
            <w:pPr>
              <w:pStyle w:val="Normal-Table"/>
            </w:pPr>
            <w:r>
              <w:t>Solution:</w:t>
            </w:r>
          </w:p>
          <w:p w14:paraId="244FE555" w14:textId="77777777" w:rsidR="00013FD6" w:rsidRPr="0022054F" w:rsidRDefault="00013FD6" w:rsidP="002C3F33">
            <w:pPr>
              <w:pStyle w:val="Normal-Table"/>
              <w:numPr>
                <w:ilvl w:val="0"/>
                <w:numId w:val="38"/>
              </w:numPr>
            </w:pPr>
            <w:r>
              <w:t xml:space="preserve">Audit logs protected via platform and OS-level RBAC (refer section </w:t>
            </w:r>
            <w:r w:rsidRPr="00AD4199">
              <w:rPr>
                <w:rStyle w:val="LocalRefChar"/>
              </w:rPr>
              <w:fldChar w:fldCharType="begin"/>
            </w:r>
            <w:r w:rsidRPr="00AD4199">
              <w:rPr>
                <w:rStyle w:val="LocalRefChar"/>
              </w:rPr>
              <w:instrText xml:space="preserve"> REF _Ref81249859 \r \h </w:instrText>
            </w:r>
            <w:r>
              <w:rPr>
                <w:rStyle w:val="LocalRefChar"/>
              </w:rPr>
              <w:instrText xml:space="preserve"> \* MERGEFORMAT </w:instrText>
            </w:r>
            <w:r w:rsidRPr="00AD4199">
              <w:rPr>
                <w:rStyle w:val="LocalRefChar"/>
              </w:rPr>
            </w:r>
            <w:r w:rsidRPr="00AD4199">
              <w:rPr>
                <w:rStyle w:val="LocalRefChar"/>
              </w:rPr>
              <w:fldChar w:fldCharType="separate"/>
            </w:r>
            <w:r w:rsidRPr="00AD4199">
              <w:rPr>
                <w:rStyle w:val="LocalRefChar"/>
              </w:rPr>
              <w:t>7.2.3.3</w:t>
            </w:r>
            <w:r w:rsidRPr="00AD4199">
              <w:rPr>
                <w:rStyle w:val="LocalRefChar"/>
              </w:rPr>
              <w:fldChar w:fldCharType="end"/>
            </w:r>
            <w:r w:rsidRPr="00AD4199">
              <w:rPr>
                <w:rStyle w:val="LocalRefChar"/>
              </w:rPr>
              <w:t xml:space="preserve"> </w:t>
            </w:r>
            <w:r w:rsidRPr="00AD4199">
              <w:rPr>
                <w:rStyle w:val="LocalRefChar"/>
              </w:rPr>
              <w:fldChar w:fldCharType="begin"/>
            </w:r>
            <w:r w:rsidRPr="00AD4199">
              <w:rPr>
                <w:rStyle w:val="LocalRefChar"/>
              </w:rPr>
              <w:instrText xml:space="preserve"> REF _Ref81249859 \h </w:instrText>
            </w:r>
            <w:r>
              <w:rPr>
                <w:rStyle w:val="LocalRefChar"/>
              </w:rPr>
              <w:instrText xml:space="preserve"> \* MERGEFORMAT </w:instrText>
            </w:r>
            <w:r w:rsidRPr="00AD4199">
              <w:rPr>
                <w:rStyle w:val="LocalRefChar"/>
              </w:rPr>
            </w:r>
            <w:r w:rsidRPr="00AD4199">
              <w:rPr>
                <w:rStyle w:val="LocalRefChar"/>
              </w:rPr>
              <w:fldChar w:fldCharType="separate"/>
            </w:r>
            <w:r w:rsidRPr="00AD4199">
              <w:rPr>
                <w:rStyle w:val="LocalRefChar"/>
              </w:rPr>
              <w:t>Diagnostic Event Map</w:t>
            </w:r>
            <w:r w:rsidRPr="00AD4199">
              <w:rPr>
                <w:rStyle w:val="LocalRefChar"/>
              </w:rPr>
              <w:fldChar w:fldCharType="end"/>
            </w:r>
            <w:r>
              <w:t>).</w:t>
            </w:r>
          </w:p>
        </w:tc>
      </w:tr>
      <w:tr w:rsidR="00013FD6" w:rsidRPr="00B626DE" w14:paraId="4ABECA70" w14:textId="77777777" w:rsidTr="00013FD6">
        <w:trPr>
          <w:cantSplit/>
          <w:trHeight w:val="286"/>
        </w:trPr>
        <w:tc>
          <w:tcPr>
            <w:tcW w:w="1129" w:type="dxa"/>
            <w:shd w:val="clear" w:color="auto" w:fill="auto"/>
          </w:tcPr>
          <w:p w14:paraId="14E364CD" w14:textId="77777777" w:rsidR="00013FD6" w:rsidRPr="002812A6" w:rsidRDefault="00013FD6" w:rsidP="002C3F33">
            <w:pPr>
              <w:pStyle w:val="Normal-Table"/>
            </w:pPr>
            <w:r>
              <w:lastRenderedPageBreak/>
              <w:t>DNFR-12</w:t>
            </w:r>
          </w:p>
        </w:tc>
        <w:tc>
          <w:tcPr>
            <w:tcW w:w="3969" w:type="dxa"/>
            <w:shd w:val="clear" w:color="auto" w:fill="auto"/>
          </w:tcPr>
          <w:p w14:paraId="4424C7E4" w14:textId="77777777" w:rsidR="00013FD6" w:rsidRPr="0022054F" w:rsidRDefault="00013FD6" w:rsidP="002C3F33">
            <w:pPr>
              <w:pStyle w:val="Normal-Table"/>
            </w:pPr>
            <w:r w:rsidRPr="007B787A">
              <w:t xml:space="preserve">The system logs should provide for clear, relevant, and timely end to end transaction traceability. </w:t>
            </w:r>
          </w:p>
        </w:tc>
        <w:tc>
          <w:tcPr>
            <w:tcW w:w="3260" w:type="dxa"/>
            <w:shd w:val="clear" w:color="auto" w:fill="auto"/>
          </w:tcPr>
          <w:p w14:paraId="52154CE5" w14:textId="77777777" w:rsidR="00013FD6" w:rsidRPr="0022054F" w:rsidRDefault="00013FD6" w:rsidP="002C3F33">
            <w:pPr>
              <w:pStyle w:val="Normal-Table"/>
            </w:pPr>
            <w:r>
              <w:rPr>
                <w:lang w:eastAsia="en-NZ"/>
              </w:rPr>
              <w:t>N/A</w:t>
            </w:r>
          </w:p>
        </w:tc>
        <w:tc>
          <w:tcPr>
            <w:tcW w:w="5671" w:type="dxa"/>
            <w:shd w:val="clear" w:color="auto" w:fill="auto"/>
          </w:tcPr>
          <w:p w14:paraId="1633C995" w14:textId="77777777" w:rsidR="00013FD6" w:rsidRDefault="00013FD6" w:rsidP="002C3F33">
            <w:pPr>
              <w:pStyle w:val="Normal-Table"/>
            </w:pPr>
            <w:r>
              <w:t>Solution:</w:t>
            </w:r>
          </w:p>
          <w:p w14:paraId="5BC90B2E" w14:textId="77777777" w:rsidR="00013FD6" w:rsidRPr="0022054F" w:rsidRDefault="00013FD6" w:rsidP="002C3F33">
            <w:pPr>
              <w:pStyle w:val="Normal-Table"/>
              <w:numPr>
                <w:ilvl w:val="0"/>
                <w:numId w:val="43"/>
              </w:numPr>
            </w:pPr>
            <w:r>
              <w:t xml:space="preserve">Comprehensive logging of user activity and platform events (refer section </w:t>
            </w:r>
            <w:r w:rsidRPr="00AD4199">
              <w:rPr>
                <w:rStyle w:val="LocalRefChar"/>
              </w:rPr>
              <w:fldChar w:fldCharType="begin"/>
            </w:r>
            <w:r w:rsidRPr="00AD4199">
              <w:rPr>
                <w:rStyle w:val="LocalRefChar"/>
              </w:rPr>
              <w:instrText xml:space="preserve"> REF _Ref81249859 \r \h </w:instrText>
            </w:r>
            <w:r>
              <w:rPr>
                <w:rStyle w:val="LocalRefChar"/>
              </w:rPr>
              <w:instrText xml:space="preserve"> \* MERGEFORMAT </w:instrText>
            </w:r>
            <w:r w:rsidRPr="00AD4199">
              <w:rPr>
                <w:rStyle w:val="LocalRefChar"/>
              </w:rPr>
            </w:r>
            <w:r w:rsidRPr="00AD4199">
              <w:rPr>
                <w:rStyle w:val="LocalRefChar"/>
              </w:rPr>
              <w:fldChar w:fldCharType="separate"/>
            </w:r>
            <w:r w:rsidRPr="00AD4199">
              <w:rPr>
                <w:rStyle w:val="LocalRefChar"/>
              </w:rPr>
              <w:t>7.2.3.3</w:t>
            </w:r>
            <w:r w:rsidRPr="00AD4199">
              <w:rPr>
                <w:rStyle w:val="LocalRefChar"/>
              </w:rPr>
              <w:fldChar w:fldCharType="end"/>
            </w:r>
            <w:r w:rsidRPr="00AD4199">
              <w:rPr>
                <w:rStyle w:val="LocalRefChar"/>
              </w:rPr>
              <w:t xml:space="preserve"> </w:t>
            </w:r>
            <w:r w:rsidRPr="00AD4199">
              <w:rPr>
                <w:rStyle w:val="LocalRefChar"/>
              </w:rPr>
              <w:fldChar w:fldCharType="begin"/>
            </w:r>
            <w:r w:rsidRPr="00AD4199">
              <w:rPr>
                <w:rStyle w:val="LocalRefChar"/>
              </w:rPr>
              <w:instrText xml:space="preserve"> REF _Ref81249859 \h </w:instrText>
            </w:r>
            <w:r>
              <w:rPr>
                <w:rStyle w:val="LocalRefChar"/>
              </w:rPr>
              <w:instrText xml:space="preserve"> \* MERGEFORMAT </w:instrText>
            </w:r>
            <w:r w:rsidRPr="00AD4199">
              <w:rPr>
                <w:rStyle w:val="LocalRefChar"/>
              </w:rPr>
            </w:r>
            <w:r w:rsidRPr="00AD4199">
              <w:rPr>
                <w:rStyle w:val="LocalRefChar"/>
              </w:rPr>
              <w:fldChar w:fldCharType="separate"/>
            </w:r>
            <w:r w:rsidRPr="00AD4199">
              <w:rPr>
                <w:rStyle w:val="LocalRefChar"/>
              </w:rPr>
              <w:t>Diagnostic Event Map</w:t>
            </w:r>
            <w:r w:rsidRPr="00AD4199">
              <w:rPr>
                <w:rStyle w:val="LocalRefChar"/>
              </w:rPr>
              <w:fldChar w:fldCharType="end"/>
            </w:r>
            <w:r>
              <w:t>).</w:t>
            </w:r>
          </w:p>
        </w:tc>
      </w:tr>
      <w:tr w:rsidR="00013FD6" w:rsidRPr="00B626DE" w14:paraId="221C6BC0" w14:textId="77777777" w:rsidTr="00013FD6">
        <w:trPr>
          <w:cnfStyle w:val="000000100000" w:firstRow="0" w:lastRow="0" w:firstColumn="0" w:lastColumn="0" w:oddVBand="0" w:evenVBand="0" w:oddHBand="1" w:evenHBand="0" w:firstRowFirstColumn="0" w:firstRowLastColumn="0" w:lastRowFirstColumn="0" w:lastRowLastColumn="0"/>
          <w:cantSplit/>
          <w:trHeight w:val="286"/>
        </w:trPr>
        <w:tc>
          <w:tcPr>
            <w:tcW w:w="1129" w:type="dxa"/>
            <w:shd w:val="clear" w:color="auto" w:fill="auto"/>
          </w:tcPr>
          <w:p w14:paraId="146905A7" w14:textId="77777777" w:rsidR="00013FD6" w:rsidRPr="002812A6" w:rsidRDefault="00013FD6" w:rsidP="002C3F33">
            <w:pPr>
              <w:pStyle w:val="Normal-Table"/>
            </w:pPr>
            <w:r>
              <w:t>DNFR-13</w:t>
            </w:r>
          </w:p>
        </w:tc>
        <w:tc>
          <w:tcPr>
            <w:tcW w:w="3969" w:type="dxa"/>
            <w:shd w:val="clear" w:color="auto" w:fill="auto"/>
          </w:tcPr>
          <w:p w14:paraId="5E79FA3A" w14:textId="77777777" w:rsidR="00013FD6" w:rsidRPr="0022054F" w:rsidRDefault="00013FD6" w:rsidP="002C3F33">
            <w:pPr>
              <w:pStyle w:val="Normal-Table"/>
            </w:pPr>
            <w:r w:rsidRPr="007B787A">
              <w:t xml:space="preserve">Logging configuration must be external to the system so that changes can be made without affecting the system </w:t>
            </w:r>
          </w:p>
        </w:tc>
        <w:tc>
          <w:tcPr>
            <w:tcW w:w="3260" w:type="dxa"/>
            <w:shd w:val="clear" w:color="auto" w:fill="auto"/>
          </w:tcPr>
          <w:p w14:paraId="08817D48" w14:textId="77777777" w:rsidR="00013FD6" w:rsidRPr="0022054F" w:rsidRDefault="00013FD6" w:rsidP="002C3F33">
            <w:pPr>
              <w:pStyle w:val="Normal-Table"/>
            </w:pPr>
            <w:r>
              <w:rPr>
                <w:lang w:eastAsia="en-NZ"/>
              </w:rPr>
              <w:t>N/A</w:t>
            </w:r>
          </w:p>
        </w:tc>
        <w:tc>
          <w:tcPr>
            <w:tcW w:w="5671" w:type="dxa"/>
            <w:shd w:val="clear" w:color="auto" w:fill="auto"/>
          </w:tcPr>
          <w:p w14:paraId="6AAFF072" w14:textId="77777777" w:rsidR="00013FD6" w:rsidRDefault="00013FD6" w:rsidP="002C3F33">
            <w:pPr>
              <w:pStyle w:val="Normal-Table"/>
            </w:pPr>
            <w:r>
              <w:t>Solution:</w:t>
            </w:r>
          </w:p>
          <w:p w14:paraId="7AA83594" w14:textId="77777777" w:rsidR="00013FD6" w:rsidRPr="0022054F" w:rsidRDefault="00013FD6" w:rsidP="002C3F33">
            <w:pPr>
              <w:pStyle w:val="Normal-Table"/>
              <w:numPr>
                <w:ilvl w:val="0"/>
                <w:numId w:val="41"/>
              </w:numPr>
            </w:pPr>
            <w:r>
              <w:t>All solution platforms support the ability to configure audit logging independent of application deployment (refer sectio</w:t>
            </w:r>
            <w:r w:rsidRPr="00AD4199">
              <w:rPr>
                <w:rStyle w:val="LocalRefChar"/>
              </w:rPr>
              <w:t xml:space="preserve">n </w:t>
            </w:r>
            <w:r w:rsidRPr="00AD4199">
              <w:rPr>
                <w:rStyle w:val="LocalRefChar"/>
              </w:rPr>
              <w:fldChar w:fldCharType="begin"/>
            </w:r>
            <w:r w:rsidRPr="00AD4199">
              <w:rPr>
                <w:rStyle w:val="LocalRefChar"/>
              </w:rPr>
              <w:instrText xml:space="preserve"> REF _Ref81249859 \r \h </w:instrText>
            </w:r>
            <w:r>
              <w:rPr>
                <w:rStyle w:val="LocalRefChar"/>
              </w:rPr>
              <w:instrText xml:space="preserve"> \* MERGEFORMAT </w:instrText>
            </w:r>
            <w:r w:rsidRPr="00AD4199">
              <w:rPr>
                <w:rStyle w:val="LocalRefChar"/>
              </w:rPr>
            </w:r>
            <w:r w:rsidRPr="00AD4199">
              <w:rPr>
                <w:rStyle w:val="LocalRefChar"/>
              </w:rPr>
              <w:fldChar w:fldCharType="separate"/>
            </w:r>
            <w:r w:rsidRPr="00AD4199">
              <w:rPr>
                <w:rStyle w:val="LocalRefChar"/>
              </w:rPr>
              <w:t>7.2.3.3</w:t>
            </w:r>
            <w:r w:rsidRPr="00AD4199">
              <w:rPr>
                <w:rStyle w:val="LocalRefChar"/>
              </w:rPr>
              <w:fldChar w:fldCharType="end"/>
            </w:r>
            <w:r w:rsidRPr="00AD4199">
              <w:rPr>
                <w:rStyle w:val="LocalRefChar"/>
              </w:rPr>
              <w:t xml:space="preserve"> </w:t>
            </w:r>
            <w:r w:rsidRPr="00AD4199">
              <w:rPr>
                <w:rStyle w:val="LocalRefChar"/>
              </w:rPr>
              <w:fldChar w:fldCharType="begin"/>
            </w:r>
            <w:r w:rsidRPr="00AD4199">
              <w:rPr>
                <w:rStyle w:val="LocalRefChar"/>
              </w:rPr>
              <w:instrText xml:space="preserve"> REF _Ref81249859 \h </w:instrText>
            </w:r>
            <w:r>
              <w:rPr>
                <w:rStyle w:val="LocalRefChar"/>
              </w:rPr>
              <w:instrText xml:space="preserve"> \* MERGEFORMAT </w:instrText>
            </w:r>
            <w:r w:rsidRPr="00AD4199">
              <w:rPr>
                <w:rStyle w:val="LocalRefChar"/>
              </w:rPr>
            </w:r>
            <w:r w:rsidRPr="00AD4199">
              <w:rPr>
                <w:rStyle w:val="LocalRefChar"/>
              </w:rPr>
              <w:fldChar w:fldCharType="separate"/>
            </w:r>
            <w:r w:rsidRPr="00AD4199">
              <w:rPr>
                <w:rStyle w:val="LocalRefChar"/>
              </w:rPr>
              <w:t>Diagnostic Event Map</w:t>
            </w:r>
            <w:r w:rsidRPr="00AD4199">
              <w:rPr>
                <w:rStyle w:val="LocalRefChar"/>
              </w:rPr>
              <w:fldChar w:fldCharType="end"/>
            </w:r>
            <w:r>
              <w:t>).</w:t>
            </w:r>
          </w:p>
        </w:tc>
      </w:tr>
      <w:tr w:rsidR="00013FD6" w:rsidRPr="00B626DE" w14:paraId="68A06B53" w14:textId="77777777" w:rsidTr="00013FD6">
        <w:trPr>
          <w:cantSplit/>
          <w:trHeight w:val="286"/>
        </w:trPr>
        <w:tc>
          <w:tcPr>
            <w:tcW w:w="1129" w:type="dxa"/>
            <w:shd w:val="clear" w:color="auto" w:fill="auto"/>
          </w:tcPr>
          <w:p w14:paraId="375E5754" w14:textId="77777777" w:rsidR="00013FD6" w:rsidRPr="002812A6" w:rsidRDefault="00013FD6" w:rsidP="002C3F33">
            <w:pPr>
              <w:pStyle w:val="Normal-Table"/>
            </w:pPr>
            <w:r>
              <w:t>DNFR-14</w:t>
            </w:r>
          </w:p>
        </w:tc>
        <w:tc>
          <w:tcPr>
            <w:tcW w:w="3969" w:type="dxa"/>
            <w:shd w:val="clear" w:color="auto" w:fill="auto"/>
          </w:tcPr>
          <w:p w14:paraId="4003ADBA" w14:textId="77777777" w:rsidR="00013FD6" w:rsidRPr="0022054F" w:rsidRDefault="00013FD6" w:rsidP="002C3F33">
            <w:pPr>
              <w:pStyle w:val="Normal-Table"/>
            </w:pPr>
            <w:r w:rsidRPr="007B787A">
              <w:t>The system must produce a detailed log of all system administration activity and any other changes at the system level that will be kept for at least 18 months.</w:t>
            </w:r>
          </w:p>
        </w:tc>
        <w:tc>
          <w:tcPr>
            <w:tcW w:w="3260" w:type="dxa"/>
            <w:shd w:val="clear" w:color="auto" w:fill="auto"/>
          </w:tcPr>
          <w:p w14:paraId="682C824C" w14:textId="77777777" w:rsidR="00013FD6" w:rsidRPr="0022054F" w:rsidRDefault="00013FD6" w:rsidP="002C3F33">
            <w:pPr>
              <w:pStyle w:val="Normal-Table"/>
            </w:pPr>
            <w:r>
              <w:rPr>
                <w:lang w:eastAsia="en-NZ"/>
              </w:rPr>
              <w:t>N/A</w:t>
            </w:r>
          </w:p>
        </w:tc>
        <w:tc>
          <w:tcPr>
            <w:tcW w:w="5671" w:type="dxa"/>
            <w:shd w:val="clear" w:color="auto" w:fill="auto"/>
          </w:tcPr>
          <w:p w14:paraId="0E8F93A0" w14:textId="77777777" w:rsidR="00013FD6" w:rsidRDefault="00013FD6" w:rsidP="002C3F33">
            <w:pPr>
              <w:pStyle w:val="Normal-Table"/>
            </w:pPr>
            <w:r>
              <w:t>Solution:</w:t>
            </w:r>
          </w:p>
          <w:p w14:paraId="351F17D3" w14:textId="77777777" w:rsidR="00013FD6" w:rsidRDefault="00013FD6" w:rsidP="002C3F33">
            <w:pPr>
              <w:pStyle w:val="Normal-Table"/>
              <w:numPr>
                <w:ilvl w:val="0"/>
                <w:numId w:val="42"/>
              </w:numPr>
            </w:pPr>
            <w:r>
              <w:t xml:space="preserve">All solution technical platforms support fine grained logging of user (inc. admin user) and deployment and configuration activity (refer section </w:t>
            </w:r>
            <w:r w:rsidRPr="00AD4199">
              <w:rPr>
                <w:rStyle w:val="LocalRefChar"/>
              </w:rPr>
              <w:fldChar w:fldCharType="begin"/>
            </w:r>
            <w:r w:rsidRPr="00AD4199">
              <w:rPr>
                <w:rStyle w:val="LocalRefChar"/>
              </w:rPr>
              <w:instrText xml:space="preserve"> REF _Ref81249859 \r \h </w:instrText>
            </w:r>
            <w:r>
              <w:rPr>
                <w:rStyle w:val="LocalRefChar"/>
              </w:rPr>
              <w:instrText xml:space="preserve"> \* MERGEFORMAT </w:instrText>
            </w:r>
            <w:r w:rsidRPr="00AD4199">
              <w:rPr>
                <w:rStyle w:val="LocalRefChar"/>
              </w:rPr>
            </w:r>
            <w:r w:rsidRPr="00AD4199">
              <w:rPr>
                <w:rStyle w:val="LocalRefChar"/>
              </w:rPr>
              <w:fldChar w:fldCharType="separate"/>
            </w:r>
            <w:r w:rsidRPr="00AD4199">
              <w:rPr>
                <w:rStyle w:val="LocalRefChar"/>
              </w:rPr>
              <w:t>7.2.3.3</w:t>
            </w:r>
            <w:r w:rsidRPr="00AD4199">
              <w:rPr>
                <w:rStyle w:val="LocalRefChar"/>
              </w:rPr>
              <w:fldChar w:fldCharType="end"/>
            </w:r>
            <w:r w:rsidRPr="00AD4199">
              <w:rPr>
                <w:rStyle w:val="LocalRefChar"/>
              </w:rPr>
              <w:t xml:space="preserve"> </w:t>
            </w:r>
            <w:r w:rsidRPr="00AD4199">
              <w:rPr>
                <w:rStyle w:val="LocalRefChar"/>
              </w:rPr>
              <w:fldChar w:fldCharType="begin"/>
            </w:r>
            <w:r w:rsidRPr="00AD4199">
              <w:rPr>
                <w:rStyle w:val="LocalRefChar"/>
              </w:rPr>
              <w:instrText xml:space="preserve"> REF _Ref81249859 \h </w:instrText>
            </w:r>
            <w:r>
              <w:rPr>
                <w:rStyle w:val="LocalRefChar"/>
              </w:rPr>
              <w:instrText xml:space="preserve"> \* MERGEFORMAT </w:instrText>
            </w:r>
            <w:r w:rsidRPr="00AD4199">
              <w:rPr>
                <w:rStyle w:val="LocalRefChar"/>
              </w:rPr>
            </w:r>
            <w:r w:rsidRPr="00AD4199">
              <w:rPr>
                <w:rStyle w:val="LocalRefChar"/>
              </w:rPr>
              <w:fldChar w:fldCharType="separate"/>
            </w:r>
            <w:r w:rsidRPr="00AD4199">
              <w:rPr>
                <w:rStyle w:val="LocalRefChar"/>
              </w:rPr>
              <w:t>Diagnostic Event Map</w:t>
            </w:r>
            <w:r w:rsidRPr="00AD4199">
              <w:rPr>
                <w:rStyle w:val="LocalRefChar"/>
              </w:rPr>
              <w:fldChar w:fldCharType="end"/>
            </w:r>
            <w:r>
              <w:t>).</w:t>
            </w:r>
          </w:p>
          <w:p w14:paraId="04E1C40F" w14:textId="77777777" w:rsidR="00013FD6" w:rsidRDefault="00013FD6" w:rsidP="002C3F33">
            <w:pPr>
              <w:pStyle w:val="Normal-Table"/>
              <w:numPr>
                <w:ilvl w:val="0"/>
                <w:numId w:val="42"/>
              </w:numPr>
            </w:pPr>
            <w:r>
              <w:t xml:space="preserve">ArcGIS Enterprise (on-premise) supports the required 18 months retention (refer section </w:t>
            </w:r>
            <w:r w:rsidRPr="00AD4199">
              <w:rPr>
                <w:rStyle w:val="LocalRefChar"/>
              </w:rPr>
              <w:fldChar w:fldCharType="begin"/>
            </w:r>
            <w:r w:rsidRPr="00AD4199">
              <w:rPr>
                <w:rStyle w:val="LocalRefChar"/>
              </w:rPr>
              <w:instrText xml:space="preserve"> REF _Ref81249859 \r \h </w:instrText>
            </w:r>
            <w:r>
              <w:rPr>
                <w:rStyle w:val="LocalRefChar"/>
              </w:rPr>
              <w:instrText xml:space="preserve"> \* MERGEFORMAT </w:instrText>
            </w:r>
            <w:r w:rsidRPr="00AD4199">
              <w:rPr>
                <w:rStyle w:val="LocalRefChar"/>
              </w:rPr>
            </w:r>
            <w:r w:rsidRPr="00AD4199">
              <w:rPr>
                <w:rStyle w:val="LocalRefChar"/>
              </w:rPr>
              <w:fldChar w:fldCharType="separate"/>
            </w:r>
            <w:r w:rsidRPr="00AD4199">
              <w:rPr>
                <w:rStyle w:val="LocalRefChar"/>
              </w:rPr>
              <w:t>7.2.3.3</w:t>
            </w:r>
            <w:r w:rsidRPr="00AD4199">
              <w:rPr>
                <w:rStyle w:val="LocalRefChar"/>
              </w:rPr>
              <w:fldChar w:fldCharType="end"/>
            </w:r>
            <w:r w:rsidRPr="00AD4199">
              <w:rPr>
                <w:rStyle w:val="LocalRefChar"/>
              </w:rPr>
              <w:t xml:space="preserve"> </w:t>
            </w:r>
            <w:r w:rsidRPr="00AD4199">
              <w:rPr>
                <w:rStyle w:val="LocalRefChar"/>
              </w:rPr>
              <w:fldChar w:fldCharType="begin"/>
            </w:r>
            <w:r w:rsidRPr="00AD4199">
              <w:rPr>
                <w:rStyle w:val="LocalRefChar"/>
              </w:rPr>
              <w:instrText xml:space="preserve"> REF _Ref81249859 \h </w:instrText>
            </w:r>
            <w:r>
              <w:rPr>
                <w:rStyle w:val="LocalRefChar"/>
              </w:rPr>
              <w:instrText xml:space="preserve"> \* MERGEFORMAT </w:instrText>
            </w:r>
            <w:r w:rsidRPr="00AD4199">
              <w:rPr>
                <w:rStyle w:val="LocalRefChar"/>
              </w:rPr>
            </w:r>
            <w:r w:rsidRPr="00AD4199">
              <w:rPr>
                <w:rStyle w:val="LocalRefChar"/>
              </w:rPr>
              <w:fldChar w:fldCharType="separate"/>
            </w:r>
            <w:r w:rsidRPr="00AD4199">
              <w:rPr>
                <w:rStyle w:val="LocalRefChar"/>
              </w:rPr>
              <w:t>Diagnostic Event Map</w:t>
            </w:r>
            <w:r w:rsidRPr="00AD4199">
              <w:rPr>
                <w:rStyle w:val="LocalRefChar"/>
              </w:rPr>
              <w:fldChar w:fldCharType="end"/>
            </w:r>
            <w:r w:rsidRPr="00AD4199">
              <w:rPr>
                <w:rStyle w:val="LocalRefChar"/>
              </w:rPr>
              <w:t>).</w:t>
            </w:r>
          </w:p>
          <w:p w14:paraId="642B3516" w14:textId="77777777" w:rsidR="00013FD6" w:rsidRPr="0022054F" w:rsidRDefault="00013FD6" w:rsidP="002C3F33">
            <w:pPr>
              <w:pStyle w:val="Normal-Table"/>
              <w:numPr>
                <w:ilvl w:val="0"/>
                <w:numId w:val="42"/>
              </w:numPr>
            </w:pPr>
            <w:r>
              <w:t xml:space="preserve">The ArcGIS Online and Salesforce platform user activity and data modification audit logs will be extracted and persisted to Azure Storage via a custom Azure application service (refer section </w:t>
            </w:r>
            <w:r w:rsidRPr="00AD4199">
              <w:rPr>
                <w:rStyle w:val="LocalRefChar"/>
              </w:rPr>
              <w:fldChar w:fldCharType="begin"/>
            </w:r>
            <w:r w:rsidRPr="00AD4199">
              <w:rPr>
                <w:rStyle w:val="LocalRefChar"/>
              </w:rPr>
              <w:instrText xml:space="preserve"> REF _Ref81809634 \r \h </w:instrText>
            </w:r>
            <w:r>
              <w:rPr>
                <w:rStyle w:val="LocalRefChar"/>
              </w:rPr>
              <w:instrText xml:space="preserve"> \* MERGEFORMAT </w:instrText>
            </w:r>
            <w:r w:rsidRPr="00AD4199">
              <w:rPr>
                <w:rStyle w:val="LocalRefChar"/>
              </w:rPr>
            </w:r>
            <w:r w:rsidRPr="00AD4199">
              <w:rPr>
                <w:rStyle w:val="LocalRefChar"/>
              </w:rPr>
              <w:fldChar w:fldCharType="separate"/>
            </w:r>
            <w:r w:rsidRPr="00AD4199">
              <w:rPr>
                <w:rStyle w:val="LocalRefChar"/>
              </w:rPr>
              <w:t>6.1.4.2.1</w:t>
            </w:r>
            <w:r w:rsidRPr="00AD4199">
              <w:rPr>
                <w:rStyle w:val="LocalRefChar"/>
              </w:rPr>
              <w:fldChar w:fldCharType="end"/>
            </w:r>
            <w:r w:rsidRPr="00AD4199">
              <w:rPr>
                <w:rStyle w:val="LocalRefChar"/>
              </w:rPr>
              <w:t xml:space="preserve"> </w:t>
            </w:r>
            <w:r w:rsidRPr="00AD4199">
              <w:rPr>
                <w:rStyle w:val="LocalRefChar"/>
              </w:rPr>
              <w:fldChar w:fldCharType="begin"/>
            </w:r>
            <w:r w:rsidRPr="00AD4199">
              <w:rPr>
                <w:rStyle w:val="LocalRefChar"/>
              </w:rPr>
              <w:instrText xml:space="preserve"> REF _Ref81809634 \h </w:instrText>
            </w:r>
            <w:r>
              <w:rPr>
                <w:rStyle w:val="LocalRefChar"/>
              </w:rPr>
              <w:instrText xml:space="preserve"> \* MERGEFORMAT </w:instrText>
            </w:r>
            <w:r w:rsidRPr="00AD4199">
              <w:rPr>
                <w:rStyle w:val="LocalRefChar"/>
              </w:rPr>
            </w:r>
            <w:r w:rsidRPr="00AD4199">
              <w:rPr>
                <w:rStyle w:val="LocalRefChar"/>
              </w:rPr>
              <w:fldChar w:fldCharType="separate"/>
            </w:r>
            <w:r w:rsidRPr="00AD4199">
              <w:rPr>
                <w:rStyle w:val="LocalRefChar"/>
              </w:rPr>
              <w:t>Log Aggregation</w:t>
            </w:r>
            <w:r w:rsidRPr="00AD4199">
              <w:rPr>
                <w:rStyle w:val="LocalRefChar"/>
              </w:rPr>
              <w:fldChar w:fldCharType="end"/>
            </w:r>
            <w:r>
              <w:t>).</w:t>
            </w:r>
          </w:p>
        </w:tc>
      </w:tr>
      <w:tr w:rsidR="00013FD6" w:rsidRPr="00B626DE" w14:paraId="5BFEAF5B" w14:textId="77777777" w:rsidTr="00013FD6">
        <w:trPr>
          <w:cnfStyle w:val="000000100000" w:firstRow="0" w:lastRow="0" w:firstColumn="0" w:lastColumn="0" w:oddVBand="0" w:evenVBand="0" w:oddHBand="1" w:evenHBand="0" w:firstRowFirstColumn="0" w:firstRowLastColumn="0" w:lastRowFirstColumn="0" w:lastRowLastColumn="0"/>
          <w:cantSplit/>
          <w:trHeight w:val="286"/>
        </w:trPr>
        <w:tc>
          <w:tcPr>
            <w:tcW w:w="1129" w:type="dxa"/>
            <w:shd w:val="clear" w:color="auto" w:fill="auto"/>
          </w:tcPr>
          <w:p w14:paraId="6D42434A" w14:textId="77777777" w:rsidR="00013FD6" w:rsidRPr="002812A6" w:rsidRDefault="00013FD6" w:rsidP="002C3F33">
            <w:pPr>
              <w:pStyle w:val="Normal-Table"/>
            </w:pPr>
            <w:r>
              <w:t>DNFR-15</w:t>
            </w:r>
          </w:p>
        </w:tc>
        <w:tc>
          <w:tcPr>
            <w:tcW w:w="3969" w:type="dxa"/>
            <w:shd w:val="clear" w:color="auto" w:fill="auto"/>
          </w:tcPr>
          <w:p w14:paraId="35177201" w14:textId="77777777" w:rsidR="00013FD6" w:rsidRPr="0022054F" w:rsidRDefault="00013FD6" w:rsidP="002C3F33">
            <w:pPr>
              <w:pStyle w:val="Normal-Table"/>
            </w:pPr>
            <w:r w:rsidRPr="007B787A">
              <w:t>The system should be able to provide detailed logs for troubleshooting if required</w:t>
            </w:r>
          </w:p>
        </w:tc>
        <w:tc>
          <w:tcPr>
            <w:tcW w:w="3260" w:type="dxa"/>
            <w:shd w:val="clear" w:color="auto" w:fill="auto"/>
          </w:tcPr>
          <w:p w14:paraId="5F7D4F9A" w14:textId="77777777" w:rsidR="00013FD6" w:rsidRPr="0022054F" w:rsidRDefault="00013FD6" w:rsidP="002C3F33">
            <w:pPr>
              <w:pStyle w:val="Normal-Table"/>
            </w:pPr>
            <w:r>
              <w:rPr>
                <w:lang w:eastAsia="en-NZ"/>
              </w:rPr>
              <w:t>N/A</w:t>
            </w:r>
          </w:p>
        </w:tc>
        <w:tc>
          <w:tcPr>
            <w:tcW w:w="5671" w:type="dxa"/>
            <w:shd w:val="clear" w:color="auto" w:fill="auto"/>
          </w:tcPr>
          <w:p w14:paraId="6563AC79" w14:textId="77777777" w:rsidR="00013FD6" w:rsidRDefault="00013FD6" w:rsidP="002C3F33">
            <w:pPr>
              <w:pStyle w:val="Normal-Table"/>
            </w:pPr>
            <w:r>
              <w:t>Interpretation/Assumptions:</w:t>
            </w:r>
          </w:p>
          <w:p w14:paraId="3BDC7C84" w14:textId="77777777" w:rsidR="00013FD6" w:rsidRDefault="00013FD6" w:rsidP="002C3F33">
            <w:pPr>
              <w:pStyle w:val="Normal-Table"/>
              <w:numPr>
                <w:ilvl w:val="0"/>
                <w:numId w:val="39"/>
              </w:numPr>
            </w:pPr>
            <w:r>
              <w:t>The ability to configure logging verbosity applies to system activity only. The verbosity of business activity logging is specified in the functional requirements.</w:t>
            </w:r>
          </w:p>
          <w:p w14:paraId="14A1B6A3" w14:textId="77777777" w:rsidR="00013FD6" w:rsidRDefault="00013FD6" w:rsidP="002C3F33">
            <w:pPr>
              <w:pStyle w:val="Normal-Table"/>
            </w:pPr>
            <w:r>
              <w:t>Solution:</w:t>
            </w:r>
          </w:p>
          <w:p w14:paraId="1AE84729" w14:textId="77777777" w:rsidR="00013FD6" w:rsidRPr="0022054F" w:rsidRDefault="00013FD6" w:rsidP="002C3F33">
            <w:pPr>
              <w:pStyle w:val="Normal-Table"/>
              <w:numPr>
                <w:ilvl w:val="0"/>
                <w:numId w:val="40"/>
              </w:numPr>
            </w:pPr>
            <w:r>
              <w:t xml:space="preserve">All solution platforms provide detailed logs to support troubleshooting and diagnostics (refer section </w:t>
            </w:r>
            <w:r w:rsidRPr="00B30C5A">
              <w:rPr>
                <w:rStyle w:val="LocalRefChar"/>
              </w:rPr>
              <w:fldChar w:fldCharType="begin"/>
            </w:r>
            <w:r w:rsidRPr="00B30C5A">
              <w:rPr>
                <w:rStyle w:val="LocalRefChar"/>
              </w:rPr>
              <w:instrText xml:space="preserve"> REF _Ref81249859 \r \h </w:instrText>
            </w:r>
            <w:r>
              <w:rPr>
                <w:rStyle w:val="LocalRefChar"/>
              </w:rPr>
              <w:instrText xml:space="preserve"> \* MERGEFORMAT </w:instrText>
            </w:r>
            <w:r w:rsidRPr="00B30C5A">
              <w:rPr>
                <w:rStyle w:val="LocalRefChar"/>
              </w:rPr>
            </w:r>
            <w:r w:rsidRPr="00B30C5A">
              <w:rPr>
                <w:rStyle w:val="LocalRefChar"/>
              </w:rPr>
              <w:fldChar w:fldCharType="separate"/>
            </w:r>
            <w:r w:rsidRPr="00B30C5A">
              <w:rPr>
                <w:rStyle w:val="LocalRefChar"/>
              </w:rPr>
              <w:t>7.2.3.3</w:t>
            </w:r>
            <w:r w:rsidRPr="00B30C5A">
              <w:rPr>
                <w:rStyle w:val="LocalRefChar"/>
              </w:rPr>
              <w:fldChar w:fldCharType="end"/>
            </w:r>
            <w:r w:rsidRPr="00B30C5A">
              <w:rPr>
                <w:rStyle w:val="LocalRefChar"/>
              </w:rPr>
              <w:t xml:space="preserve"> </w:t>
            </w:r>
            <w:r w:rsidRPr="00B30C5A">
              <w:rPr>
                <w:rStyle w:val="LocalRefChar"/>
              </w:rPr>
              <w:fldChar w:fldCharType="begin"/>
            </w:r>
            <w:r w:rsidRPr="00B30C5A">
              <w:rPr>
                <w:rStyle w:val="LocalRefChar"/>
              </w:rPr>
              <w:instrText xml:space="preserve"> REF _Ref81249859 \h </w:instrText>
            </w:r>
            <w:r>
              <w:rPr>
                <w:rStyle w:val="LocalRefChar"/>
              </w:rPr>
              <w:instrText xml:space="preserve"> \* MERGEFORMAT </w:instrText>
            </w:r>
            <w:r w:rsidRPr="00B30C5A">
              <w:rPr>
                <w:rStyle w:val="LocalRefChar"/>
              </w:rPr>
            </w:r>
            <w:r w:rsidRPr="00B30C5A">
              <w:rPr>
                <w:rStyle w:val="LocalRefChar"/>
              </w:rPr>
              <w:fldChar w:fldCharType="separate"/>
            </w:r>
            <w:r w:rsidRPr="00B30C5A">
              <w:rPr>
                <w:rStyle w:val="LocalRefChar"/>
              </w:rPr>
              <w:t>Diagnostic Event Map</w:t>
            </w:r>
            <w:r w:rsidRPr="00B30C5A">
              <w:rPr>
                <w:rStyle w:val="LocalRefChar"/>
              </w:rPr>
              <w:fldChar w:fldCharType="end"/>
            </w:r>
            <w:r w:rsidRPr="00B30C5A">
              <w:rPr>
                <w:rStyle w:val="LocalRefChar"/>
              </w:rPr>
              <w:t>)</w:t>
            </w:r>
            <w:r>
              <w:t xml:space="preserve">.  </w:t>
            </w:r>
          </w:p>
        </w:tc>
      </w:tr>
      <w:tr w:rsidR="00013FD6" w:rsidRPr="00B626DE" w14:paraId="0DC1453D" w14:textId="77777777" w:rsidTr="00013FD6">
        <w:trPr>
          <w:cantSplit/>
          <w:trHeight w:val="286"/>
        </w:trPr>
        <w:tc>
          <w:tcPr>
            <w:tcW w:w="1129" w:type="dxa"/>
            <w:shd w:val="clear" w:color="auto" w:fill="auto"/>
          </w:tcPr>
          <w:p w14:paraId="549A307E" w14:textId="77777777" w:rsidR="00013FD6" w:rsidRPr="002812A6" w:rsidRDefault="00013FD6" w:rsidP="002C3F33">
            <w:pPr>
              <w:pStyle w:val="Normal-Table"/>
            </w:pPr>
            <w:r>
              <w:lastRenderedPageBreak/>
              <w:t>DNFR-16</w:t>
            </w:r>
          </w:p>
        </w:tc>
        <w:tc>
          <w:tcPr>
            <w:tcW w:w="3969" w:type="dxa"/>
            <w:shd w:val="clear" w:color="auto" w:fill="auto"/>
          </w:tcPr>
          <w:p w14:paraId="3CC7C4E6" w14:textId="77777777" w:rsidR="00013FD6" w:rsidRPr="0022054F" w:rsidRDefault="00013FD6" w:rsidP="002C3F33">
            <w:pPr>
              <w:pStyle w:val="Normal-Table"/>
            </w:pPr>
            <w:r w:rsidRPr="007B787A">
              <w:t>The system or connected systems must maintain a log of all managed actions. A “managed action” will include any action that alters a record and is recognised as requiring an audit trail.</w:t>
            </w:r>
          </w:p>
        </w:tc>
        <w:tc>
          <w:tcPr>
            <w:tcW w:w="3260" w:type="dxa"/>
            <w:shd w:val="clear" w:color="auto" w:fill="auto"/>
          </w:tcPr>
          <w:p w14:paraId="56D9834B" w14:textId="77777777" w:rsidR="00013FD6" w:rsidRPr="0022054F" w:rsidRDefault="00013FD6" w:rsidP="002C3F33">
            <w:pPr>
              <w:pStyle w:val="Normal-Table"/>
            </w:pPr>
            <w:r>
              <w:rPr>
                <w:lang w:eastAsia="en-NZ"/>
              </w:rPr>
              <w:t>N/A</w:t>
            </w:r>
          </w:p>
        </w:tc>
        <w:tc>
          <w:tcPr>
            <w:tcW w:w="5671" w:type="dxa"/>
            <w:shd w:val="clear" w:color="auto" w:fill="auto"/>
          </w:tcPr>
          <w:p w14:paraId="718EC8FB" w14:textId="77777777" w:rsidR="00013FD6" w:rsidRPr="0022054F" w:rsidRDefault="00013FD6" w:rsidP="002C3F33">
            <w:pPr>
              <w:pStyle w:val="Normal-Table"/>
            </w:pPr>
            <w:r>
              <w:t xml:space="preserve">Refer DNFR-10, DNFR-14. </w:t>
            </w:r>
          </w:p>
        </w:tc>
      </w:tr>
    </w:tbl>
    <w:p w14:paraId="4A89F8F8" w14:textId="77777777" w:rsidR="00013FD6" w:rsidRDefault="00013FD6" w:rsidP="00013FD6"/>
    <w:p w14:paraId="2A212AB2" w14:textId="77777777" w:rsidR="00013FD6" w:rsidRDefault="00013FD6" w:rsidP="00013FD6">
      <w:pPr>
        <w:pStyle w:val="Heading3"/>
        <w:numPr>
          <w:ilvl w:val="2"/>
          <w:numId w:val="75"/>
        </w:numPr>
        <w:ind w:left="720"/>
      </w:pPr>
      <w:hyperlink w:anchor="_Toc428542032" w:history="1">
        <w:bookmarkStart w:id="12" w:name="_Toc138082979"/>
        <w:r w:rsidRPr="002221FB">
          <w:t>Usability</w:t>
        </w:r>
        <w:bookmarkEnd w:id="12"/>
      </w:hyperlink>
    </w:p>
    <w:p w14:paraId="556FB805" w14:textId="77777777" w:rsidR="00013FD6" w:rsidRPr="00820241" w:rsidRDefault="00013FD6" w:rsidP="00013FD6">
      <w:r w:rsidRPr="00820241">
        <w:t>“Look and Feel, System Ergonomics, Ease of Use and Safety”</w:t>
      </w:r>
    </w:p>
    <w:p w14:paraId="39F36AFD" w14:textId="77777777" w:rsidR="00013FD6" w:rsidRPr="00820241" w:rsidRDefault="00013FD6" w:rsidP="00013FD6">
      <w:r w:rsidRPr="00820241">
        <w:t xml:space="preserve">The extent to which the services can be used by specified users to achieve specified goals with effectiveness, </w:t>
      </w:r>
      <w:proofErr w:type="gramStart"/>
      <w:r w:rsidRPr="00820241">
        <w:t>efficiency</w:t>
      </w:r>
      <w:proofErr w:type="gramEnd"/>
      <w:r w:rsidRPr="00820241">
        <w:t xml:space="preserve"> and satisfaction in a specified context of use.</w:t>
      </w:r>
    </w:p>
    <w:tbl>
      <w:tblPr>
        <w:tblStyle w:val="GridTable4-Accent5"/>
        <w:tblW w:w="14029" w:type="dxa"/>
        <w:tblLook w:val="0420" w:firstRow="1" w:lastRow="0" w:firstColumn="0" w:lastColumn="0" w:noHBand="0" w:noVBand="1"/>
      </w:tblPr>
      <w:tblGrid>
        <w:gridCol w:w="1129"/>
        <w:gridCol w:w="3827"/>
        <w:gridCol w:w="3685"/>
        <w:gridCol w:w="5388"/>
      </w:tblGrid>
      <w:tr w:rsidR="00013FD6" w:rsidRPr="003B33E7" w14:paraId="4302D3E8" w14:textId="77777777" w:rsidTr="00013FD6">
        <w:trPr>
          <w:cnfStyle w:val="100000000000" w:firstRow="1" w:lastRow="0" w:firstColumn="0" w:lastColumn="0" w:oddVBand="0" w:evenVBand="0" w:oddHBand="0" w:evenHBand="0" w:firstRowFirstColumn="0" w:firstRowLastColumn="0" w:lastRowFirstColumn="0" w:lastRowLastColumn="0"/>
          <w:cantSplit/>
          <w:tblHeader/>
        </w:trPr>
        <w:tc>
          <w:tcPr>
            <w:tcW w:w="1129" w:type="dxa"/>
          </w:tcPr>
          <w:p w14:paraId="4A5C3736" w14:textId="77777777" w:rsidR="00013FD6" w:rsidRPr="00ED45DA" w:rsidRDefault="00013FD6" w:rsidP="002C3F33">
            <w:r w:rsidRPr="00ED45DA">
              <w:t>Ref</w:t>
            </w:r>
          </w:p>
        </w:tc>
        <w:tc>
          <w:tcPr>
            <w:tcW w:w="3827" w:type="dxa"/>
          </w:tcPr>
          <w:p w14:paraId="10A9D1D7" w14:textId="77777777" w:rsidR="00013FD6" w:rsidRPr="00ED45DA" w:rsidRDefault="00013FD6" w:rsidP="002C3F33">
            <w:r w:rsidRPr="00ED45DA">
              <w:t>Description</w:t>
            </w:r>
          </w:p>
        </w:tc>
        <w:tc>
          <w:tcPr>
            <w:tcW w:w="3685" w:type="dxa"/>
          </w:tcPr>
          <w:p w14:paraId="5DE3D103" w14:textId="77777777" w:rsidR="00013FD6" w:rsidRPr="00ED45DA" w:rsidRDefault="00013FD6" w:rsidP="002C3F33">
            <w:r w:rsidRPr="00ED45DA">
              <w:t>Target</w:t>
            </w:r>
          </w:p>
        </w:tc>
        <w:tc>
          <w:tcPr>
            <w:tcW w:w="5388" w:type="dxa"/>
          </w:tcPr>
          <w:p w14:paraId="07D64ADE" w14:textId="77777777" w:rsidR="00013FD6" w:rsidRPr="00ED45DA" w:rsidRDefault="00013FD6" w:rsidP="002C3F33">
            <w:r w:rsidRPr="00ED45DA">
              <w:t>Solution Traceability</w:t>
            </w:r>
          </w:p>
        </w:tc>
      </w:tr>
      <w:tr w:rsidR="00013FD6" w:rsidRPr="00B626DE" w14:paraId="0928ECD9" w14:textId="77777777" w:rsidTr="00013FD6">
        <w:trPr>
          <w:cnfStyle w:val="000000100000" w:firstRow="0" w:lastRow="0" w:firstColumn="0" w:lastColumn="0" w:oddVBand="0" w:evenVBand="0" w:oddHBand="1" w:evenHBand="0" w:firstRowFirstColumn="0" w:firstRowLastColumn="0" w:lastRowFirstColumn="0" w:lastRowLastColumn="0"/>
          <w:cantSplit/>
          <w:trHeight w:val="311"/>
        </w:trPr>
        <w:tc>
          <w:tcPr>
            <w:tcW w:w="1129" w:type="dxa"/>
            <w:shd w:val="clear" w:color="auto" w:fill="auto"/>
          </w:tcPr>
          <w:p w14:paraId="5E883A08" w14:textId="77777777" w:rsidR="00013FD6" w:rsidRPr="00E26B10" w:rsidRDefault="00013FD6" w:rsidP="002C3F33">
            <w:pPr>
              <w:pStyle w:val="Normal-Table"/>
              <w:rPr>
                <w:rFonts w:eastAsia="Times New Roman" w:cs="Times New Roman"/>
                <w:lang w:eastAsia="en-NZ"/>
              </w:rPr>
            </w:pPr>
            <w:r>
              <w:t>DNFR-17</w:t>
            </w:r>
          </w:p>
        </w:tc>
        <w:tc>
          <w:tcPr>
            <w:tcW w:w="3827" w:type="dxa"/>
            <w:shd w:val="clear" w:color="auto" w:fill="auto"/>
          </w:tcPr>
          <w:p w14:paraId="16467D66" w14:textId="77777777" w:rsidR="00013FD6" w:rsidRPr="00E26B10" w:rsidRDefault="00013FD6" w:rsidP="002C3F33">
            <w:pPr>
              <w:pStyle w:val="Normal-Table"/>
              <w:rPr>
                <w:rFonts w:eastAsia="Times New Roman" w:cs="Times New Roman"/>
                <w:lang w:eastAsia="en-NZ"/>
              </w:rPr>
            </w:pPr>
            <w:r w:rsidRPr="007B787A">
              <w:t>Screens in the system should be in a print friendly format or have a downloadable version of the page.</w:t>
            </w:r>
          </w:p>
        </w:tc>
        <w:tc>
          <w:tcPr>
            <w:tcW w:w="3685" w:type="dxa"/>
            <w:shd w:val="clear" w:color="auto" w:fill="FFFFFF" w:themeFill="background1"/>
          </w:tcPr>
          <w:p w14:paraId="29456F33" w14:textId="77777777" w:rsidR="00013FD6" w:rsidRDefault="00013FD6" w:rsidP="002C3F33">
            <w:pPr>
              <w:pStyle w:val="Normal-Table"/>
            </w:pPr>
            <w:r w:rsidRPr="418162AE">
              <w:t>System should have a print CSS and support best practice for the printing of pages where users would need such functionality. This would exclude the printing of non-content specific areas such as menus, footers etc.</w:t>
            </w:r>
          </w:p>
          <w:p w14:paraId="67C7B365" w14:textId="77777777" w:rsidR="00013FD6" w:rsidRDefault="00013FD6" w:rsidP="002C3F33">
            <w:pPr>
              <w:pStyle w:val="Normal-Table"/>
            </w:pPr>
          </w:p>
          <w:p w14:paraId="733A088C" w14:textId="77777777" w:rsidR="00013FD6" w:rsidRPr="00E26B10" w:rsidRDefault="00013FD6" w:rsidP="002C3F33">
            <w:pPr>
              <w:pStyle w:val="Normal-Table"/>
              <w:rPr>
                <w:rFonts w:eastAsia="Times New Roman" w:cs="Times New Roman"/>
                <w:lang w:eastAsia="en-NZ"/>
              </w:rPr>
            </w:pPr>
            <w:r w:rsidRPr="418162AE">
              <w:t>System is proven to support a “Print to PDF” function if this is available on a user’s device.</w:t>
            </w:r>
          </w:p>
        </w:tc>
        <w:tc>
          <w:tcPr>
            <w:tcW w:w="5388" w:type="dxa"/>
            <w:shd w:val="clear" w:color="auto" w:fill="FFFFFF" w:themeFill="background1"/>
          </w:tcPr>
          <w:p w14:paraId="1466E16B" w14:textId="77777777" w:rsidR="00013FD6" w:rsidRDefault="00013FD6" w:rsidP="002C3F33">
            <w:pPr>
              <w:pStyle w:val="Normal-Table"/>
            </w:pPr>
            <w:r>
              <w:t>Interpretation/Assumptions:</w:t>
            </w:r>
          </w:p>
          <w:p w14:paraId="49E27167" w14:textId="77777777" w:rsidR="00013FD6" w:rsidRDefault="00013FD6" w:rsidP="002C3F33">
            <w:pPr>
              <w:pStyle w:val="Normal-Table"/>
              <w:numPr>
                <w:ilvl w:val="0"/>
                <w:numId w:val="44"/>
              </w:numPr>
            </w:pPr>
            <w:r>
              <w:t>A consequence of the Information Architecture (UX) process.</w:t>
            </w:r>
          </w:p>
          <w:p w14:paraId="0F256AB7" w14:textId="77777777" w:rsidR="00013FD6" w:rsidRDefault="00013FD6" w:rsidP="002C3F33">
            <w:pPr>
              <w:pStyle w:val="Normal-Table"/>
            </w:pPr>
            <w:r>
              <w:t>Solution:</w:t>
            </w:r>
          </w:p>
          <w:p w14:paraId="297BB058" w14:textId="77777777" w:rsidR="00013FD6" w:rsidRPr="00E26B10" w:rsidRDefault="00013FD6" w:rsidP="002C3F33">
            <w:pPr>
              <w:pStyle w:val="Normal-Table"/>
              <w:numPr>
                <w:ilvl w:val="0"/>
                <w:numId w:val="51"/>
              </w:numPr>
            </w:pPr>
            <w:r>
              <w:t xml:space="preserve">Covered by the solution style guide (refer to </w:t>
            </w:r>
            <w:r w:rsidRPr="00B30C5A">
              <w:rPr>
                <w:rStyle w:val="DocReferenceChar"/>
              </w:rPr>
              <w:t>Solution Style Guide</w:t>
            </w:r>
            <w:r>
              <w:t>).</w:t>
            </w:r>
          </w:p>
        </w:tc>
      </w:tr>
      <w:tr w:rsidR="00013FD6" w:rsidRPr="00B626DE" w14:paraId="6BA88718" w14:textId="77777777" w:rsidTr="00013FD6">
        <w:trPr>
          <w:cantSplit/>
          <w:trHeight w:val="286"/>
        </w:trPr>
        <w:tc>
          <w:tcPr>
            <w:tcW w:w="1129" w:type="dxa"/>
            <w:shd w:val="clear" w:color="auto" w:fill="auto"/>
          </w:tcPr>
          <w:p w14:paraId="02130240" w14:textId="77777777" w:rsidR="00013FD6" w:rsidRPr="002812A6" w:rsidRDefault="00013FD6" w:rsidP="002C3F33">
            <w:pPr>
              <w:pStyle w:val="Normal-Table"/>
            </w:pPr>
            <w:r>
              <w:lastRenderedPageBreak/>
              <w:t>DNFR-18</w:t>
            </w:r>
          </w:p>
        </w:tc>
        <w:tc>
          <w:tcPr>
            <w:tcW w:w="3827" w:type="dxa"/>
            <w:shd w:val="clear" w:color="auto" w:fill="auto"/>
          </w:tcPr>
          <w:p w14:paraId="662EA191" w14:textId="77777777" w:rsidR="00013FD6" w:rsidRPr="0022054F" w:rsidRDefault="00013FD6" w:rsidP="002C3F33">
            <w:pPr>
              <w:pStyle w:val="Normal-Table"/>
            </w:pPr>
            <w:r w:rsidRPr="007B787A">
              <w:t>Any function in the system that takes longer than 10 seconds to load should indicate progress</w:t>
            </w:r>
          </w:p>
        </w:tc>
        <w:tc>
          <w:tcPr>
            <w:tcW w:w="3685" w:type="dxa"/>
            <w:shd w:val="clear" w:color="auto" w:fill="auto"/>
          </w:tcPr>
          <w:p w14:paraId="25F915DD" w14:textId="77777777" w:rsidR="00013FD6" w:rsidRDefault="00013FD6" w:rsidP="002C3F33">
            <w:pPr>
              <w:pStyle w:val="Normal-Table"/>
            </w:pPr>
            <w:r w:rsidRPr="418162AE">
              <w:t xml:space="preserve">Where a function with a response to the user has a delay (saving, loading, or retrieving etc.) then the system should indicate progress to the user where the length or the nature of the delay could impact on the user experience. </w:t>
            </w:r>
          </w:p>
          <w:p w14:paraId="5FC87F1F" w14:textId="77777777" w:rsidR="00013FD6" w:rsidRDefault="00013FD6" w:rsidP="002C3F33">
            <w:pPr>
              <w:pStyle w:val="Normal-Table"/>
            </w:pPr>
          </w:p>
          <w:p w14:paraId="29C1BF2D" w14:textId="77777777" w:rsidR="00013FD6" w:rsidRPr="0022054F" w:rsidRDefault="00013FD6" w:rsidP="002C3F33">
            <w:pPr>
              <w:pStyle w:val="Normal-Table"/>
            </w:pPr>
            <w:r w:rsidRPr="418162AE">
              <w:t>Note: In general, all interactions between the user and the UI should have some type of visual feedback to indicate system responsiveness.</w:t>
            </w:r>
          </w:p>
        </w:tc>
        <w:tc>
          <w:tcPr>
            <w:tcW w:w="5388" w:type="dxa"/>
            <w:shd w:val="clear" w:color="auto" w:fill="auto"/>
          </w:tcPr>
          <w:p w14:paraId="08CFDEF1" w14:textId="77777777" w:rsidR="00013FD6" w:rsidRDefault="00013FD6" w:rsidP="002C3F33">
            <w:pPr>
              <w:pStyle w:val="Normal-Table"/>
            </w:pPr>
            <w:r>
              <w:t>Solution:</w:t>
            </w:r>
          </w:p>
          <w:p w14:paraId="29A882DE" w14:textId="77777777" w:rsidR="00013FD6" w:rsidRDefault="00013FD6" w:rsidP="002C3F33">
            <w:pPr>
              <w:pStyle w:val="Normal-Table"/>
              <w:numPr>
                <w:ilvl w:val="0"/>
                <w:numId w:val="45"/>
              </w:numPr>
            </w:pPr>
            <w:r>
              <w:t xml:space="preserve">The Salesforce platform provides OOTB support for progress indication (refer </w:t>
            </w:r>
            <w:hyperlink r:id="rId5" w:history="1">
              <w:r w:rsidRPr="00513662">
                <w:rPr>
                  <w:rStyle w:val="Hyperlink"/>
                </w:rPr>
                <w:t>here</w:t>
              </w:r>
            </w:hyperlink>
            <w:r>
              <w:t xml:space="preserve"> for an example). In addition, file uploads will include a progress bar.</w:t>
            </w:r>
          </w:p>
          <w:p w14:paraId="40B144C8" w14:textId="77777777" w:rsidR="00013FD6" w:rsidRPr="0022054F" w:rsidRDefault="00013FD6" w:rsidP="002C3F33">
            <w:pPr>
              <w:pStyle w:val="Normal-Table"/>
              <w:numPr>
                <w:ilvl w:val="0"/>
                <w:numId w:val="45"/>
              </w:numPr>
            </w:pPr>
            <w:r>
              <w:t>The ArcGIS Web App will display an animated progress indicator for all user requests.</w:t>
            </w:r>
          </w:p>
        </w:tc>
      </w:tr>
      <w:tr w:rsidR="00013FD6" w:rsidRPr="00B626DE" w14:paraId="28010058" w14:textId="77777777" w:rsidTr="00013FD6">
        <w:trPr>
          <w:cnfStyle w:val="000000100000" w:firstRow="0" w:lastRow="0" w:firstColumn="0" w:lastColumn="0" w:oddVBand="0" w:evenVBand="0" w:oddHBand="1" w:evenHBand="0" w:firstRowFirstColumn="0" w:firstRowLastColumn="0" w:lastRowFirstColumn="0" w:lastRowLastColumn="0"/>
          <w:cantSplit/>
          <w:trHeight w:val="286"/>
        </w:trPr>
        <w:tc>
          <w:tcPr>
            <w:tcW w:w="1129" w:type="dxa"/>
            <w:shd w:val="clear" w:color="auto" w:fill="auto"/>
          </w:tcPr>
          <w:p w14:paraId="3B5386C6" w14:textId="77777777" w:rsidR="00013FD6" w:rsidRPr="002812A6" w:rsidRDefault="00013FD6" w:rsidP="002C3F33">
            <w:pPr>
              <w:pStyle w:val="Normal-Table"/>
            </w:pPr>
            <w:r>
              <w:t>DNFR-19</w:t>
            </w:r>
          </w:p>
        </w:tc>
        <w:tc>
          <w:tcPr>
            <w:tcW w:w="3827" w:type="dxa"/>
            <w:shd w:val="clear" w:color="auto" w:fill="auto"/>
          </w:tcPr>
          <w:p w14:paraId="02A05573" w14:textId="7BF2240E" w:rsidR="00013FD6" w:rsidRPr="0022054F" w:rsidRDefault="00013FD6" w:rsidP="002C3F33">
            <w:pPr>
              <w:pStyle w:val="Normal-Table"/>
            </w:pPr>
            <w:r>
              <w:t xml:space="preserve">The system </w:t>
            </w:r>
            <w:r w:rsidRPr="00B15B7C">
              <w:t>must, at a minimum, be capable of supporting n-1 of the current</w:t>
            </w:r>
            <w:r>
              <w:t xml:space="preserve">ly </w:t>
            </w:r>
            <w:r w:rsidRPr="00B15B7C">
              <w:t>support</w:t>
            </w:r>
            <w:r>
              <w:t>ed</w:t>
            </w:r>
            <w:r w:rsidRPr="00B15B7C">
              <w:t xml:space="preserve"> </w:t>
            </w:r>
            <w:r>
              <w:t>{Org}</w:t>
            </w:r>
            <w:r w:rsidRPr="00B15B7C">
              <w:t xml:space="preserve"> web browsers (Google Chrome, Microsoft </w:t>
            </w:r>
            <w:proofErr w:type="gramStart"/>
            <w:r w:rsidRPr="00B15B7C">
              <w:t>Edge</w:t>
            </w:r>
            <w:proofErr w:type="gramEnd"/>
            <w:r w:rsidRPr="00B15B7C">
              <w:t xml:space="preserve"> and Microsoft Edge Chrome).</w:t>
            </w:r>
          </w:p>
        </w:tc>
        <w:tc>
          <w:tcPr>
            <w:tcW w:w="3685" w:type="dxa"/>
            <w:shd w:val="clear" w:color="auto" w:fill="auto"/>
          </w:tcPr>
          <w:p w14:paraId="5BFAC41D" w14:textId="1CB79BC2" w:rsidR="00013FD6" w:rsidRDefault="00013FD6" w:rsidP="002C3F33">
            <w:pPr>
              <w:pStyle w:val="Normal-Table"/>
            </w:pPr>
            <w:r w:rsidRPr="418162AE">
              <w:t xml:space="preserve">The system must support the most popular recorded browsers at the date of this being published, as supplied by </w:t>
            </w:r>
            <w:r>
              <w:t>{Org}</w:t>
            </w:r>
            <w:r w:rsidRPr="418162AE">
              <w:t xml:space="preserve"> GA stats.</w:t>
            </w:r>
          </w:p>
          <w:p w14:paraId="3E42743D" w14:textId="6A730EFA" w:rsidR="00013FD6" w:rsidRDefault="00013FD6" w:rsidP="002C3F33">
            <w:pPr>
              <w:pStyle w:val="Normal-Table"/>
            </w:pPr>
            <w:r w:rsidRPr="418162AE">
              <w:t xml:space="preserve">For a public facing site, we use </w:t>
            </w:r>
            <w:r>
              <w:t>{Org</w:t>
            </w:r>
            <w:proofErr w:type="gramStart"/>
            <w:r>
              <w:t>}</w:t>
            </w:r>
            <w:r w:rsidRPr="418162AE">
              <w:t>.govt.nz</w:t>
            </w:r>
            <w:proofErr w:type="gramEnd"/>
            <w:r w:rsidRPr="418162AE">
              <w:t xml:space="preserve"> GA stats. </w:t>
            </w:r>
          </w:p>
          <w:p w14:paraId="167221A1" w14:textId="77777777" w:rsidR="00013FD6" w:rsidRDefault="00013FD6" w:rsidP="002C3F33">
            <w:pPr>
              <w:pStyle w:val="Normal-Table"/>
            </w:pPr>
          </w:p>
          <w:p w14:paraId="3380CC52" w14:textId="77777777" w:rsidR="00013FD6" w:rsidRPr="0022054F" w:rsidRDefault="00013FD6" w:rsidP="002C3F33">
            <w:pPr>
              <w:pStyle w:val="Normal-Table"/>
            </w:pPr>
            <w:r w:rsidRPr="418162AE">
              <w:t>The latest version of Chrome, Safari, Internet Explorer and the last major version and all minor versions before them are currently the most popular.</w:t>
            </w:r>
          </w:p>
        </w:tc>
        <w:tc>
          <w:tcPr>
            <w:tcW w:w="5388" w:type="dxa"/>
            <w:shd w:val="clear" w:color="auto" w:fill="auto"/>
          </w:tcPr>
          <w:p w14:paraId="6F2B2D6B" w14:textId="77777777" w:rsidR="00013FD6" w:rsidRDefault="00013FD6" w:rsidP="002C3F33">
            <w:pPr>
              <w:pStyle w:val="Normal-Table"/>
            </w:pPr>
            <w:r>
              <w:t>Solution:</w:t>
            </w:r>
          </w:p>
          <w:p w14:paraId="667A5496" w14:textId="77777777" w:rsidR="00013FD6" w:rsidRDefault="00013FD6" w:rsidP="002C3F33">
            <w:pPr>
              <w:pStyle w:val="Normal-Table"/>
              <w:numPr>
                <w:ilvl w:val="0"/>
                <w:numId w:val="47"/>
              </w:numPr>
            </w:pPr>
            <w:r>
              <w:t>Specific OS, browser, and device testing requirements to be defined and included in test plans for each major release.</w:t>
            </w:r>
          </w:p>
          <w:p w14:paraId="7E0BDBED" w14:textId="77777777" w:rsidR="00013FD6" w:rsidRPr="0022054F" w:rsidRDefault="00013FD6" w:rsidP="002C3F33">
            <w:pPr>
              <w:pStyle w:val="Normal-Table"/>
              <w:numPr>
                <w:ilvl w:val="0"/>
                <w:numId w:val="47"/>
              </w:numPr>
            </w:pPr>
            <w:r>
              <w:t xml:space="preserve">The Salesforce platform has a number of known limitations with the Microsoft Edge Chromium, Firefox and Safari browsers (for more detail refer </w:t>
            </w:r>
            <w:hyperlink r:id="rId6" w:history="1">
              <w:r w:rsidRPr="000B4B0A">
                <w:rPr>
                  <w:rStyle w:val="Hyperlink"/>
                </w:rPr>
                <w:t>here</w:t>
              </w:r>
            </w:hyperlink>
            <w:r>
              <w:t>).</w:t>
            </w:r>
          </w:p>
        </w:tc>
      </w:tr>
      <w:tr w:rsidR="00013FD6" w:rsidRPr="00B626DE" w14:paraId="502BAEF8" w14:textId="77777777" w:rsidTr="00013FD6">
        <w:trPr>
          <w:cantSplit/>
          <w:trHeight w:val="286"/>
        </w:trPr>
        <w:tc>
          <w:tcPr>
            <w:tcW w:w="1129" w:type="dxa"/>
            <w:shd w:val="clear" w:color="auto" w:fill="auto"/>
          </w:tcPr>
          <w:p w14:paraId="49770383" w14:textId="77777777" w:rsidR="00013FD6" w:rsidRPr="002812A6" w:rsidRDefault="00013FD6" w:rsidP="002C3F33">
            <w:pPr>
              <w:pStyle w:val="Normal-Table"/>
            </w:pPr>
            <w:r>
              <w:lastRenderedPageBreak/>
              <w:t>DNFR-20</w:t>
            </w:r>
          </w:p>
        </w:tc>
        <w:tc>
          <w:tcPr>
            <w:tcW w:w="3827" w:type="dxa"/>
            <w:shd w:val="clear" w:color="auto" w:fill="auto"/>
          </w:tcPr>
          <w:p w14:paraId="13DF5497" w14:textId="77777777" w:rsidR="00013FD6" w:rsidRPr="0022054F" w:rsidRDefault="00013FD6" w:rsidP="002C3F33">
            <w:pPr>
              <w:pStyle w:val="Normal-Table"/>
            </w:pPr>
            <w:r w:rsidRPr="007B787A">
              <w:t xml:space="preserve">The system </w:t>
            </w:r>
            <w:r w:rsidRPr="00622C53">
              <w:t>must provide all user interface</w:t>
            </w:r>
            <w:r>
              <w:t>s</w:t>
            </w:r>
            <w:r w:rsidRPr="00622C53">
              <w:t xml:space="preserve"> using responsive web design approaches, to enable the solution to be utilised across a multitude of devices and resolutions</w:t>
            </w:r>
          </w:p>
        </w:tc>
        <w:tc>
          <w:tcPr>
            <w:tcW w:w="3685" w:type="dxa"/>
            <w:shd w:val="clear" w:color="auto" w:fill="auto"/>
          </w:tcPr>
          <w:p w14:paraId="79BCD3AF" w14:textId="77777777" w:rsidR="00013FD6" w:rsidRDefault="00013FD6" w:rsidP="002C3F33">
            <w:pPr>
              <w:pStyle w:val="Normal-Table"/>
            </w:pPr>
            <w:r w:rsidRPr="418162AE">
              <w:t>The system must support mobile devices and follow the progressive enhancement principle.</w:t>
            </w:r>
          </w:p>
          <w:p w14:paraId="5C11CE91" w14:textId="77777777" w:rsidR="00013FD6" w:rsidRPr="0022054F" w:rsidRDefault="00013FD6" w:rsidP="002C3F33">
            <w:pPr>
              <w:pStyle w:val="Normal-Table"/>
            </w:pPr>
            <w:r w:rsidRPr="418162AE">
              <w:t>This is in addition to the browsers mentioned and screen resolution supplied</w:t>
            </w:r>
          </w:p>
        </w:tc>
        <w:tc>
          <w:tcPr>
            <w:tcW w:w="5388" w:type="dxa"/>
            <w:shd w:val="clear" w:color="auto" w:fill="auto"/>
          </w:tcPr>
          <w:p w14:paraId="322E8364" w14:textId="77777777" w:rsidR="00013FD6" w:rsidRDefault="00013FD6" w:rsidP="002C3F33">
            <w:pPr>
              <w:pStyle w:val="Normal-Table"/>
            </w:pPr>
            <w:r>
              <w:t>Solution:</w:t>
            </w:r>
          </w:p>
          <w:p w14:paraId="3D7370B0" w14:textId="77777777" w:rsidR="00013FD6" w:rsidRDefault="00013FD6" w:rsidP="002C3F33">
            <w:pPr>
              <w:pStyle w:val="Normal-Table"/>
              <w:numPr>
                <w:ilvl w:val="0"/>
                <w:numId w:val="46"/>
              </w:numPr>
            </w:pPr>
            <w:r>
              <w:t xml:space="preserve">The Salesforce Lightning Design System (SLDS) fully supports responsive web design principles and mobile form factors (refer </w:t>
            </w:r>
            <w:hyperlink r:id="rId7" w:history="1">
              <w:r w:rsidRPr="002A1F56">
                <w:rPr>
                  <w:rStyle w:val="Hyperlink"/>
                </w:rPr>
                <w:t>here</w:t>
              </w:r>
            </w:hyperlink>
            <w:r>
              <w:t>).</w:t>
            </w:r>
          </w:p>
          <w:p w14:paraId="10B6F638" w14:textId="77777777" w:rsidR="00013FD6" w:rsidRDefault="00013FD6" w:rsidP="002C3F33">
            <w:pPr>
              <w:pStyle w:val="Normal-Table"/>
              <w:numPr>
                <w:ilvl w:val="0"/>
                <w:numId w:val="46"/>
              </w:numPr>
            </w:pPr>
            <w:r>
              <w:t>The GIS Web App will be built with components that support responsive web design enabling the component to resize and render in a variety of screen sizes and resolutions within the constraints imposed by the Salesforce canvas app.</w:t>
            </w:r>
          </w:p>
          <w:p w14:paraId="5610737F" w14:textId="77777777" w:rsidR="00013FD6" w:rsidRPr="0022054F" w:rsidRDefault="00013FD6" w:rsidP="002C3F33">
            <w:pPr>
              <w:pStyle w:val="Normal-Table"/>
              <w:numPr>
                <w:ilvl w:val="0"/>
                <w:numId w:val="46"/>
              </w:numPr>
            </w:pPr>
            <w:r>
              <w:t xml:space="preserve">The Solution Style Guide and the project Test Strategy both include support for responsive layouts and associated testing. </w:t>
            </w:r>
          </w:p>
        </w:tc>
      </w:tr>
    </w:tbl>
    <w:p w14:paraId="36E44626" w14:textId="77777777" w:rsidR="00013FD6" w:rsidRPr="00820241" w:rsidRDefault="00013FD6" w:rsidP="00013FD6"/>
    <w:p w14:paraId="6E63E26A" w14:textId="77777777" w:rsidR="00013FD6" w:rsidRDefault="00013FD6" w:rsidP="00013FD6">
      <w:pPr>
        <w:pStyle w:val="Heading2"/>
        <w:numPr>
          <w:ilvl w:val="1"/>
          <w:numId w:val="75"/>
        </w:numPr>
        <w:rPr>
          <w:rFonts w:ascii="SegoeUI" w:hAnsi="SegoeUI" w:cs="SegoeUI"/>
        </w:rPr>
      </w:pPr>
      <w:hyperlink w:anchor="_Toc428542033" w:history="1">
        <w:bookmarkStart w:id="13" w:name="_Toc138082980"/>
        <w:r w:rsidRPr="002221FB">
          <w:rPr>
            <w:rFonts w:ascii="SegoeUI" w:hAnsi="SegoeUI" w:cs="SegoeUI"/>
          </w:rPr>
          <w:t>Non-runtime NFRs</w:t>
        </w:r>
        <w:bookmarkEnd w:id="13"/>
      </w:hyperlink>
    </w:p>
    <w:p w14:paraId="08F1E8B5" w14:textId="77777777" w:rsidR="00013FD6" w:rsidRDefault="00013FD6" w:rsidP="00013FD6">
      <w:pPr>
        <w:pStyle w:val="Heading3"/>
        <w:numPr>
          <w:ilvl w:val="2"/>
          <w:numId w:val="75"/>
        </w:numPr>
        <w:ind w:left="720"/>
      </w:pPr>
      <w:hyperlink w:anchor="_Toc428542034" w:history="1">
        <w:bookmarkStart w:id="14" w:name="_Toc138082981"/>
        <w:r w:rsidRPr="002221FB">
          <w:t>Flexibility</w:t>
        </w:r>
        <w:bookmarkEnd w:id="14"/>
      </w:hyperlink>
    </w:p>
    <w:p w14:paraId="43792652" w14:textId="77777777" w:rsidR="00013FD6" w:rsidRPr="00F22025" w:rsidRDefault="00013FD6" w:rsidP="00013FD6">
      <w:r w:rsidRPr="00F22025">
        <w:t>“Extensibility and Adaptability to Changing Circumstances”</w:t>
      </w:r>
    </w:p>
    <w:p w14:paraId="19BFE4F8" w14:textId="77777777" w:rsidR="00013FD6" w:rsidRPr="00F22025" w:rsidRDefault="00013FD6" w:rsidP="00013FD6">
      <w:r w:rsidRPr="00F22025">
        <w:t>The ability to enhance existing services, accommodate new service and product types in the future without significant changes to the design.</w:t>
      </w:r>
    </w:p>
    <w:tbl>
      <w:tblPr>
        <w:tblStyle w:val="GridTable4-Accent5"/>
        <w:tblW w:w="14029" w:type="dxa"/>
        <w:tblLook w:val="0420" w:firstRow="1" w:lastRow="0" w:firstColumn="0" w:lastColumn="0" w:noHBand="0" w:noVBand="1"/>
      </w:tblPr>
      <w:tblGrid>
        <w:gridCol w:w="1129"/>
        <w:gridCol w:w="5811"/>
        <w:gridCol w:w="7089"/>
      </w:tblGrid>
      <w:tr w:rsidR="00013FD6" w:rsidRPr="003B33E7" w14:paraId="7A6CB7DD" w14:textId="77777777" w:rsidTr="00013FD6">
        <w:trPr>
          <w:cnfStyle w:val="100000000000" w:firstRow="1" w:lastRow="0" w:firstColumn="0" w:lastColumn="0" w:oddVBand="0" w:evenVBand="0" w:oddHBand="0" w:evenHBand="0" w:firstRowFirstColumn="0" w:firstRowLastColumn="0" w:lastRowFirstColumn="0" w:lastRowLastColumn="0"/>
          <w:tblHeader/>
        </w:trPr>
        <w:tc>
          <w:tcPr>
            <w:tcW w:w="1129" w:type="dxa"/>
          </w:tcPr>
          <w:p w14:paraId="71BFB503" w14:textId="77777777" w:rsidR="00013FD6" w:rsidRPr="00ED45DA" w:rsidRDefault="00013FD6" w:rsidP="002C3F33">
            <w:r w:rsidRPr="00ED45DA">
              <w:t>Ref</w:t>
            </w:r>
          </w:p>
        </w:tc>
        <w:tc>
          <w:tcPr>
            <w:tcW w:w="5811" w:type="dxa"/>
          </w:tcPr>
          <w:p w14:paraId="5204C97A" w14:textId="77777777" w:rsidR="00013FD6" w:rsidRPr="00ED45DA" w:rsidRDefault="00013FD6" w:rsidP="002C3F33">
            <w:r w:rsidRPr="00ED45DA">
              <w:t>Description</w:t>
            </w:r>
          </w:p>
        </w:tc>
        <w:tc>
          <w:tcPr>
            <w:tcW w:w="7089" w:type="dxa"/>
          </w:tcPr>
          <w:p w14:paraId="1CB22CC8" w14:textId="77777777" w:rsidR="00013FD6" w:rsidRPr="00ED45DA" w:rsidRDefault="00013FD6" w:rsidP="002C3F33">
            <w:r w:rsidRPr="00ED45DA">
              <w:t>Solution Traceability</w:t>
            </w:r>
          </w:p>
        </w:tc>
      </w:tr>
      <w:tr w:rsidR="00013FD6" w:rsidRPr="00B626DE" w14:paraId="186CDD6E" w14:textId="77777777" w:rsidTr="00013FD6">
        <w:trPr>
          <w:cnfStyle w:val="000000100000" w:firstRow="0" w:lastRow="0" w:firstColumn="0" w:lastColumn="0" w:oddVBand="0" w:evenVBand="0" w:oddHBand="1" w:evenHBand="0" w:firstRowFirstColumn="0" w:firstRowLastColumn="0" w:lastRowFirstColumn="0" w:lastRowLastColumn="0"/>
          <w:trHeight w:val="311"/>
        </w:trPr>
        <w:tc>
          <w:tcPr>
            <w:tcW w:w="1129" w:type="dxa"/>
            <w:shd w:val="clear" w:color="auto" w:fill="auto"/>
          </w:tcPr>
          <w:p w14:paraId="37D696DE" w14:textId="77777777" w:rsidR="00013FD6" w:rsidRPr="00E26B10" w:rsidRDefault="00013FD6" w:rsidP="002C3F33">
            <w:pPr>
              <w:pStyle w:val="Normal-Table"/>
              <w:rPr>
                <w:rFonts w:eastAsia="Times New Roman" w:cs="Times New Roman"/>
                <w:lang w:eastAsia="en-NZ"/>
              </w:rPr>
            </w:pPr>
            <w:r>
              <w:t>DNFR-21</w:t>
            </w:r>
          </w:p>
        </w:tc>
        <w:tc>
          <w:tcPr>
            <w:tcW w:w="5811" w:type="dxa"/>
            <w:shd w:val="clear" w:color="auto" w:fill="auto"/>
          </w:tcPr>
          <w:p w14:paraId="7E46DED7" w14:textId="77777777" w:rsidR="00013FD6" w:rsidRPr="00E26B10" w:rsidRDefault="00013FD6" w:rsidP="002C3F33">
            <w:pPr>
              <w:pStyle w:val="Normal-Table"/>
              <w:rPr>
                <w:rFonts w:eastAsia="Times New Roman" w:cs="Times New Roman"/>
                <w:lang w:eastAsia="en-NZ"/>
              </w:rPr>
            </w:pPr>
            <w:r w:rsidRPr="007B787A">
              <w:t xml:space="preserve">The system must be user configurable such that </w:t>
            </w:r>
            <w:proofErr w:type="gramStart"/>
            <w:r w:rsidRPr="007B787A">
              <w:t>the majority of</w:t>
            </w:r>
            <w:proofErr w:type="gramEnd"/>
            <w:r w:rsidRPr="007B787A">
              <w:t xml:space="preserve"> product configurations and incidental rule changes can be executed within the business without significant technical support.</w:t>
            </w:r>
          </w:p>
        </w:tc>
        <w:tc>
          <w:tcPr>
            <w:tcW w:w="7089" w:type="dxa"/>
            <w:shd w:val="clear" w:color="auto" w:fill="FFFFFF" w:themeFill="background1"/>
          </w:tcPr>
          <w:p w14:paraId="7FDFEBF1" w14:textId="2FC9C3A6" w:rsidR="00013FD6" w:rsidRDefault="00013FD6" w:rsidP="002C3F33">
            <w:pPr>
              <w:pStyle w:val="Normal-Table"/>
            </w:pPr>
            <w:r w:rsidRPr="00904524">
              <w:t xml:space="preserve">The solution COTS platforms </w:t>
            </w:r>
            <w:r>
              <w:t xml:space="preserve">are </w:t>
            </w:r>
            <w:r w:rsidRPr="00904524">
              <w:t xml:space="preserve">specifically designed to improve development efficiency (through reducing the requirement for bespoke development). Preference will be given to delivering functionality via </w:t>
            </w:r>
            <w:r>
              <w:t xml:space="preserve">OOTB facilities and </w:t>
            </w:r>
            <w:r w:rsidRPr="00904524">
              <w:t>configuration vs. bespoke development</w:t>
            </w:r>
            <w:r>
              <w:t xml:space="preserve"> (refer section </w:t>
            </w:r>
            <w:r>
              <w:fldChar w:fldCharType="begin"/>
            </w:r>
            <w:r>
              <w:instrText xml:space="preserve"> REF _Ref81289376 \r \h </w:instrText>
            </w:r>
            <w:r>
              <w:instrText xml:space="preserve"> \* MERGEFORMAT </w:instrText>
            </w:r>
            <w:r>
              <w:fldChar w:fldCharType="separate"/>
            </w:r>
            <w:r>
              <w:t>3.2</w:t>
            </w:r>
            <w:r>
              <w:fldChar w:fldCharType="end"/>
            </w:r>
            <w:r>
              <w:t xml:space="preserve"> </w:t>
            </w:r>
            <w:r>
              <w:fldChar w:fldCharType="begin"/>
            </w:r>
            <w:r>
              <w:instrText xml:space="preserve"> REF _Ref81289379 \h </w:instrText>
            </w:r>
            <w:r>
              <w:instrText xml:space="preserve"> \* MERGEFORMAT </w:instrText>
            </w:r>
            <w:r>
              <w:fldChar w:fldCharType="separate"/>
            </w:r>
            <w:r w:rsidRPr="00562C0C">
              <w:t>Architectural Principles</w:t>
            </w:r>
            <w:r>
              <w:fldChar w:fldCharType="end"/>
            </w:r>
            <w:r>
              <w:t>).</w:t>
            </w:r>
          </w:p>
          <w:p w14:paraId="4C6B76E9" w14:textId="68AB97EE" w:rsidR="00013FD6" w:rsidRDefault="00013FD6" w:rsidP="002C3F33">
            <w:pPr>
              <w:pStyle w:val="Normal-Table"/>
            </w:pPr>
            <w:r>
              <w:t xml:space="preserve">Note that for the </w:t>
            </w:r>
            <w:r>
              <w:t>{</w:t>
            </w:r>
            <w:proofErr w:type="spellStart"/>
            <w:r>
              <w:t>Soltn</w:t>
            </w:r>
            <w:proofErr w:type="spellEnd"/>
            <w:r>
              <w:t>}</w:t>
            </w:r>
            <w:r>
              <w:t xml:space="preserve"> solution, customisation will be required as follows:</w:t>
            </w:r>
          </w:p>
          <w:p w14:paraId="51BD93F2" w14:textId="77777777" w:rsidR="00013FD6" w:rsidRPr="002448F0" w:rsidRDefault="00013FD6" w:rsidP="00013FD6">
            <w:pPr>
              <w:pStyle w:val="Body-Left"/>
              <w:numPr>
                <w:ilvl w:val="0"/>
                <w:numId w:val="77"/>
              </w:numPr>
              <w:rPr>
                <w:i/>
                <w:iCs/>
              </w:rPr>
            </w:pPr>
            <w:r w:rsidRPr="002448F0">
              <w:rPr>
                <w:i/>
                <w:iCs/>
              </w:rPr>
              <w:lastRenderedPageBreak/>
              <w:t>ArcGIS WebApp</w:t>
            </w:r>
          </w:p>
          <w:p w14:paraId="70E199CE" w14:textId="77777777" w:rsidR="00013FD6" w:rsidRDefault="00013FD6" w:rsidP="002C3F33">
            <w:pPr>
              <w:pStyle w:val="Body-Left"/>
              <w:numPr>
                <w:ilvl w:val="0"/>
                <w:numId w:val="0"/>
              </w:numPr>
              <w:ind w:left="720"/>
            </w:pPr>
            <w:r>
              <w:t>A custom ASP.NET Web App is required to implement web-based mapping requirements and associated business rules. This is based on ArcGIS web frameworks and is standard practice for the delivery of ArcGIS web-based mapping.</w:t>
            </w:r>
          </w:p>
          <w:p w14:paraId="19D66D72" w14:textId="77777777" w:rsidR="00013FD6" w:rsidRPr="004656F5" w:rsidRDefault="00013FD6" w:rsidP="00013FD6">
            <w:pPr>
              <w:pStyle w:val="Body-Left"/>
              <w:numPr>
                <w:ilvl w:val="0"/>
                <w:numId w:val="77"/>
              </w:numPr>
              <w:rPr>
                <w:i/>
                <w:iCs/>
              </w:rPr>
            </w:pPr>
            <w:r w:rsidRPr="004656F5">
              <w:rPr>
                <w:i/>
                <w:iCs/>
              </w:rPr>
              <w:t>Salesforce Apex Script</w:t>
            </w:r>
          </w:p>
          <w:p w14:paraId="523180C2" w14:textId="77777777" w:rsidR="00013FD6" w:rsidRDefault="00013FD6" w:rsidP="002C3F33">
            <w:pPr>
              <w:pStyle w:val="Body-Left"/>
              <w:numPr>
                <w:ilvl w:val="0"/>
                <w:numId w:val="0"/>
              </w:numPr>
              <w:ind w:left="720"/>
            </w:pPr>
            <w:r>
              <w:t>Used within the Salesforce platform on an as-required basis to support more complex business rules, object data management and service callouts (integrations).</w:t>
            </w:r>
          </w:p>
          <w:p w14:paraId="50258438" w14:textId="77777777" w:rsidR="00013FD6" w:rsidRDefault="00013FD6" w:rsidP="00013FD6">
            <w:pPr>
              <w:pStyle w:val="Body-Left"/>
              <w:numPr>
                <w:ilvl w:val="0"/>
                <w:numId w:val="77"/>
              </w:numPr>
            </w:pPr>
            <w:r>
              <w:rPr>
                <w:i/>
                <w:iCs/>
              </w:rPr>
              <w:t>Azure Functions</w:t>
            </w:r>
          </w:p>
          <w:p w14:paraId="4A4E27D8" w14:textId="77777777" w:rsidR="00013FD6" w:rsidRDefault="00013FD6" w:rsidP="002C3F33">
            <w:pPr>
              <w:pStyle w:val="Body-Left"/>
              <w:numPr>
                <w:ilvl w:val="0"/>
                <w:numId w:val="0"/>
              </w:numPr>
              <w:ind w:left="720"/>
            </w:pPr>
            <w:r>
              <w:t>Azure Function based Application Service implementations (supporting integration, security, and data management) are developed using .NET code and frameworks.</w:t>
            </w:r>
          </w:p>
          <w:p w14:paraId="335B5898" w14:textId="77777777" w:rsidR="00013FD6" w:rsidRPr="00B27336" w:rsidRDefault="00013FD6" w:rsidP="00013FD6">
            <w:pPr>
              <w:pStyle w:val="Body-Left"/>
              <w:numPr>
                <w:ilvl w:val="0"/>
                <w:numId w:val="77"/>
              </w:numPr>
              <w:rPr>
                <w:i/>
                <w:iCs/>
              </w:rPr>
            </w:pPr>
            <w:r w:rsidRPr="00B27336">
              <w:rPr>
                <w:i/>
                <w:iCs/>
              </w:rPr>
              <w:t>FME Workbenches</w:t>
            </w:r>
          </w:p>
          <w:p w14:paraId="526291DD" w14:textId="77777777" w:rsidR="00013FD6" w:rsidRDefault="00013FD6" w:rsidP="002C3F33">
            <w:pPr>
              <w:pStyle w:val="Body-Left"/>
              <w:numPr>
                <w:ilvl w:val="0"/>
                <w:numId w:val="0"/>
              </w:numPr>
              <w:ind w:left="720"/>
            </w:pPr>
            <w:r>
              <w:t>Primarily configuration based but Python script will be required for geo-data management and/or service callouts e.g. orchestrating data with ArcGIS Online to support the offline capture.</w:t>
            </w:r>
          </w:p>
          <w:p w14:paraId="2A82B28A" w14:textId="77777777" w:rsidR="00013FD6" w:rsidRPr="00B27336" w:rsidRDefault="00013FD6" w:rsidP="00013FD6">
            <w:pPr>
              <w:pStyle w:val="Body-Left"/>
              <w:numPr>
                <w:ilvl w:val="0"/>
                <w:numId w:val="77"/>
              </w:numPr>
              <w:rPr>
                <w:i/>
                <w:iCs/>
              </w:rPr>
            </w:pPr>
            <w:r w:rsidRPr="00B27336">
              <w:rPr>
                <w:i/>
                <w:iCs/>
              </w:rPr>
              <w:t>Geoprocessing Scripts</w:t>
            </w:r>
          </w:p>
          <w:p w14:paraId="73081725" w14:textId="77777777" w:rsidR="00013FD6" w:rsidRPr="00904524" w:rsidRDefault="00013FD6" w:rsidP="002C3F33">
            <w:pPr>
              <w:pStyle w:val="Body-Left"/>
              <w:numPr>
                <w:ilvl w:val="0"/>
                <w:numId w:val="0"/>
              </w:numPr>
              <w:ind w:left="720"/>
            </w:pPr>
            <w:r>
              <w:t>As deployed to the ArcGIS Geoprocessing Servers, several Geoprocessing functions will require use of Python script e.g. sample plot generation.</w:t>
            </w:r>
          </w:p>
        </w:tc>
      </w:tr>
      <w:tr w:rsidR="00013FD6" w:rsidRPr="00B626DE" w14:paraId="22DDA110" w14:textId="77777777" w:rsidTr="00013FD6">
        <w:trPr>
          <w:trHeight w:val="286"/>
        </w:trPr>
        <w:tc>
          <w:tcPr>
            <w:tcW w:w="1129" w:type="dxa"/>
            <w:shd w:val="clear" w:color="auto" w:fill="auto"/>
          </w:tcPr>
          <w:p w14:paraId="23778986" w14:textId="77777777" w:rsidR="00013FD6" w:rsidRPr="002812A6" w:rsidRDefault="00013FD6" w:rsidP="002C3F33">
            <w:pPr>
              <w:pStyle w:val="Normal-Table"/>
            </w:pPr>
            <w:r>
              <w:lastRenderedPageBreak/>
              <w:t>DNFR-22</w:t>
            </w:r>
          </w:p>
        </w:tc>
        <w:tc>
          <w:tcPr>
            <w:tcW w:w="5811" w:type="dxa"/>
            <w:shd w:val="clear" w:color="auto" w:fill="auto"/>
          </w:tcPr>
          <w:p w14:paraId="24D31BE2" w14:textId="77777777" w:rsidR="00013FD6" w:rsidRPr="0022054F" w:rsidRDefault="00013FD6" w:rsidP="002C3F33">
            <w:pPr>
              <w:pStyle w:val="Normal-Table"/>
            </w:pPr>
            <w:r w:rsidRPr="007B787A">
              <w:t>The system should be modular to allow swapping in or out of components / application functionality (including 3rd party software / components) without impacting on the core application or other components.</w:t>
            </w:r>
          </w:p>
        </w:tc>
        <w:tc>
          <w:tcPr>
            <w:tcW w:w="7089" w:type="dxa"/>
            <w:shd w:val="clear" w:color="auto" w:fill="auto"/>
          </w:tcPr>
          <w:p w14:paraId="51E18405" w14:textId="39AF4EAA" w:rsidR="00013FD6" w:rsidRDefault="00013FD6" w:rsidP="002C3F33">
            <w:pPr>
              <w:pStyle w:val="Normal-Table"/>
            </w:pPr>
            <w:r w:rsidRPr="000C77FA">
              <w:t xml:space="preserve">The </w:t>
            </w:r>
            <w:r>
              <w:t>{</w:t>
            </w:r>
            <w:proofErr w:type="spellStart"/>
            <w:r>
              <w:t>Soltn</w:t>
            </w:r>
            <w:proofErr w:type="spellEnd"/>
            <w:r>
              <w:t>}</w:t>
            </w:r>
            <w:r>
              <w:t xml:space="preserve"> solution</w:t>
            </w:r>
            <w:r w:rsidRPr="000C77FA">
              <w:t xml:space="preserve"> architecture </w:t>
            </w:r>
            <w:r>
              <w:t>emphasises:</w:t>
            </w:r>
          </w:p>
          <w:p w14:paraId="53928244" w14:textId="77777777" w:rsidR="00013FD6" w:rsidRDefault="00013FD6" w:rsidP="002C3F33">
            <w:pPr>
              <w:pStyle w:val="Normal-Table"/>
              <w:numPr>
                <w:ilvl w:val="0"/>
                <w:numId w:val="49"/>
              </w:numPr>
            </w:pPr>
            <w:r>
              <w:t>Distinct subsystems representing logical groupings of related system functionality.</w:t>
            </w:r>
          </w:p>
          <w:p w14:paraId="369C4B5D" w14:textId="77777777" w:rsidR="00013FD6" w:rsidRDefault="00013FD6" w:rsidP="002C3F33">
            <w:pPr>
              <w:pStyle w:val="Normal-Table"/>
              <w:numPr>
                <w:ilvl w:val="0"/>
                <w:numId w:val="49"/>
              </w:numPr>
            </w:pPr>
            <w:r>
              <w:t>Use of</w:t>
            </w:r>
            <w:r w:rsidRPr="000C77FA">
              <w:t xml:space="preserve"> modular COTS platforms that deliver capability for separate specific functions</w:t>
            </w:r>
            <w:r>
              <w:t>.</w:t>
            </w:r>
          </w:p>
          <w:p w14:paraId="2503EE67" w14:textId="77777777" w:rsidR="00013FD6" w:rsidRPr="0022054F" w:rsidRDefault="00013FD6" w:rsidP="002C3F33">
            <w:pPr>
              <w:pStyle w:val="Normal-Table"/>
              <w:numPr>
                <w:ilvl w:val="0"/>
                <w:numId w:val="49"/>
              </w:numPr>
            </w:pPr>
            <w:r>
              <w:t xml:space="preserve">The promotion of </w:t>
            </w:r>
            <w:r w:rsidRPr="002441B0">
              <w:t xml:space="preserve">reusable services </w:t>
            </w:r>
            <w:r>
              <w:t xml:space="preserve">and </w:t>
            </w:r>
            <w:r w:rsidRPr="002441B0">
              <w:t>align</w:t>
            </w:r>
            <w:r>
              <w:t xml:space="preserve">ment </w:t>
            </w:r>
            <w:r w:rsidRPr="002441B0">
              <w:t>with SOA principles and usage pattern</w:t>
            </w:r>
            <w:r>
              <w:t>s.</w:t>
            </w:r>
          </w:p>
        </w:tc>
      </w:tr>
      <w:tr w:rsidR="00013FD6" w:rsidRPr="00B626DE" w14:paraId="727FD771" w14:textId="77777777" w:rsidTr="00013FD6">
        <w:trPr>
          <w:cnfStyle w:val="000000100000" w:firstRow="0" w:lastRow="0" w:firstColumn="0" w:lastColumn="0" w:oddVBand="0" w:evenVBand="0" w:oddHBand="1" w:evenHBand="0" w:firstRowFirstColumn="0" w:firstRowLastColumn="0" w:lastRowFirstColumn="0" w:lastRowLastColumn="0"/>
          <w:trHeight w:val="286"/>
        </w:trPr>
        <w:tc>
          <w:tcPr>
            <w:tcW w:w="1129" w:type="dxa"/>
            <w:shd w:val="clear" w:color="auto" w:fill="auto"/>
          </w:tcPr>
          <w:p w14:paraId="2B78ACC5" w14:textId="77777777" w:rsidR="00013FD6" w:rsidRPr="002812A6" w:rsidRDefault="00013FD6" w:rsidP="002C3F33">
            <w:pPr>
              <w:pStyle w:val="Normal-Table"/>
            </w:pPr>
            <w:r>
              <w:lastRenderedPageBreak/>
              <w:t>DNFR-23</w:t>
            </w:r>
          </w:p>
        </w:tc>
        <w:tc>
          <w:tcPr>
            <w:tcW w:w="5811" w:type="dxa"/>
            <w:shd w:val="clear" w:color="auto" w:fill="auto"/>
          </w:tcPr>
          <w:p w14:paraId="195DF7E1" w14:textId="77777777" w:rsidR="00013FD6" w:rsidRPr="0022054F" w:rsidRDefault="00013FD6" w:rsidP="002C3F33">
            <w:pPr>
              <w:pStyle w:val="Normal-Table"/>
            </w:pPr>
            <w:r w:rsidRPr="007B787A">
              <w:t>The system must allow for customisation of functionality through a supported and managed framework; ensuring that core functionality and upgrades of the solutions are not impacted.</w:t>
            </w:r>
          </w:p>
        </w:tc>
        <w:tc>
          <w:tcPr>
            <w:tcW w:w="7089" w:type="dxa"/>
            <w:shd w:val="clear" w:color="auto" w:fill="auto"/>
          </w:tcPr>
          <w:p w14:paraId="44FB29D0" w14:textId="77777777" w:rsidR="00013FD6" w:rsidRPr="0022054F" w:rsidRDefault="00013FD6" w:rsidP="002C3F33">
            <w:pPr>
              <w:pStyle w:val="Normal-Table"/>
            </w:pPr>
            <w:r>
              <w:t>The key solution COTS platforms (Salesforce and ArcGIS</w:t>
            </w:r>
            <w:r w:rsidRPr="000204AD">
              <w:t>) provide frameworks that support a clear separation between the base platform and any customisations. This approach ensures that any customisations remain unaffected through updates and/or upgrades to the underlying platforms.</w:t>
            </w:r>
          </w:p>
        </w:tc>
      </w:tr>
      <w:tr w:rsidR="00013FD6" w:rsidRPr="00B626DE" w14:paraId="3D29CB3C" w14:textId="77777777" w:rsidTr="00013FD6">
        <w:trPr>
          <w:trHeight w:val="286"/>
        </w:trPr>
        <w:tc>
          <w:tcPr>
            <w:tcW w:w="1129" w:type="dxa"/>
            <w:shd w:val="clear" w:color="auto" w:fill="auto"/>
          </w:tcPr>
          <w:p w14:paraId="2D7903D0" w14:textId="77777777" w:rsidR="00013FD6" w:rsidRDefault="00013FD6" w:rsidP="002C3F33">
            <w:pPr>
              <w:pStyle w:val="Normal-Table"/>
            </w:pPr>
            <w:r>
              <w:t>DNFR-24</w:t>
            </w:r>
          </w:p>
        </w:tc>
        <w:tc>
          <w:tcPr>
            <w:tcW w:w="5811" w:type="dxa"/>
            <w:shd w:val="clear" w:color="auto" w:fill="auto"/>
          </w:tcPr>
          <w:p w14:paraId="4649E42F" w14:textId="77777777" w:rsidR="00013FD6" w:rsidRPr="007B787A" w:rsidRDefault="00013FD6" w:rsidP="002C3F33">
            <w:pPr>
              <w:pStyle w:val="Normal-Table"/>
            </w:pPr>
            <w:r w:rsidRPr="007B787A">
              <w:t>The system should be capable of using a service-oriented architecture approach and creating a separation of concerns, allowing for functionality to be reused.</w:t>
            </w:r>
          </w:p>
        </w:tc>
        <w:tc>
          <w:tcPr>
            <w:tcW w:w="7089" w:type="dxa"/>
            <w:shd w:val="clear" w:color="auto" w:fill="auto"/>
          </w:tcPr>
          <w:p w14:paraId="1BC3AF53" w14:textId="6D0A46C7" w:rsidR="00013FD6" w:rsidRPr="0022054F" w:rsidRDefault="00013FD6" w:rsidP="002C3F33">
            <w:pPr>
              <w:pStyle w:val="Normal-Table"/>
            </w:pPr>
            <w:r>
              <w:t xml:space="preserve">All solution technical platforms provide for comprehensive services-based (RESTful) access to functionality. In addition, integration between key subsystems is brokered via the </w:t>
            </w:r>
            <w:r>
              <w:t>{Org}</w:t>
            </w:r>
            <w:r>
              <w:t xml:space="preserve"> Apigee middleware platform (refer decision #25).</w:t>
            </w:r>
          </w:p>
        </w:tc>
      </w:tr>
      <w:tr w:rsidR="00013FD6" w:rsidRPr="00B626DE" w14:paraId="67602353" w14:textId="77777777" w:rsidTr="00013FD6">
        <w:trPr>
          <w:cnfStyle w:val="000000100000" w:firstRow="0" w:lastRow="0" w:firstColumn="0" w:lastColumn="0" w:oddVBand="0" w:evenVBand="0" w:oddHBand="1" w:evenHBand="0" w:firstRowFirstColumn="0" w:firstRowLastColumn="0" w:lastRowFirstColumn="0" w:lastRowLastColumn="0"/>
          <w:trHeight w:val="286"/>
        </w:trPr>
        <w:tc>
          <w:tcPr>
            <w:tcW w:w="1129" w:type="dxa"/>
            <w:shd w:val="clear" w:color="auto" w:fill="auto"/>
          </w:tcPr>
          <w:p w14:paraId="07668C99" w14:textId="77777777" w:rsidR="00013FD6" w:rsidRDefault="00013FD6" w:rsidP="002C3F33">
            <w:pPr>
              <w:pStyle w:val="Normal-Table"/>
            </w:pPr>
            <w:r>
              <w:t>DNFR-25</w:t>
            </w:r>
          </w:p>
        </w:tc>
        <w:tc>
          <w:tcPr>
            <w:tcW w:w="5811" w:type="dxa"/>
            <w:shd w:val="clear" w:color="auto" w:fill="auto"/>
          </w:tcPr>
          <w:p w14:paraId="3C58BC82" w14:textId="77777777" w:rsidR="00013FD6" w:rsidRPr="007B787A" w:rsidRDefault="00013FD6" w:rsidP="002C3F33">
            <w:pPr>
              <w:pStyle w:val="Normal-Table"/>
            </w:pPr>
            <w:r w:rsidRPr="007B787A">
              <w:t>Test scripts for the system must be documented and packaged so that they can be reused.</w:t>
            </w:r>
          </w:p>
        </w:tc>
        <w:tc>
          <w:tcPr>
            <w:tcW w:w="7089" w:type="dxa"/>
            <w:shd w:val="clear" w:color="auto" w:fill="auto"/>
          </w:tcPr>
          <w:p w14:paraId="3344899D" w14:textId="12627B55" w:rsidR="00013FD6" w:rsidRPr="0022054F" w:rsidRDefault="00013FD6" w:rsidP="002C3F33">
            <w:pPr>
              <w:pStyle w:val="Normal-Table"/>
            </w:pPr>
            <w:r>
              <w:t xml:space="preserve">Test scripts to support manual testing will be developed using </w:t>
            </w:r>
            <w:proofErr w:type="spellStart"/>
            <w:r>
              <w:t>XMind</w:t>
            </w:r>
            <w:proofErr w:type="spellEnd"/>
            <w:r>
              <w:t xml:space="preserve"> and attached to test items in Azure DevOps. Test scripts to support automated testing will be maintained in the test automation tooling (for more detail refer to the </w:t>
            </w:r>
            <w:r>
              <w:rPr>
                <w:rStyle w:val="DocReferenceChar"/>
              </w:rPr>
              <w:t>{Org}</w:t>
            </w:r>
            <w:r w:rsidRPr="00B30C5A">
              <w:rPr>
                <w:rStyle w:val="DocReferenceChar"/>
              </w:rPr>
              <w:t xml:space="preserve"> </w:t>
            </w:r>
            <w:r>
              <w:rPr>
                <w:rStyle w:val="DocReferenceChar"/>
              </w:rPr>
              <w:t>{</w:t>
            </w:r>
            <w:proofErr w:type="spellStart"/>
            <w:r>
              <w:rPr>
                <w:rStyle w:val="DocReferenceChar"/>
              </w:rPr>
              <w:t>Soltn</w:t>
            </w:r>
            <w:proofErr w:type="spellEnd"/>
            <w:r>
              <w:rPr>
                <w:rStyle w:val="DocReferenceChar"/>
              </w:rPr>
              <w:t>}</w:t>
            </w:r>
            <w:r w:rsidRPr="00B30C5A">
              <w:rPr>
                <w:rStyle w:val="DocReferenceChar"/>
              </w:rPr>
              <w:t xml:space="preserve"> Test Strategy</w:t>
            </w:r>
            <w:r>
              <w:t>).</w:t>
            </w:r>
          </w:p>
        </w:tc>
      </w:tr>
      <w:tr w:rsidR="00013FD6" w:rsidRPr="00B626DE" w14:paraId="1C23EC53" w14:textId="77777777" w:rsidTr="00013FD6">
        <w:trPr>
          <w:trHeight w:val="286"/>
        </w:trPr>
        <w:tc>
          <w:tcPr>
            <w:tcW w:w="1129" w:type="dxa"/>
            <w:shd w:val="clear" w:color="auto" w:fill="auto"/>
          </w:tcPr>
          <w:p w14:paraId="6E381871" w14:textId="77777777" w:rsidR="00013FD6" w:rsidRDefault="00013FD6" w:rsidP="002C3F33">
            <w:pPr>
              <w:pStyle w:val="Normal-Table"/>
            </w:pPr>
            <w:r>
              <w:t>DNFR-26</w:t>
            </w:r>
          </w:p>
        </w:tc>
        <w:tc>
          <w:tcPr>
            <w:tcW w:w="5811" w:type="dxa"/>
            <w:shd w:val="clear" w:color="auto" w:fill="auto"/>
          </w:tcPr>
          <w:p w14:paraId="40225228" w14:textId="3E99EF93" w:rsidR="00013FD6" w:rsidRPr="007B787A" w:rsidRDefault="00013FD6" w:rsidP="002C3F33">
            <w:pPr>
              <w:pStyle w:val="Normal-Table"/>
            </w:pPr>
            <w:r w:rsidRPr="007B787A">
              <w:t xml:space="preserve">System components, services, patterns, and processes must be documented in accordance with </w:t>
            </w:r>
            <w:r>
              <w:t>{Org}</w:t>
            </w:r>
            <w:r w:rsidRPr="007B787A">
              <w:t xml:space="preserve"> Architecture Standards, such that they may be readily identified should a future case for reuse be identified.</w:t>
            </w:r>
          </w:p>
        </w:tc>
        <w:tc>
          <w:tcPr>
            <w:tcW w:w="7089" w:type="dxa"/>
            <w:shd w:val="clear" w:color="auto" w:fill="auto"/>
          </w:tcPr>
          <w:p w14:paraId="7FB69FF8" w14:textId="4071EBF7" w:rsidR="00013FD6" w:rsidRPr="0022054F" w:rsidRDefault="00013FD6" w:rsidP="002C3F33">
            <w:pPr>
              <w:pStyle w:val="Normal-Table"/>
            </w:pPr>
            <w:r>
              <w:t xml:space="preserve">Solution architecture and design documentation will be developed in line with </w:t>
            </w:r>
            <w:r>
              <w:t>{Org}</w:t>
            </w:r>
            <w:r>
              <w:t xml:space="preserve"> standards. applicable document templates and relevant governance and assurance processes.</w:t>
            </w:r>
          </w:p>
        </w:tc>
      </w:tr>
      <w:tr w:rsidR="00013FD6" w:rsidRPr="00B626DE" w14:paraId="7DAECFB1" w14:textId="77777777" w:rsidTr="00013FD6">
        <w:trPr>
          <w:cnfStyle w:val="000000100000" w:firstRow="0" w:lastRow="0" w:firstColumn="0" w:lastColumn="0" w:oddVBand="0" w:evenVBand="0" w:oddHBand="1" w:evenHBand="0" w:firstRowFirstColumn="0" w:firstRowLastColumn="0" w:lastRowFirstColumn="0" w:lastRowLastColumn="0"/>
          <w:trHeight w:val="286"/>
        </w:trPr>
        <w:tc>
          <w:tcPr>
            <w:tcW w:w="1129" w:type="dxa"/>
            <w:shd w:val="clear" w:color="auto" w:fill="auto"/>
          </w:tcPr>
          <w:p w14:paraId="292DF01D" w14:textId="77777777" w:rsidR="00013FD6" w:rsidRDefault="00013FD6" w:rsidP="002C3F33">
            <w:pPr>
              <w:pStyle w:val="Normal-Table"/>
            </w:pPr>
            <w:r>
              <w:t>DNFR-27</w:t>
            </w:r>
          </w:p>
        </w:tc>
        <w:tc>
          <w:tcPr>
            <w:tcW w:w="5811" w:type="dxa"/>
            <w:shd w:val="clear" w:color="auto" w:fill="auto"/>
          </w:tcPr>
          <w:p w14:paraId="4B94FF3B" w14:textId="77777777" w:rsidR="00013FD6" w:rsidRPr="007B787A" w:rsidRDefault="00013FD6" w:rsidP="002C3F33">
            <w:pPr>
              <w:pStyle w:val="Normal-Table"/>
            </w:pPr>
            <w:r w:rsidRPr="007B787A">
              <w:t>System components must be designed and/or selected with reusability as a key driver. This implies:</w:t>
            </w:r>
          </w:p>
          <w:p w14:paraId="2E104E5B" w14:textId="77777777" w:rsidR="00013FD6" w:rsidRDefault="00013FD6" w:rsidP="00013FD6">
            <w:pPr>
              <w:pStyle w:val="Body-Left"/>
              <w:numPr>
                <w:ilvl w:val="0"/>
                <w:numId w:val="77"/>
              </w:numPr>
            </w:pPr>
            <w:r w:rsidRPr="007B787A">
              <w:t>Use of standards-based interfaces between components.</w:t>
            </w:r>
          </w:p>
          <w:p w14:paraId="429ABD52" w14:textId="77777777" w:rsidR="00013FD6" w:rsidRPr="007B787A" w:rsidRDefault="00013FD6" w:rsidP="00013FD6">
            <w:pPr>
              <w:pStyle w:val="Body-Left"/>
              <w:numPr>
                <w:ilvl w:val="0"/>
                <w:numId w:val="77"/>
              </w:numPr>
            </w:pPr>
            <w:r w:rsidRPr="007B787A">
              <w:t>Documentation of interfaces and component functionality.</w:t>
            </w:r>
          </w:p>
        </w:tc>
        <w:tc>
          <w:tcPr>
            <w:tcW w:w="7089" w:type="dxa"/>
            <w:shd w:val="clear" w:color="auto" w:fill="auto"/>
          </w:tcPr>
          <w:p w14:paraId="455DB879" w14:textId="77777777" w:rsidR="00013FD6" w:rsidRDefault="00013FD6" w:rsidP="002C3F33">
            <w:pPr>
              <w:pStyle w:val="Normal-Table"/>
            </w:pPr>
            <w:r>
              <w:t>All solution interfaces are standards-based (</w:t>
            </w:r>
            <w:r w:rsidRPr="00B30C5A">
              <w:rPr>
                <w:rStyle w:val="LocalRefChar"/>
              </w:rPr>
              <w:t xml:space="preserve">refer </w:t>
            </w:r>
            <w:r w:rsidRPr="00B30C5A">
              <w:rPr>
                <w:rStyle w:val="LocalRefChar"/>
              </w:rPr>
              <w:fldChar w:fldCharType="begin"/>
            </w:r>
            <w:r w:rsidRPr="00B30C5A">
              <w:rPr>
                <w:rStyle w:val="LocalRefChar"/>
              </w:rPr>
              <w:instrText xml:space="preserve"> REF _Ref80856745 \r \h  \* MERGEFORMAT </w:instrText>
            </w:r>
            <w:r w:rsidRPr="00B30C5A">
              <w:rPr>
                <w:rStyle w:val="LocalRefChar"/>
              </w:rPr>
            </w:r>
            <w:r w:rsidRPr="00B30C5A">
              <w:rPr>
                <w:rStyle w:val="LocalRefChar"/>
              </w:rPr>
              <w:fldChar w:fldCharType="separate"/>
            </w:r>
            <w:r w:rsidRPr="00B30C5A">
              <w:rPr>
                <w:rStyle w:val="LocalRefChar"/>
              </w:rPr>
              <w:t>6.2</w:t>
            </w:r>
            <w:r w:rsidRPr="00B30C5A">
              <w:rPr>
                <w:rStyle w:val="LocalRefChar"/>
              </w:rPr>
              <w:fldChar w:fldCharType="end"/>
            </w:r>
            <w:r w:rsidRPr="00B30C5A">
              <w:rPr>
                <w:rStyle w:val="LocalRefChar"/>
              </w:rPr>
              <w:t xml:space="preserve"> </w:t>
            </w:r>
            <w:r w:rsidRPr="00B30C5A">
              <w:rPr>
                <w:rStyle w:val="LocalRefChar"/>
              </w:rPr>
              <w:fldChar w:fldCharType="begin"/>
            </w:r>
            <w:r w:rsidRPr="00B30C5A">
              <w:rPr>
                <w:rStyle w:val="LocalRefChar"/>
              </w:rPr>
              <w:instrText xml:space="preserve"> REF _Ref80856745 \h  \* MERGEFORMAT </w:instrText>
            </w:r>
            <w:r w:rsidRPr="00B30C5A">
              <w:rPr>
                <w:rStyle w:val="LocalRefChar"/>
              </w:rPr>
            </w:r>
            <w:r w:rsidRPr="00B30C5A">
              <w:rPr>
                <w:rStyle w:val="LocalRefChar"/>
              </w:rPr>
              <w:fldChar w:fldCharType="separate"/>
            </w:r>
            <w:r w:rsidRPr="00B30C5A">
              <w:rPr>
                <w:rStyle w:val="LocalRefChar"/>
              </w:rPr>
              <w:t>Integration View</w:t>
            </w:r>
            <w:r w:rsidRPr="00B30C5A">
              <w:rPr>
                <w:rStyle w:val="LocalRefChar"/>
              </w:rPr>
              <w:fldChar w:fldCharType="end"/>
            </w:r>
            <w:r>
              <w:t>).</w:t>
            </w:r>
          </w:p>
          <w:p w14:paraId="377AD0F3" w14:textId="6AA2AE5B" w:rsidR="00013FD6" w:rsidRPr="00D03AFC" w:rsidRDefault="00013FD6" w:rsidP="002C3F33">
            <w:pPr>
              <w:pStyle w:val="Normal-Table"/>
            </w:pPr>
            <w:r w:rsidRPr="00D03AFC">
              <w:t xml:space="preserve">During elaboration, best practice integration design principles (inc. consideration of reuse) will be applied to interface design. This will include API governance and assurance by the </w:t>
            </w:r>
            <w:r>
              <w:t>{Org}</w:t>
            </w:r>
            <w:r w:rsidRPr="00D03AFC">
              <w:t xml:space="preserve"> Middleware team.</w:t>
            </w:r>
          </w:p>
        </w:tc>
      </w:tr>
    </w:tbl>
    <w:p w14:paraId="3662BC34" w14:textId="77777777" w:rsidR="00013FD6" w:rsidRPr="00645182" w:rsidRDefault="00013FD6" w:rsidP="00013FD6"/>
    <w:p w14:paraId="04DAD6F5" w14:textId="77777777" w:rsidR="00013FD6" w:rsidRDefault="00013FD6" w:rsidP="00013FD6">
      <w:pPr>
        <w:pStyle w:val="Heading3"/>
        <w:numPr>
          <w:ilvl w:val="2"/>
          <w:numId w:val="75"/>
        </w:numPr>
        <w:ind w:left="720"/>
      </w:pPr>
      <w:hyperlink w:anchor="_Toc428542035" w:history="1">
        <w:bookmarkStart w:id="15" w:name="_Toc138082982"/>
        <w:r w:rsidRPr="002221FB">
          <w:t>Maintainability</w:t>
        </w:r>
        <w:bookmarkEnd w:id="15"/>
      </w:hyperlink>
    </w:p>
    <w:p w14:paraId="5A753418" w14:textId="77777777" w:rsidR="00013FD6" w:rsidRPr="0099407D" w:rsidRDefault="00013FD6" w:rsidP="00013FD6">
      <w:r w:rsidRPr="0099407D">
        <w:t>“Modifiability, Enhancement, Fault Detection, Isolation and Repair”</w:t>
      </w:r>
    </w:p>
    <w:p w14:paraId="5D5C544F" w14:textId="77777777" w:rsidR="00013FD6" w:rsidRPr="0099407D" w:rsidRDefault="00013FD6" w:rsidP="00013FD6">
      <w:r w:rsidRPr="0099407D">
        <w:t>The ability to maintain the system efficiently: find and remove faults, improve performance, carry out modifications and infrastructure upgrades.</w:t>
      </w:r>
    </w:p>
    <w:tbl>
      <w:tblPr>
        <w:tblStyle w:val="GridTable4-Accent5"/>
        <w:tblW w:w="14312" w:type="dxa"/>
        <w:tblLook w:val="0420" w:firstRow="1" w:lastRow="0" w:firstColumn="0" w:lastColumn="0" w:noHBand="0" w:noVBand="1"/>
      </w:tblPr>
      <w:tblGrid>
        <w:gridCol w:w="1129"/>
        <w:gridCol w:w="5811"/>
        <w:gridCol w:w="7372"/>
      </w:tblGrid>
      <w:tr w:rsidR="00013FD6" w:rsidRPr="003B33E7" w14:paraId="439F4446" w14:textId="77777777" w:rsidTr="00013FD6">
        <w:trPr>
          <w:cnfStyle w:val="100000000000" w:firstRow="1" w:lastRow="0" w:firstColumn="0" w:lastColumn="0" w:oddVBand="0" w:evenVBand="0" w:oddHBand="0" w:evenHBand="0" w:firstRowFirstColumn="0" w:firstRowLastColumn="0" w:lastRowFirstColumn="0" w:lastRowLastColumn="0"/>
          <w:cantSplit/>
          <w:tblHeader/>
        </w:trPr>
        <w:tc>
          <w:tcPr>
            <w:tcW w:w="1129" w:type="dxa"/>
          </w:tcPr>
          <w:p w14:paraId="3A1B4180" w14:textId="77777777" w:rsidR="00013FD6" w:rsidRPr="00ED45DA" w:rsidRDefault="00013FD6" w:rsidP="002C3F33">
            <w:r w:rsidRPr="00ED45DA">
              <w:lastRenderedPageBreak/>
              <w:t>Ref</w:t>
            </w:r>
          </w:p>
        </w:tc>
        <w:tc>
          <w:tcPr>
            <w:tcW w:w="5811" w:type="dxa"/>
          </w:tcPr>
          <w:p w14:paraId="75863E4F" w14:textId="77777777" w:rsidR="00013FD6" w:rsidRPr="00ED45DA" w:rsidRDefault="00013FD6" w:rsidP="002C3F33">
            <w:r w:rsidRPr="00ED45DA">
              <w:t>Description</w:t>
            </w:r>
          </w:p>
        </w:tc>
        <w:tc>
          <w:tcPr>
            <w:tcW w:w="7372" w:type="dxa"/>
          </w:tcPr>
          <w:p w14:paraId="3A114560" w14:textId="77777777" w:rsidR="00013FD6" w:rsidRPr="00ED45DA" w:rsidRDefault="00013FD6" w:rsidP="002C3F33">
            <w:r w:rsidRPr="00ED45DA">
              <w:t>Solution Traceability</w:t>
            </w:r>
          </w:p>
        </w:tc>
      </w:tr>
      <w:tr w:rsidR="00013FD6" w:rsidRPr="00B626DE" w14:paraId="0EB2F1FE" w14:textId="77777777" w:rsidTr="00013FD6">
        <w:trPr>
          <w:cnfStyle w:val="000000100000" w:firstRow="0" w:lastRow="0" w:firstColumn="0" w:lastColumn="0" w:oddVBand="0" w:evenVBand="0" w:oddHBand="1" w:evenHBand="0" w:firstRowFirstColumn="0" w:firstRowLastColumn="0" w:lastRowFirstColumn="0" w:lastRowLastColumn="0"/>
          <w:cantSplit/>
          <w:trHeight w:val="311"/>
        </w:trPr>
        <w:tc>
          <w:tcPr>
            <w:tcW w:w="1129" w:type="dxa"/>
            <w:shd w:val="clear" w:color="auto" w:fill="auto"/>
          </w:tcPr>
          <w:p w14:paraId="500B0772" w14:textId="77777777" w:rsidR="00013FD6" w:rsidRPr="00E26B10" w:rsidRDefault="00013FD6" w:rsidP="002C3F33">
            <w:pPr>
              <w:pStyle w:val="Normal-Table"/>
              <w:rPr>
                <w:rFonts w:eastAsia="Times New Roman" w:cs="Times New Roman"/>
                <w:lang w:eastAsia="en-NZ"/>
              </w:rPr>
            </w:pPr>
            <w:r>
              <w:t>DNFR-28</w:t>
            </w:r>
          </w:p>
        </w:tc>
        <w:tc>
          <w:tcPr>
            <w:tcW w:w="5811" w:type="dxa"/>
            <w:shd w:val="clear" w:color="auto" w:fill="auto"/>
          </w:tcPr>
          <w:p w14:paraId="1F463EA1" w14:textId="77777777" w:rsidR="00013FD6" w:rsidRPr="00E26B10" w:rsidRDefault="00013FD6" w:rsidP="002C3F33">
            <w:pPr>
              <w:pStyle w:val="Normal-Table"/>
              <w:rPr>
                <w:rFonts w:eastAsia="Times New Roman" w:cs="Times New Roman"/>
                <w:lang w:eastAsia="en-NZ"/>
              </w:rPr>
            </w:pPr>
            <w:r w:rsidRPr="00263972">
              <w:t xml:space="preserve">Any customisation of the system should not impede the maintainability of the solution software.  </w:t>
            </w:r>
          </w:p>
        </w:tc>
        <w:tc>
          <w:tcPr>
            <w:tcW w:w="7372" w:type="dxa"/>
            <w:shd w:val="clear" w:color="auto" w:fill="FFFFFF" w:themeFill="background1"/>
          </w:tcPr>
          <w:p w14:paraId="64DD619B" w14:textId="77777777" w:rsidR="00013FD6" w:rsidRDefault="00013FD6" w:rsidP="002C3F33">
            <w:pPr>
              <w:pStyle w:val="Normal-Table"/>
            </w:pPr>
            <w:r w:rsidRPr="00263972">
              <w:t>The key solution COTS platforms (Salesforce and ArcGIS) provide frameworks that support a clear separation between the base platform and any customisations. This approach ensures that any customisations remain unaffected through updates and/or upgrades to the underlying platforms.</w:t>
            </w:r>
          </w:p>
          <w:p w14:paraId="1BF65D37" w14:textId="77777777" w:rsidR="00013FD6" w:rsidRDefault="00013FD6" w:rsidP="002C3F33">
            <w:pPr>
              <w:pStyle w:val="Normal-Table"/>
            </w:pPr>
            <w:r>
              <w:t>In addition:</w:t>
            </w:r>
          </w:p>
          <w:p w14:paraId="5562BBA7" w14:textId="77777777" w:rsidR="00013FD6" w:rsidRDefault="00013FD6" w:rsidP="002C3F33">
            <w:pPr>
              <w:pStyle w:val="Normal-Table"/>
              <w:numPr>
                <w:ilvl w:val="0"/>
                <w:numId w:val="53"/>
              </w:numPr>
            </w:pPr>
            <w:r w:rsidRPr="009E06D0">
              <w:t>Any customisations will only be applied via supported extension points.</w:t>
            </w:r>
          </w:p>
          <w:p w14:paraId="47C5EA1B" w14:textId="77777777" w:rsidR="00013FD6" w:rsidRPr="00263972" w:rsidRDefault="00013FD6" w:rsidP="002C3F33">
            <w:pPr>
              <w:pStyle w:val="Normal-Table"/>
              <w:numPr>
                <w:ilvl w:val="0"/>
                <w:numId w:val="53"/>
              </w:numPr>
            </w:pPr>
            <w:r>
              <w:t>Any requirement for significant customisation will require a formal governed decision.</w:t>
            </w:r>
          </w:p>
        </w:tc>
      </w:tr>
      <w:tr w:rsidR="00013FD6" w:rsidRPr="00B626DE" w14:paraId="1EA78319" w14:textId="77777777" w:rsidTr="00013FD6">
        <w:trPr>
          <w:cantSplit/>
          <w:trHeight w:val="286"/>
        </w:trPr>
        <w:tc>
          <w:tcPr>
            <w:tcW w:w="1129" w:type="dxa"/>
            <w:shd w:val="clear" w:color="auto" w:fill="auto"/>
          </w:tcPr>
          <w:p w14:paraId="01FA4B22" w14:textId="77777777" w:rsidR="00013FD6" w:rsidRDefault="00013FD6" w:rsidP="002C3F33">
            <w:pPr>
              <w:pStyle w:val="Normal-Table"/>
            </w:pPr>
            <w:r>
              <w:t>DNFR-29</w:t>
            </w:r>
          </w:p>
        </w:tc>
        <w:tc>
          <w:tcPr>
            <w:tcW w:w="5811" w:type="dxa"/>
            <w:shd w:val="clear" w:color="auto" w:fill="auto"/>
          </w:tcPr>
          <w:p w14:paraId="619AADD3" w14:textId="0E1571CA" w:rsidR="00013FD6" w:rsidRDefault="00013FD6" w:rsidP="002C3F33">
            <w:pPr>
              <w:pStyle w:val="Normal-Table"/>
            </w:pPr>
            <w:r w:rsidRPr="007B787A">
              <w:t xml:space="preserve">Any customisations of the system should be done through extensions that are clearly identifiable as belonging to </w:t>
            </w:r>
            <w:r>
              <w:t>{Org}</w:t>
            </w:r>
            <w:r w:rsidRPr="007B787A">
              <w:t>.</w:t>
            </w:r>
          </w:p>
          <w:p w14:paraId="060B6739" w14:textId="107FF0B2" w:rsidR="00013FD6" w:rsidRPr="00B15B7C" w:rsidRDefault="00013FD6" w:rsidP="002C3F33">
            <w:pPr>
              <w:pStyle w:val="Normal-Table"/>
            </w:pPr>
            <w:r>
              <w:t xml:space="preserve">Any extensions should be able to be supported and maintained by </w:t>
            </w:r>
            <w:r>
              <w:t>{Org}</w:t>
            </w:r>
            <w:r>
              <w:t xml:space="preserve"> without significant technical support.</w:t>
            </w:r>
          </w:p>
        </w:tc>
        <w:tc>
          <w:tcPr>
            <w:tcW w:w="7372" w:type="dxa"/>
            <w:shd w:val="clear" w:color="auto" w:fill="auto"/>
          </w:tcPr>
          <w:p w14:paraId="7E83BAF0" w14:textId="77777777" w:rsidR="00013FD6" w:rsidRDefault="00013FD6" w:rsidP="002C3F33">
            <w:pPr>
              <w:pStyle w:val="Normal-Table"/>
            </w:pPr>
            <w:r>
              <w:t>Refer DNFR-21.</w:t>
            </w:r>
          </w:p>
        </w:tc>
      </w:tr>
      <w:tr w:rsidR="00013FD6" w:rsidRPr="00B626DE" w14:paraId="2A09985E" w14:textId="77777777" w:rsidTr="00013FD6">
        <w:trPr>
          <w:cnfStyle w:val="000000100000" w:firstRow="0" w:lastRow="0" w:firstColumn="0" w:lastColumn="0" w:oddVBand="0" w:evenVBand="0" w:oddHBand="1" w:evenHBand="0" w:firstRowFirstColumn="0" w:firstRowLastColumn="0" w:lastRowFirstColumn="0" w:lastRowLastColumn="0"/>
          <w:cantSplit/>
          <w:trHeight w:val="286"/>
        </w:trPr>
        <w:tc>
          <w:tcPr>
            <w:tcW w:w="1129" w:type="dxa"/>
            <w:shd w:val="clear" w:color="auto" w:fill="auto"/>
          </w:tcPr>
          <w:p w14:paraId="1B5D1DF1" w14:textId="77777777" w:rsidR="00013FD6" w:rsidRPr="002812A6" w:rsidRDefault="00013FD6" w:rsidP="002C3F33">
            <w:pPr>
              <w:pStyle w:val="Normal-Table"/>
            </w:pPr>
            <w:r>
              <w:t>DNFR-30</w:t>
            </w:r>
          </w:p>
        </w:tc>
        <w:tc>
          <w:tcPr>
            <w:tcW w:w="5811" w:type="dxa"/>
            <w:shd w:val="clear" w:color="auto" w:fill="auto"/>
          </w:tcPr>
          <w:p w14:paraId="1971236A" w14:textId="4A51BA98" w:rsidR="00013FD6" w:rsidRPr="0022054F" w:rsidRDefault="00013FD6" w:rsidP="002C3F33">
            <w:pPr>
              <w:pStyle w:val="Normal-Table"/>
            </w:pPr>
            <w:r w:rsidRPr="00B15B7C">
              <w:t xml:space="preserve">Development of </w:t>
            </w:r>
            <w:r>
              <w:t>{Org}</w:t>
            </w:r>
            <w:r w:rsidRPr="00B15B7C">
              <w:t xml:space="preserve"> Custom components/code modules for the system must utilise a supported industry standard and widely adopted programming and or scripting language and libraries</w:t>
            </w:r>
            <w:r w:rsidRPr="007B787A">
              <w:t>.</w:t>
            </w:r>
          </w:p>
        </w:tc>
        <w:tc>
          <w:tcPr>
            <w:tcW w:w="7372" w:type="dxa"/>
            <w:shd w:val="clear" w:color="auto" w:fill="auto"/>
          </w:tcPr>
          <w:p w14:paraId="24685A8C" w14:textId="77777777" w:rsidR="00013FD6" w:rsidRDefault="00013FD6" w:rsidP="002C3F33">
            <w:pPr>
              <w:pStyle w:val="Normal-Table"/>
            </w:pPr>
            <w:r>
              <w:t xml:space="preserve">Platform customisations (extensions) and custom code modules utilise platform mandated and/or industry standard development languages and libraries. </w:t>
            </w:r>
          </w:p>
          <w:p w14:paraId="526679CF" w14:textId="77777777" w:rsidR="00013FD6" w:rsidRDefault="00013FD6" w:rsidP="002C3F33">
            <w:pPr>
              <w:pStyle w:val="Normal-Table"/>
            </w:pPr>
            <w:r>
              <w:t>Specifically:</w:t>
            </w:r>
          </w:p>
          <w:p w14:paraId="405BE8F2" w14:textId="77777777" w:rsidR="00013FD6" w:rsidRDefault="00013FD6" w:rsidP="002C3F33">
            <w:pPr>
              <w:pStyle w:val="Normal-Table"/>
              <w:numPr>
                <w:ilvl w:val="0"/>
                <w:numId w:val="50"/>
              </w:numPr>
            </w:pPr>
            <w:r w:rsidRPr="003154CD">
              <w:rPr>
                <w:i/>
                <w:iCs/>
              </w:rPr>
              <w:t>Salesforce</w:t>
            </w:r>
            <w:r>
              <w:t xml:space="preserve"> - Salesforce APEX Script, OmniScript, HTML and CSS (refer section </w:t>
            </w:r>
            <w:r w:rsidRPr="005B7049">
              <w:rPr>
                <w:rStyle w:val="LocalRefChar"/>
              </w:rPr>
              <w:fldChar w:fldCharType="begin"/>
            </w:r>
            <w:r w:rsidRPr="005B7049">
              <w:rPr>
                <w:rStyle w:val="LocalRefChar"/>
              </w:rPr>
              <w:instrText xml:space="preserve"> REF _Ref81293093 \r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6.1.2</w:t>
            </w:r>
            <w:r w:rsidRPr="005B7049">
              <w:rPr>
                <w:rStyle w:val="LocalRefChar"/>
              </w:rPr>
              <w:fldChar w:fldCharType="end"/>
            </w:r>
            <w:r w:rsidRPr="005B7049">
              <w:rPr>
                <w:rStyle w:val="LocalRefChar"/>
              </w:rPr>
              <w:t xml:space="preserve"> </w:t>
            </w:r>
            <w:r w:rsidRPr="005B7049">
              <w:rPr>
                <w:rStyle w:val="LocalRefChar"/>
              </w:rPr>
              <w:fldChar w:fldCharType="begin"/>
            </w:r>
            <w:r w:rsidRPr="005B7049">
              <w:rPr>
                <w:rStyle w:val="LocalRefChar"/>
              </w:rPr>
              <w:instrText xml:space="preserve"> REF _Ref81293097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Salesforce Implementation</w:t>
            </w:r>
            <w:r w:rsidRPr="005B7049">
              <w:rPr>
                <w:rStyle w:val="LocalRefChar"/>
              </w:rPr>
              <w:fldChar w:fldCharType="end"/>
            </w:r>
            <w:r>
              <w:t>).</w:t>
            </w:r>
          </w:p>
          <w:p w14:paraId="2104513A" w14:textId="77777777" w:rsidR="00013FD6" w:rsidRDefault="00013FD6" w:rsidP="002C3F33">
            <w:pPr>
              <w:pStyle w:val="Normal-Table"/>
              <w:numPr>
                <w:ilvl w:val="0"/>
                <w:numId w:val="50"/>
              </w:numPr>
            </w:pPr>
            <w:r w:rsidRPr="003154CD">
              <w:rPr>
                <w:i/>
                <w:iCs/>
              </w:rPr>
              <w:t>ArcGIS</w:t>
            </w:r>
            <w:r>
              <w:t xml:space="preserve"> – Python script for Geospatial services (refer section </w:t>
            </w:r>
            <w:r>
              <w:fldChar w:fldCharType="begin"/>
            </w:r>
            <w:r>
              <w:instrText xml:space="preserve"> REF _Ref81293389 \r \h </w:instrText>
            </w:r>
            <w:r>
              <w:fldChar w:fldCharType="separate"/>
            </w:r>
            <w:r>
              <w:t>6.1.3</w:t>
            </w:r>
            <w:r>
              <w:fldChar w:fldCharType="end"/>
            </w:r>
            <w:r>
              <w:t xml:space="preserve"> </w:t>
            </w:r>
            <w:r>
              <w:fldChar w:fldCharType="begin"/>
            </w:r>
            <w:r>
              <w:instrText xml:space="preserve"> REF _Ref81293392 \h </w:instrText>
            </w:r>
            <w:r>
              <w:fldChar w:fldCharType="separate"/>
            </w:r>
            <w:r>
              <w:t>ArcGIS Implementation</w:t>
            </w:r>
            <w:r>
              <w:fldChar w:fldCharType="end"/>
            </w:r>
            <w:r>
              <w:t>).</w:t>
            </w:r>
          </w:p>
          <w:p w14:paraId="3DACD239" w14:textId="77777777" w:rsidR="00013FD6" w:rsidRPr="0022054F" w:rsidRDefault="00013FD6" w:rsidP="002C3F33">
            <w:pPr>
              <w:pStyle w:val="Normal-Table"/>
              <w:numPr>
                <w:ilvl w:val="0"/>
                <w:numId w:val="50"/>
              </w:numPr>
            </w:pPr>
            <w:r w:rsidRPr="003154CD">
              <w:rPr>
                <w:i/>
                <w:iCs/>
              </w:rPr>
              <w:t>Azure Services</w:t>
            </w:r>
            <w:r>
              <w:t xml:space="preserve"> – Microsoft ASP.NET (GIS WebApp) and .NET (Azure Functions) (refer section </w:t>
            </w:r>
            <w:r w:rsidRPr="005B7049">
              <w:rPr>
                <w:rStyle w:val="LocalRefChar"/>
              </w:rPr>
              <w:fldChar w:fldCharType="begin"/>
            </w:r>
            <w:r w:rsidRPr="005B7049">
              <w:rPr>
                <w:rStyle w:val="LocalRefChar"/>
              </w:rPr>
              <w:instrText xml:space="preserve"> REF _Ref81293204 \r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6.1.4</w:t>
            </w:r>
            <w:r w:rsidRPr="005B7049">
              <w:rPr>
                <w:rStyle w:val="LocalRefChar"/>
              </w:rPr>
              <w:fldChar w:fldCharType="end"/>
            </w:r>
            <w:r w:rsidRPr="005B7049">
              <w:rPr>
                <w:rStyle w:val="LocalRefChar"/>
              </w:rPr>
              <w:t xml:space="preserve"> </w:t>
            </w:r>
            <w:r w:rsidRPr="005B7049">
              <w:rPr>
                <w:rStyle w:val="LocalRefChar"/>
              </w:rPr>
              <w:fldChar w:fldCharType="begin"/>
            </w:r>
            <w:r w:rsidRPr="005B7049">
              <w:rPr>
                <w:rStyle w:val="LocalRefChar"/>
              </w:rPr>
              <w:instrText xml:space="preserve"> REF _Ref81293207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Azure Services Implementation</w:t>
            </w:r>
            <w:r w:rsidRPr="005B7049">
              <w:rPr>
                <w:rStyle w:val="LocalRefChar"/>
              </w:rPr>
              <w:fldChar w:fldCharType="end"/>
            </w:r>
            <w:r>
              <w:t>).</w:t>
            </w:r>
          </w:p>
        </w:tc>
      </w:tr>
      <w:tr w:rsidR="00013FD6" w:rsidRPr="00B626DE" w14:paraId="5D6C004E" w14:textId="77777777" w:rsidTr="00013FD6">
        <w:trPr>
          <w:cantSplit/>
          <w:trHeight w:val="286"/>
        </w:trPr>
        <w:tc>
          <w:tcPr>
            <w:tcW w:w="1129" w:type="dxa"/>
            <w:shd w:val="clear" w:color="auto" w:fill="auto"/>
          </w:tcPr>
          <w:p w14:paraId="4D2728D0" w14:textId="77777777" w:rsidR="00013FD6" w:rsidRPr="002812A6" w:rsidRDefault="00013FD6" w:rsidP="002C3F33">
            <w:pPr>
              <w:pStyle w:val="Normal-Table"/>
            </w:pPr>
            <w:r>
              <w:t>DNFR-31</w:t>
            </w:r>
          </w:p>
        </w:tc>
        <w:tc>
          <w:tcPr>
            <w:tcW w:w="5811" w:type="dxa"/>
            <w:shd w:val="clear" w:color="auto" w:fill="auto"/>
          </w:tcPr>
          <w:p w14:paraId="55E24851" w14:textId="77777777" w:rsidR="00013FD6" w:rsidRPr="0022054F" w:rsidRDefault="00013FD6" w:rsidP="002C3F33">
            <w:pPr>
              <w:pStyle w:val="Normal-Table"/>
            </w:pPr>
            <w:r w:rsidRPr="007B787A">
              <w:t>The system must use widely adopted industry technologies, frameworks, and products to ensure longevity, supportability, and availability of expertise.</w:t>
            </w:r>
          </w:p>
        </w:tc>
        <w:tc>
          <w:tcPr>
            <w:tcW w:w="7372" w:type="dxa"/>
            <w:shd w:val="clear" w:color="auto" w:fill="auto"/>
          </w:tcPr>
          <w:p w14:paraId="64FD1DC5" w14:textId="2669B195" w:rsidR="00013FD6" w:rsidRPr="0022054F" w:rsidRDefault="00013FD6" w:rsidP="002C3F33">
            <w:pPr>
              <w:pStyle w:val="Normal-Table"/>
            </w:pPr>
            <w:r>
              <w:t xml:space="preserve">The </w:t>
            </w:r>
            <w:r>
              <w:t>{</w:t>
            </w:r>
            <w:proofErr w:type="spellStart"/>
            <w:r>
              <w:t>Soltn</w:t>
            </w:r>
            <w:proofErr w:type="spellEnd"/>
            <w:r>
              <w:t>}</w:t>
            </w:r>
            <w:r>
              <w:t xml:space="preserve"> solution is based on Salesforce, ArcGIS, and Azure Cloud Services. All platforms are already in active use within </w:t>
            </w:r>
            <w:r>
              <w:t>{Org}</w:t>
            </w:r>
            <w:r>
              <w:t xml:space="preserve"> and have a strong local supply chain. </w:t>
            </w:r>
          </w:p>
        </w:tc>
      </w:tr>
      <w:tr w:rsidR="00013FD6" w:rsidRPr="00B626DE" w14:paraId="2F0BDC71" w14:textId="77777777" w:rsidTr="00013FD6">
        <w:trPr>
          <w:cnfStyle w:val="000000100000" w:firstRow="0" w:lastRow="0" w:firstColumn="0" w:lastColumn="0" w:oddVBand="0" w:evenVBand="0" w:oddHBand="1" w:evenHBand="0" w:firstRowFirstColumn="0" w:firstRowLastColumn="0" w:lastRowFirstColumn="0" w:lastRowLastColumn="0"/>
          <w:cantSplit/>
          <w:trHeight w:val="286"/>
        </w:trPr>
        <w:tc>
          <w:tcPr>
            <w:tcW w:w="1129" w:type="dxa"/>
            <w:shd w:val="clear" w:color="auto" w:fill="auto"/>
          </w:tcPr>
          <w:p w14:paraId="1354A634" w14:textId="77777777" w:rsidR="00013FD6" w:rsidRPr="002812A6" w:rsidRDefault="00013FD6" w:rsidP="002C3F33">
            <w:pPr>
              <w:pStyle w:val="Normal-Table"/>
            </w:pPr>
            <w:r>
              <w:lastRenderedPageBreak/>
              <w:t>DNFR-32</w:t>
            </w:r>
          </w:p>
        </w:tc>
        <w:tc>
          <w:tcPr>
            <w:tcW w:w="5811" w:type="dxa"/>
            <w:shd w:val="clear" w:color="auto" w:fill="auto"/>
          </w:tcPr>
          <w:p w14:paraId="00A9F651" w14:textId="638D9B21" w:rsidR="00013FD6" w:rsidRPr="0022054F" w:rsidRDefault="00013FD6" w:rsidP="002C3F33">
            <w:pPr>
              <w:pStyle w:val="Normal-Table"/>
            </w:pPr>
            <w:r w:rsidRPr="007B787A">
              <w:t xml:space="preserve">Third party products must only be incorporated into the production / run time system with </w:t>
            </w:r>
            <w:r>
              <w:t>{Org}</w:t>
            </w:r>
            <w:r w:rsidRPr="007B787A">
              <w:t xml:space="preserve"> approval via the </w:t>
            </w:r>
            <w:r>
              <w:t>{Org}</w:t>
            </w:r>
            <w:r w:rsidRPr="007B787A">
              <w:t xml:space="preserve"> Change Management Process.</w:t>
            </w:r>
          </w:p>
        </w:tc>
        <w:tc>
          <w:tcPr>
            <w:tcW w:w="7372" w:type="dxa"/>
            <w:shd w:val="clear" w:color="auto" w:fill="auto"/>
          </w:tcPr>
          <w:p w14:paraId="135B4251" w14:textId="71FDEAAE" w:rsidR="00013FD6" w:rsidRPr="0022054F" w:rsidRDefault="00013FD6" w:rsidP="002C3F33">
            <w:pPr>
              <w:pStyle w:val="Normal-Table"/>
            </w:pPr>
            <w:r>
              <w:t xml:space="preserve">Any use of third-party products by the solution will require a formal design decision and be subject to applicable </w:t>
            </w:r>
            <w:r>
              <w:t>{Org}</w:t>
            </w:r>
            <w:r>
              <w:t xml:space="preserve"> architecture governance and assurance.</w:t>
            </w:r>
          </w:p>
        </w:tc>
      </w:tr>
      <w:tr w:rsidR="00013FD6" w:rsidRPr="00B626DE" w14:paraId="6917006D" w14:textId="77777777" w:rsidTr="00013FD6">
        <w:trPr>
          <w:cantSplit/>
          <w:trHeight w:val="286"/>
        </w:trPr>
        <w:tc>
          <w:tcPr>
            <w:tcW w:w="1129" w:type="dxa"/>
            <w:shd w:val="clear" w:color="auto" w:fill="auto"/>
          </w:tcPr>
          <w:p w14:paraId="7514B72C" w14:textId="77777777" w:rsidR="00013FD6" w:rsidRPr="002812A6" w:rsidRDefault="00013FD6" w:rsidP="002C3F33">
            <w:pPr>
              <w:pStyle w:val="Normal-Table"/>
            </w:pPr>
            <w:r>
              <w:t>DNFR-33</w:t>
            </w:r>
          </w:p>
        </w:tc>
        <w:tc>
          <w:tcPr>
            <w:tcW w:w="5811" w:type="dxa"/>
            <w:shd w:val="clear" w:color="auto" w:fill="auto"/>
          </w:tcPr>
          <w:p w14:paraId="1A2285AB" w14:textId="51A110DB" w:rsidR="00013FD6" w:rsidRPr="007B787A" w:rsidRDefault="00013FD6" w:rsidP="002C3F33">
            <w:pPr>
              <w:pStyle w:val="Normal-Table"/>
            </w:pPr>
            <w:r w:rsidRPr="007B787A">
              <w:t xml:space="preserve">The system must use </w:t>
            </w:r>
            <w:r>
              <w:t>{Org}</w:t>
            </w:r>
            <w:r w:rsidRPr="007B787A">
              <w:t xml:space="preserve">’s Incident Management Process to enable the monitoring and management of its components and processes by the relevant SIEM. </w:t>
            </w:r>
          </w:p>
        </w:tc>
        <w:tc>
          <w:tcPr>
            <w:tcW w:w="7372" w:type="dxa"/>
            <w:shd w:val="clear" w:color="auto" w:fill="auto"/>
          </w:tcPr>
          <w:p w14:paraId="396EC20B" w14:textId="77777777" w:rsidR="00013FD6" w:rsidRPr="0022054F" w:rsidRDefault="00013FD6" w:rsidP="002C3F33">
            <w:pPr>
              <w:pStyle w:val="Normal-Table"/>
            </w:pPr>
            <w:r>
              <w:t xml:space="preserve">Refer to section </w:t>
            </w:r>
            <w:r w:rsidRPr="005B7049">
              <w:rPr>
                <w:rStyle w:val="LocalRefChar"/>
              </w:rPr>
              <w:fldChar w:fldCharType="begin"/>
            </w:r>
            <w:r w:rsidRPr="005B7049">
              <w:rPr>
                <w:rStyle w:val="LocalRefChar"/>
              </w:rPr>
              <w:instrText xml:space="preserve"> REF _Ref76480180 \r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7.2.2</w:t>
            </w:r>
            <w:r w:rsidRPr="005B7049">
              <w:rPr>
                <w:rStyle w:val="LocalRefChar"/>
              </w:rPr>
              <w:fldChar w:fldCharType="end"/>
            </w:r>
            <w:r w:rsidRPr="005B7049">
              <w:rPr>
                <w:rStyle w:val="LocalRefChar"/>
              </w:rPr>
              <w:t xml:space="preserve"> </w:t>
            </w:r>
            <w:r w:rsidRPr="005B7049">
              <w:rPr>
                <w:rStyle w:val="LocalRefChar"/>
              </w:rPr>
              <w:fldChar w:fldCharType="begin"/>
            </w:r>
            <w:r w:rsidRPr="005B7049">
              <w:rPr>
                <w:rStyle w:val="LocalRefChar"/>
              </w:rPr>
              <w:instrText xml:space="preserve"> REF _Ref76480180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Operational Monitoring</w:t>
            </w:r>
            <w:r w:rsidRPr="005B7049">
              <w:rPr>
                <w:rStyle w:val="LocalRefChar"/>
              </w:rPr>
              <w:fldChar w:fldCharType="end"/>
            </w:r>
            <w:r>
              <w:t xml:space="preserve"> for an overview of solution monitoring integration (inc. incident alerting and ticketing).</w:t>
            </w:r>
          </w:p>
        </w:tc>
      </w:tr>
    </w:tbl>
    <w:p w14:paraId="32784D09" w14:textId="77777777" w:rsidR="00013FD6" w:rsidRDefault="00013FD6" w:rsidP="00013FD6"/>
    <w:p w14:paraId="4C301A46" w14:textId="77777777" w:rsidR="00013FD6" w:rsidRPr="008D275E" w:rsidRDefault="00013FD6" w:rsidP="00013FD6">
      <w:pPr>
        <w:pStyle w:val="Heading3"/>
        <w:numPr>
          <w:ilvl w:val="2"/>
          <w:numId w:val="75"/>
        </w:numPr>
        <w:ind w:left="720"/>
      </w:pPr>
      <w:bookmarkStart w:id="16" w:name="_Ref82089466"/>
      <w:bookmarkStart w:id="17" w:name="_Ref82089469"/>
      <w:bookmarkStart w:id="18" w:name="_Toc138082983"/>
      <w:r w:rsidRPr="00B05283">
        <w:t>Manageability</w:t>
      </w:r>
      <w:bookmarkEnd w:id="16"/>
      <w:bookmarkEnd w:id="17"/>
      <w:bookmarkEnd w:id="18"/>
    </w:p>
    <w:tbl>
      <w:tblPr>
        <w:tblStyle w:val="GridTable4-Accent5"/>
        <w:tblW w:w="14312" w:type="dxa"/>
        <w:tblLook w:val="0420" w:firstRow="1" w:lastRow="0" w:firstColumn="0" w:lastColumn="0" w:noHBand="0" w:noVBand="1"/>
      </w:tblPr>
      <w:tblGrid>
        <w:gridCol w:w="1129"/>
        <w:gridCol w:w="5811"/>
        <w:gridCol w:w="7372"/>
      </w:tblGrid>
      <w:tr w:rsidR="00013FD6" w:rsidRPr="003B33E7" w14:paraId="7C959115" w14:textId="77777777" w:rsidTr="00013FD6">
        <w:trPr>
          <w:cnfStyle w:val="100000000000" w:firstRow="1" w:lastRow="0" w:firstColumn="0" w:lastColumn="0" w:oddVBand="0" w:evenVBand="0" w:oddHBand="0" w:evenHBand="0" w:firstRowFirstColumn="0" w:firstRowLastColumn="0" w:lastRowFirstColumn="0" w:lastRowLastColumn="0"/>
          <w:cantSplit/>
          <w:tblHeader/>
        </w:trPr>
        <w:tc>
          <w:tcPr>
            <w:tcW w:w="1129" w:type="dxa"/>
          </w:tcPr>
          <w:p w14:paraId="6C6CDE9F" w14:textId="77777777" w:rsidR="00013FD6" w:rsidRPr="00ED45DA" w:rsidRDefault="00013FD6" w:rsidP="002C3F33">
            <w:r w:rsidRPr="00ED45DA">
              <w:t>Ref</w:t>
            </w:r>
          </w:p>
        </w:tc>
        <w:tc>
          <w:tcPr>
            <w:tcW w:w="5811" w:type="dxa"/>
          </w:tcPr>
          <w:p w14:paraId="0FB567F8" w14:textId="77777777" w:rsidR="00013FD6" w:rsidRPr="00ED45DA" w:rsidRDefault="00013FD6" w:rsidP="002C3F33">
            <w:r w:rsidRPr="00ED45DA">
              <w:t>Description</w:t>
            </w:r>
          </w:p>
        </w:tc>
        <w:tc>
          <w:tcPr>
            <w:tcW w:w="7372" w:type="dxa"/>
          </w:tcPr>
          <w:p w14:paraId="3D623B9B" w14:textId="77777777" w:rsidR="00013FD6" w:rsidRPr="00ED45DA" w:rsidRDefault="00013FD6" w:rsidP="002C3F33">
            <w:r w:rsidRPr="00ED45DA">
              <w:t>Solution Traceability</w:t>
            </w:r>
          </w:p>
        </w:tc>
      </w:tr>
      <w:tr w:rsidR="00013FD6" w:rsidRPr="00B626DE" w14:paraId="4BD27EA8" w14:textId="77777777" w:rsidTr="00013FD6">
        <w:trPr>
          <w:cnfStyle w:val="000000100000" w:firstRow="0" w:lastRow="0" w:firstColumn="0" w:lastColumn="0" w:oddVBand="0" w:evenVBand="0" w:oddHBand="1" w:evenHBand="0" w:firstRowFirstColumn="0" w:firstRowLastColumn="0" w:lastRowFirstColumn="0" w:lastRowLastColumn="0"/>
          <w:cantSplit/>
          <w:trHeight w:val="286"/>
        </w:trPr>
        <w:tc>
          <w:tcPr>
            <w:tcW w:w="1129" w:type="dxa"/>
            <w:shd w:val="clear" w:color="auto" w:fill="auto"/>
          </w:tcPr>
          <w:p w14:paraId="10EBC26D" w14:textId="77777777" w:rsidR="00013FD6" w:rsidRPr="002812A6" w:rsidRDefault="00013FD6" w:rsidP="002C3F33">
            <w:pPr>
              <w:pStyle w:val="Normal-Table"/>
            </w:pPr>
            <w:r>
              <w:t>DNFR-34</w:t>
            </w:r>
          </w:p>
        </w:tc>
        <w:tc>
          <w:tcPr>
            <w:tcW w:w="5811" w:type="dxa"/>
            <w:shd w:val="clear" w:color="auto" w:fill="auto"/>
          </w:tcPr>
          <w:p w14:paraId="5952C10E" w14:textId="77777777" w:rsidR="00013FD6" w:rsidRPr="007B787A" w:rsidRDefault="00013FD6" w:rsidP="002C3F33">
            <w:pPr>
              <w:pStyle w:val="Normal-Table"/>
            </w:pPr>
            <w:r w:rsidRPr="007B787A">
              <w:t xml:space="preserve">The system must include appropriate tools and documented procedures to support its day-to-day operation. </w:t>
            </w:r>
          </w:p>
        </w:tc>
        <w:tc>
          <w:tcPr>
            <w:tcW w:w="7372" w:type="dxa"/>
            <w:shd w:val="clear" w:color="auto" w:fill="auto"/>
          </w:tcPr>
          <w:p w14:paraId="56C5255A" w14:textId="77777777" w:rsidR="00013FD6" w:rsidRDefault="00013FD6" w:rsidP="002C3F33">
            <w:pPr>
              <w:pStyle w:val="Normal-Table"/>
            </w:pPr>
            <w:r w:rsidRPr="00851982">
              <w:t xml:space="preserve">To support </w:t>
            </w:r>
            <w:r>
              <w:t xml:space="preserve">production handover, </w:t>
            </w:r>
            <w:r w:rsidRPr="00851982">
              <w:t xml:space="preserve">a Solution </w:t>
            </w:r>
            <w:r>
              <w:t>Operations</w:t>
            </w:r>
            <w:r w:rsidRPr="00851982">
              <w:t xml:space="preserve"> Manual will be developed. This will cover</w:t>
            </w:r>
            <w:r>
              <w:t>:</w:t>
            </w:r>
          </w:p>
          <w:p w14:paraId="6436E3C8" w14:textId="77777777" w:rsidR="00013FD6" w:rsidRDefault="00013FD6" w:rsidP="002C3F33">
            <w:pPr>
              <w:pStyle w:val="Normal-Table"/>
              <w:numPr>
                <w:ilvl w:val="0"/>
                <w:numId w:val="52"/>
              </w:numPr>
            </w:pPr>
            <w:r>
              <w:t>BAU and/or routine maintenance procedures for the key technical platforms e.g. backup verification checks.</w:t>
            </w:r>
          </w:p>
          <w:p w14:paraId="28CD53B0" w14:textId="77777777" w:rsidR="00013FD6" w:rsidRDefault="00013FD6" w:rsidP="002C3F33">
            <w:pPr>
              <w:pStyle w:val="Normal-Table"/>
              <w:numPr>
                <w:ilvl w:val="0"/>
                <w:numId w:val="52"/>
              </w:numPr>
            </w:pPr>
            <w:r>
              <w:t>Guidance regarding the triage and diagnosis of production issues/incidents.</w:t>
            </w:r>
          </w:p>
          <w:p w14:paraId="68104D38" w14:textId="77777777" w:rsidR="00013FD6" w:rsidRDefault="00013FD6" w:rsidP="002C3F33">
            <w:pPr>
              <w:pStyle w:val="Normal-Table"/>
              <w:numPr>
                <w:ilvl w:val="0"/>
                <w:numId w:val="52"/>
              </w:numPr>
            </w:pPr>
            <w:r>
              <w:t>The solution support model including key ICT and vendor contact details.</w:t>
            </w:r>
          </w:p>
          <w:p w14:paraId="546F45B8" w14:textId="77777777" w:rsidR="00013FD6" w:rsidRPr="0022054F" w:rsidRDefault="00013FD6" w:rsidP="002C3F33">
            <w:pPr>
              <w:pStyle w:val="Normal-Table"/>
              <w:numPr>
                <w:ilvl w:val="0"/>
                <w:numId w:val="52"/>
              </w:numPr>
            </w:pPr>
            <w:r>
              <w:t xml:space="preserve">Any third-party remote access requirements for support or BAU platform management.  </w:t>
            </w:r>
          </w:p>
        </w:tc>
      </w:tr>
      <w:tr w:rsidR="00013FD6" w:rsidRPr="00B626DE" w14:paraId="2CAA39CD" w14:textId="77777777" w:rsidTr="00013FD6">
        <w:trPr>
          <w:cantSplit/>
          <w:trHeight w:val="286"/>
        </w:trPr>
        <w:tc>
          <w:tcPr>
            <w:tcW w:w="1129" w:type="dxa"/>
            <w:shd w:val="clear" w:color="auto" w:fill="auto"/>
          </w:tcPr>
          <w:p w14:paraId="6551D290" w14:textId="77777777" w:rsidR="00013FD6" w:rsidRPr="002812A6" w:rsidRDefault="00013FD6" w:rsidP="002C3F33">
            <w:pPr>
              <w:pStyle w:val="Normal-Table"/>
            </w:pPr>
            <w:r>
              <w:t>DNFR-35</w:t>
            </w:r>
          </w:p>
        </w:tc>
        <w:tc>
          <w:tcPr>
            <w:tcW w:w="5811" w:type="dxa"/>
            <w:shd w:val="clear" w:color="auto" w:fill="auto"/>
          </w:tcPr>
          <w:p w14:paraId="39977AA8" w14:textId="77777777" w:rsidR="00013FD6" w:rsidRPr="007B787A" w:rsidRDefault="00013FD6" w:rsidP="002C3F33">
            <w:pPr>
              <w:pStyle w:val="Normal-Table"/>
            </w:pPr>
            <w:r w:rsidRPr="007B787A">
              <w:t>The Operation Manual and System Handover Guide for the system must detail any requirement for remote management or support from third parties.</w:t>
            </w:r>
          </w:p>
        </w:tc>
        <w:tc>
          <w:tcPr>
            <w:tcW w:w="7372" w:type="dxa"/>
            <w:shd w:val="clear" w:color="auto" w:fill="auto"/>
          </w:tcPr>
          <w:p w14:paraId="0349435F" w14:textId="77777777" w:rsidR="00013FD6" w:rsidRPr="0022054F" w:rsidRDefault="00013FD6" w:rsidP="002C3F33">
            <w:pPr>
              <w:pStyle w:val="Normal-Table"/>
            </w:pPr>
            <w:r>
              <w:t>Refer DNFR-34.</w:t>
            </w:r>
          </w:p>
        </w:tc>
      </w:tr>
      <w:tr w:rsidR="00013FD6" w:rsidRPr="00B626DE" w14:paraId="6E4DA7F1" w14:textId="77777777" w:rsidTr="00013FD6">
        <w:trPr>
          <w:cnfStyle w:val="000000100000" w:firstRow="0" w:lastRow="0" w:firstColumn="0" w:lastColumn="0" w:oddVBand="0" w:evenVBand="0" w:oddHBand="1" w:evenHBand="0" w:firstRowFirstColumn="0" w:firstRowLastColumn="0" w:lastRowFirstColumn="0" w:lastRowLastColumn="0"/>
          <w:cantSplit/>
          <w:trHeight w:val="286"/>
        </w:trPr>
        <w:tc>
          <w:tcPr>
            <w:tcW w:w="1129" w:type="dxa"/>
            <w:shd w:val="clear" w:color="auto" w:fill="auto"/>
          </w:tcPr>
          <w:p w14:paraId="19784059" w14:textId="77777777" w:rsidR="00013FD6" w:rsidRPr="002812A6" w:rsidRDefault="00013FD6" w:rsidP="002C3F33">
            <w:pPr>
              <w:pStyle w:val="Normal-Table"/>
            </w:pPr>
            <w:r>
              <w:t>DNFR-36</w:t>
            </w:r>
          </w:p>
        </w:tc>
        <w:tc>
          <w:tcPr>
            <w:tcW w:w="5811" w:type="dxa"/>
            <w:shd w:val="clear" w:color="auto" w:fill="auto"/>
          </w:tcPr>
          <w:p w14:paraId="5A789B26" w14:textId="74F85A53" w:rsidR="00013FD6" w:rsidRPr="007B787A" w:rsidRDefault="00013FD6" w:rsidP="002C3F33">
            <w:pPr>
              <w:pStyle w:val="Normal-Table"/>
            </w:pPr>
            <w:r w:rsidRPr="007B787A">
              <w:t xml:space="preserve">If remote access into </w:t>
            </w:r>
            <w:r>
              <w:t>{Org}</w:t>
            </w:r>
            <w:r w:rsidRPr="007B787A">
              <w:t xml:space="preserve">’s network is required by the support provider of the system, then this must be approved and should follow </w:t>
            </w:r>
            <w:r>
              <w:t>{Org}</w:t>
            </w:r>
            <w:r w:rsidRPr="007B787A">
              <w:t xml:space="preserve"> Change Management process</w:t>
            </w:r>
          </w:p>
        </w:tc>
        <w:tc>
          <w:tcPr>
            <w:tcW w:w="7372" w:type="dxa"/>
            <w:shd w:val="clear" w:color="auto" w:fill="auto"/>
          </w:tcPr>
          <w:p w14:paraId="5FE4F9BD" w14:textId="0D6C5CA5" w:rsidR="00013FD6" w:rsidRPr="0022054F" w:rsidRDefault="00013FD6" w:rsidP="002C3F33">
            <w:pPr>
              <w:pStyle w:val="Normal-Table"/>
            </w:pPr>
            <w:r>
              <w:t xml:space="preserve">Any requests for remote access by third party support provides will follow </w:t>
            </w:r>
            <w:r>
              <w:t>{Org}</w:t>
            </w:r>
            <w:r>
              <w:t>’s established user and change processes.</w:t>
            </w:r>
          </w:p>
        </w:tc>
      </w:tr>
      <w:tr w:rsidR="00013FD6" w:rsidRPr="00B626DE" w14:paraId="5269044B" w14:textId="77777777" w:rsidTr="00013FD6">
        <w:trPr>
          <w:cantSplit/>
          <w:trHeight w:val="286"/>
        </w:trPr>
        <w:tc>
          <w:tcPr>
            <w:tcW w:w="1129" w:type="dxa"/>
            <w:shd w:val="clear" w:color="auto" w:fill="auto"/>
          </w:tcPr>
          <w:p w14:paraId="3430B20D" w14:textId="77777777" w:rsidR="00013FD6" w:rsidRPr="002812A6" w:rsidRDefault="00013FD6" w:rsidP="002C3F33">
            <w:pPr>
              <w:pStyle w:val="Normal-Table"/>
            </w:pPr>
            <w:r>
              <w:lastRenderedPageBreak/>
              <w:t>DNFR-37</w:t>
            </w:r>
          </w:p>
        </w:tc>
        <w:tc>
          <w:tcPr>
            <w:tcW w:w="5811" w:type="dxa"/>
            <w:shd w:val="clear" w:color="auto" w:fill="auto"/>
          </w:tcPr>
          <w:p w14:paraId="5C005489" w14:textId="77777777" w:rsidR="00013FD6" w:rsidRPr="007B787A" w:rsidRDefault="00013FD6" w:rsidP="002C3F33">
            <w:pPr>
              <w:pStyle w:val="Normal-Table"/>
            </w:pPr>
            <w:r w:rsidRPr="007B787A">
              <w:t>The system must support SLA monitoring to confirm availability and performance.</w:t>
            </w:r>
          </w:p>
        </w:tc>
        <w:tc>
          <w:tcPr>
            <w:tcW w:w="7372" w:type="dxa"/>
            <w:shd w:val="clear" w:color="auto" w:fill="auto"/>
          </w:tcPr>
          <w:p w14:paraId="13B801EF" w14:textId="77777777" w:rsidR="00013FD6" w:rsidRDefault="00013FD6" w:rsidP="002C3F33">
            <w:pPr>
              <w:pStyle w:val="Normal-Table"/>
            </w:pPr>
            <w:r>
              <w:t>The solution will support end-to-end monitoring of solution health and performance.</w:t>
            </w:r>
          </w:p>
          <w:p w14:paraId="152EF276" w14:textId="77777777" w:rsidR="00013FD6" w:rsidRDefault="00013FD6" w:rsidP="002C3F33">
            <w:pPr>
              <w:pStyle w:val="Normal-Table"/>
              <w:numPr>
                <w:ilvl w:val="0"/>
                <w:numId w:val="69"/>
              </w:numPr>
            </w:pPr>
            <w:r>
              <w:t xml:space="preserve">Refer section </w:t>
            </w:r>
            <w:r w:rsidRPr="005B7049">
              <w:rPr>
                <w:rStyle w:val="LocalRefChar"/>
              </w:rPr>
              <w:fldChar w:fldCharType="begin"/>
            </w:r>
            <w:r w:rsidRPr="005B7049">
              <w:rPr>
                <w:rStyle w:val="LocalRefChar"/>
              </w:rPr>
              <w:instrText xml:space="preserve"> REF _Ref82098242 \r \h  \* MERGEFORMAT </w:instrText>
            </w:r>
            <w:r w:rsidRPr="005B7049">
              <w:rPr>
                <w:rStyle w:val="LocalRefChar"/>
              </w:rPr>
            </w:r>
            <w:r w:rsidRPr="005B7049">
              <w:rPr>
                <w:rStyle w:val="LocalRefChar"/>
              </w:rPr>
              <w:fldChar w:fldCharType="separate"/>
            </w:r>
            <w:r w:rsidRPr="005B7049">
              <w:rPr>
                <w:rStyle w:val="LocalRefChar"/>
              </w:rPr>
              <w:t>6.1.4.3</w:t>
            </w:r>
            <w:r w:rsidRPr="005B7049">
              <w:rPr>
                <w:rStyle w:val="LocalRefChar"/>
              </w:rPr>
              <w:fldChar w:fldCharType="end"/>
            </w:r>
            <w:r w:rsidRPr="005B7049">
              <w:rPr>
                <w:rStyle w:val="LocalRefChar"/>
              </w:rPr>
              <w:t xml:space="preserve"> </w:t>
            </w:r>
            <w:r w:rsidRPr="005B7049">
              <w:rPr>
                <w:rStyle w:val="LocalRefChar"/>
              </w:rPr>
              <w:fldChar w:fldCharType="begin"/>
            </w:r>
            <w:r w:rsidRPr="005B7049">
              <w:rPr>
                <w:rStyle w:val="LocalRefChar"/>
              </w:rPr>
              <w:instrText xml:space="preserve"> REF _Ref82098242 \h  \* MERGEFORMAT </w:instrText>
            </w:r>
            <w:r w:rsidRPr="005B7049">
              <w:rPr>
                <w:rStyle w:val="LocalRefChar"/>
              </w:rPr>
            </w:r>
            <w:r w:rsidRPr="005B7049">
              <w:rPr>
                <w:rStyle w:val="LocalRefChar"/>
              </w:rPr>
              <w:fldChar w:fldCharType="separate"/>
            </w:r>
            <w:r w:rsidRPr="005B7049">
              <w:rPr>
                <w:rStyle w:val="LocalRefChar"/>
              </w:rPr>
              <w:t>Health Monitoring</w:t>
            </w:r>
            <w:r w:rsidRPr="005B7049">
              <w:rPr>
                <w:rStyle w:val="LocalRefChar"/>
              </w:rPr>
              <w:fldChar w:fldCharType="end"/>
            </w:r>
            <w:r>
              <w:t xml:space="preserve"> for an overview of the Azure Monitor based solution health dashboard(s).</w:t>
            </w:r>
          </w:p>
          <w:p w14:paraId="45185B07" w14:textId="77777777" w:rsidR="00013FD6" w:rsidRPr="0022054F" w:rsidRDefault="00013FD6" w:rsidP="002C3F33">
            <w:pPr>
              <w:pStyle w:val="Normal-Table"/>
              <w:numPr>
                <w:ilvl w:val="0"/>
                <w:numId w:val="69"/>
              </w:numPr>
            </w:pPr>
            <w:r>
              <w:t>Refer section</w:t>
            </w:r>
            <w:r w:rsidRPr="00AE0A9E">
              <w:rPr>
                <w:i/>
                <w:iCs/>
              </w:rPr>
              <w:t xml:space="preserve"> </w:t>
            </w:r>
            <w:r w:rsidRPr="005B7049">
              <w:rPr>
                <w:rStyle w:val="LocalRefChar"/>
              </w:rPr>
              <w:fldChar w:fldCharType="begin"/>
            </w:r>
            <w:r w:rsidRPr="005B7049">
              <w:rPr>
                <w:rStyle w:val="LocalRefChar"/>
              </w:rPr>
              <w:instrText xml:space="preserve"> REF _Ref76480180 \r \h  \* MERGEFORMAT </w:instrText>
            </w:r>
            <w:r w:rsidRPr="005B7049">
              <w:rPr>
                <w:rStyle w:val="LocalRefChar"/>
              </w:rPr>
            </w:r>
            <w:r w:rsidRPr="005B7049">
              <w:rPr>
                <w:rStyle w:val="LocalRefChar"/>
              </w:rPr>
              <w:fldChar w:fldCharType="separate"/>
            </w:r>
            <w:r w:rsidRPr="005B7049">
              <w:rPr>
                <w:rStyle w:val="LocalRefChar"/>
              </w:rPr>
              <w:t>7.2.2</w:t>
            </w:r>
            <w:r w:rsidRPr="005B7049">
              <w:rPr>
                <w:rStyle w:val="LocalRefChar"/>
              </w:rPr>
              <w:fldChar w:fldCharType="end"/>
            </w:r>
            <w:r w:rsidRPr="005B7049">
              <w:rPr>
                <w:rStyle w:val="LocalRefChar"/>
              </w:rPr>
              <w:t xml:space="preserve"> </w:t>
            </w:r>
            <w:r w:rsidRPr="005B7049">
              <w:rPr>
                <w:rStyle w:val="LocalRefChar"/>
              </w:rPr>
              <w:fldChar w:fldCharType="begin"/>
            </w:r>
            <w:r w:rsidRPr="005B7049">
              <w:rPr>
                <w:rStyle w:val="LocalRefChar"/>
              </w:rPr>
              <w:instrText xml:space="preserve"> REF _Ref76480180 \h  \* MERGEFORMAT </w:instrText>
            </w:r>
            <w:r w:rsidRPr="005B7049">
              <w:rPr>
                <w:rStyle w:val="LocalRefChar"/>
              </w:rPr>
            </w:r>
            <w:r w:rsidRPr="005B7049">
              <w:rPr>
                <w:rStyle w:val="LocalRefChar"/>
              </w:rPr>
              <w:fldChar w:fldCharType="separate"/>
            </w:r>
            <w:r w:rsidRPr="005B7049">
              <w:rPr>
                <w:rStyle w:val="LocalRefChar"/>
              </w:rPr>
              <w:t>Operational Monitoring</w:t>
            </w:r>
            <w:r w:rsidRPr="005B7049">
              <w:rPr>
                <w:rStyle w:val="LocalRefChar"/>
              </w:rPr>
              <w:fldChar w:fldCharType="end"/>
            </w:r>
            <w:r>
              <w:t xml:space="preserve"> for an overview of health monitoring alert rule configuration.</w:t>
            </w:r>
          </w:p>
        </w:tc>
      </w:tr>
      <w:tr w:rsidR="00013FD6" w:rsidRPr="00B626DE" w14:paraId="407DFD8E" w14:textId="77777777" w:rsidTr="00013FD6">
        <w:trPr>
          <w:cnfStyle w:val="000000100000" w:firstRow="0" w:lastRow="0" w:firstColumn="0" w:lastColumn="0" w:oddVBand="0" w:evenVBand="0" w:oddHBand="1" w:evenHBand="0" w:firstRowFirstColumn="0" w:firstRowLastColumn="0" w:lastRowFirstColumn="0" w:lastRowLastColumn="0"/>
          <w:cantSplit/>
          <w:trHeight w:val="286"/>
        </w:trPr>
        <w:tc>
          <w:tcPr>
            <w:tcW w:w="1129" w:type="dxa"/>
            <w:shd w:val="clear" w:color="auto" w:fill="auto"/>
          </w:tcPr>
          <w:p w14:paraId="21D6888A" w14:textId="77777777" w:rsidR="00013FD6" w:rsidRPr="002812A6" w:rsidRDefault="00013FD6" w:rsidP="002C3F33">
            <w:pPr>
              <w:pStyle w:val="Normal-Table"/>
            </w:pPr>
            <w:r>
              <w:t>DNFR-38</w:t>
            </w:r>
          </w:p>
        </w:tc>
        <w:tc>
          <w:tcPr>
            <w:tcW w:w="5811" w:type="dxa"/>
            <w:shd w:val="clear" w:color="auto" w:fill="auto"/>
          </w:tcPr>
          <w:p w14:paraId="5A06EEDD" w14:textId="349BA744" w:rsidR="00013FD6" w:rsidRPr="007B787A" w:rsidRDefault="00013FD6" w:rsidP="002C3F33">
            <w:pPr>
              <w:pStyle w:val="Normal-Table"/>
            </w:pPr>
            <w:r w:rsidRPr="007B787A">
              <w:t xml:space="preserve">The system should allow </w:t>
            </w:r>
            <w:r>
              <w:t>{Org}</w:t>
            </w:r>
            <w:r w:rsidRPr="007B787A">
              <w:t xml:space="preserve"> to use its standard SLA monitoring tool to confirm availability and performance. </w:t>
            </w:r>
          </w:p>
        </w:tc>
        <w:tc>
          <w:tcPr>
            <w:tcW w:w="7372" w:type="dxa"/>
            <w:shd w:val="clear" w:color="auto" w:fill="auto"/>
          </w:tcPr>
          <w:p w14:paraId="57067C22" w14:textId="30241FAB" w:rsidR="00013FD6" w:rsidRDefault="00013FD6" w:rsidP="002C3F33">
            <w:pPr>
              <w:pStyle w:val="Normal-Table"/>
            </w:pPr>
            <w:r>
              <w:t xml:space="preserve">At the time of writing, </w:t>
            </w:r>
            <w:r>
              <w:t>{Org}</w:t>
            </w:r>
            <w:r>
              <w:t xml:space="preserve"> does not have a centralised, shared tool for availability and performance monitoring. Currently Azure App Insights is being trialled for several on-premise web applications. </w:t>
            </w:r>
          </w:p>
          <w:p w14:paraId="2ED51B1D" w14:textId="6B485C31" w:rsidR="00013FD6" w:rsidRPr="0022054F" w:rsidRDefault="00013FD6" w:rsidP="002C3F33">
            <w:pPr>
              <w:pStyle w:val="Normal-Table"/>
            </w:pPr>
            <w:r>
              <w:t xml:space="preserve">The </w:t>
            </w:r>
            <w:r>
              <w:t>{</w:t>
            </w:r>
            <w:proofErr w:type="spellStart"/>
            <w:r>
              <w:t>Soltn</w:t>
            </w:r>
            <w:proofErr w:type="spellEnd"/>
            <w:r>
              <w:t>}</w:t>
            </w:r>
            <w:r>
              <w:t xml:space="preserve"> solution is proposing to use Azure App Insights in combination with Azure Monitor dashboards to provide end-to-end health and performance monitoring (refer section </w:t>
            </w:r>
            <w:r w:rsidRPr="005B7049">
              <w:rPr>
                <w:rStyle w:val="LocalRefChar"/>
              </w:rPr>
              <w:fldChar w:fldCharType="begin"/>
            </w:r>
            <w:r w:rsidRPr="005B7049">
              <w:rPr>
                <w:rStyle w:val="LocalRefChar"/>
              </w:rPr>
              <w:instrText xml:space="preserve"> REF _Ref76480180 \r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7.2.2</w:t>
            </w:r>
            <w:r w:rsidRPr="005B7049">
              <w:rPr>
                <w:rStyle w:val="LocalRefChar"/>
              </w:rPr>
              <w:fldChar w:fldCharType="end"/>
            </w:r>
            <w:r w:rsidRPr="005B7049">
              <w:rPr>
                <w:rStyle w:val="LocalRefChar"/>
              </w:rPr>
              <w:t xml:space="preserve"> </w:t>
            </w:r>
            <w:r w:rsidRPr="005B7049">
              <w:rPr>
                <w:rStyle w:val="LocalRefChar"/>
              </w:rPr>
              <w:fldChar w:fldCharType="begin"/>
            </w:r>
            <w:r w:rsidRPr="005B7049">
              <w:rPr>
                <w:rStyle w:val="LocalRefChar"/>
              </w:rPr>
              <w:instrText xml:space="preserve"> REF _Ref76480180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Operational Monitoring</w:t>
            </w:r>
            <w:r w:rsidRPr="005B7049">
              <w:rPr>
                <w:rStyle w:val="LocalRefChar"/>
              </w:rPr>
              <w:fldChar w:fldCharType="end"/>
            </w:r>
            <w:r>
              <w:t>).</w:t>
            </w:r>
          </w:p>
        </w:tc>
      </w:tr>
    </w:tbl>
    <w:p w14:paraId="3C74F825" w14:textId="77777777" w:rsidR="00013FD6" w:rsidRDefault="00013FD6" w:rsidP="00013FD6"/>
    <w:p w14:paraId="6E6068D3" w14:textId="77777777" w:rsidR="00013FD6" w:rsidRPr="008D275E" w:rsidRDefault="00013FD6" w:rsidP="00013FD6">
      <w:pPr>
        <w:pStyle w:val="Heading3"/>
        <w:numPr>
          <w:ilvl w:val="2"/>
          <w:numId w:val="75"/>
        </w:numPr>
        <w:ind w:left="720"/>
      </w:pPr>
      <w:hyperlink w:anchor="_Toc428542025" w:history="1">
        <w:bookmarkStart w:id="19" w:name="_Toc138082984"/>
        <w:proofErr w:type="spellStart"/>
        <w:r>
          <w:t>Deployability</w:t>
        </w:r>
        <w:bookmarkEnd w:id="19"/>
        <w:proofErr w:type="spellEnd"/>
      </w:hyperlink>
    </w:p>
    <w:tbl>
      <w:tblPr>
        <w:tblStyle w:val="GridTable4-Accent5"/>
        <w:tblW w:w="14312" w:type="dxa"/>
        <w:tblLook w:val="0420" w:firstRow="1" w:lastRow="0" w:firstColumn="0" w:lastColumn="0" w:noHBand="0" w:noVBand="1"/>
      </w:tblPr>
      <w:tblGrid>
        <w:gridCol w:w="1129"/>
        <w:gridCol w:w="5811"/>
        <w:gridCol w:w="7372"/>
      </w:tblGrid>
      <w:tr w:rsidR="00013FD6" w:rsidRPr="003B33E7" w14:paraId="25DFC77B" w14:textId="77777777" w:rsidTr="00013FD6">
        <w:trPr>
          <w:cnfStyle w:val="100000000000" w:firstRow="1" w:lastRow="0" w:firstColumn="0" w:lastColumn="0" w:oddVBand="0" w:evenVBand="0" w:oddHBand="0" w:evenHBand="0" w:firstRowFirstColumn="0" w:firstRowLastColumn="0" w:lastRowFirstColumn="0" w:lastRowLastColumn="0"/>
          <w:cantSplit/>
          <w:tblHeader/>
        </w:trPr>
        <w:tc>
          <w:tcPr>
            <w:tcW w:w="1129" w:type="dxa"/>
          </w:tcPr>
          <w:p w14:paraId="03A24823" w14:textId="77777777" w:rsidR="00013FD6" w:rsidRPr="00ED45DA" w:rsidRDefault="00013FD6" w:rsidP="002C3F33">
            <w:pPr>
              <w:pStyle w:val="Normal-Table"/>
            </w:pPr>
            <w:r w:rsidRPr="00ED45DA">
              <w:t>Ref</w:t>
            </w:r>
          </w:p>
        </w:tc>
        <w:tc>
          <w:tcPr>
            <w:tcW w:w="5811" w:type="dxa"/>
          </w:tcPr>
          <w:p w14:paraId="7DE94685" w14:textId="77777777" w:rsidR="00013FD6" w:rsidRPr="00ED45DA" w:rsidRDefault="00013FD6" w:rsidP="002C3F33">
            <w:pPr>
              <w:pStyle w:val="Normal-Table"/>
            </w:pPr>
            <w:r w:rsidRPr="00ED45DA">
              <w:t>Description</w:t>
            </w:r>
          </w:p>
        </w:tc>
        <w:tc>
          <w:tcPr>
            <w:tcW w:w="7372" w:type="dxa"/>
          </w:tcPr>
          <w:p w14:paraId="79434CA1" w14:textId="77777777" w:rsidR="00013FD6" w:rsidRPr="00ED45DA" w:rsidRDefault="00013FD6" w:rsidP="002C3F33">
            <w:pPr>
              <w:pStyle w:val="Normal-Table"/>
            </w:pPr>
            <w:r w:rsidRPr="00ED45DA">
              <w:t>Solution Traceability</w:t>
            </w:r>
          </w:p>
        </w:tc>
      </w:tr>
      <w:tr w:rsidR="00013FD6" w:rsidRPr="00B626DE" w14:paraId="2D841AC4" w14:textId="77777777" w:rsidTr="00013FD6">
        <w:trPr>
          <w:cnfStyle w:val="000000100000" w:firstRow="0" w:lastRow="0" w:firstColumn="0" w:lastColumn="0" w:oddVBand="0" w:evenVBand="0" w:oddHBand="1" w:evenHBand="0" w:firstRowFirstColumn="0" w:firstRowLastColumn="0" w:lastRowFirstColumn="0" w:lastRowLastColumn="0"/>
          <w:cantSplit/>
          <w:trHeight w:val="311"/>
        </w:trPr>
        <w:tc>
          <w:tcPr>
            <w:tcW w:w="1129" w:type="dxa"/>
            <w:shd w:val="clear" w:color="auto" w:fill="auto"/>
          </w:tcPr>
          <w:p w14:paraId="14F4916D" w14:textId="77777777" w:rsidR="00013FD6" w:rsidRPr="00E26B10" w:rsidRDefault="00013FD6" w:rsidP="002C3F33">
            <w:pPr>
              <w:pStyle w:val="Normal-Table"/>
              <w:rPr>
                <w:rFonts w:eastAsia="Times New Roman" w:cs="Times New Roman"/>
                <w:lang w:eastAsia="en-NZ"/>
              </w:rPr>
            </w:pPr>
            <w:r>
              <w:t>DNFR-39</w:t>
            </w:r>
          </w:p>
        </w:tc>
        <w:tc>
          <w:tcPr>
            <w:tcW w:w="5811" w:type="dxa"/>
            <w:shd w:val="clear" w:color="auto" w:fill="auto"/>
          </w:tcPr>
          <w:p w14:paraId="7A0CBA25" w14:textId="44FC8B13" w:rsidR="00013FD6" w:rsidRPr="00E26B10" w:rsidRDefault="00013FD6" w:rsidP="002C3F33">
            <w:pPr>
              <w:pStyle w:val="Normal-Table"/>
              <w:rPr>
                <w:rFonts w:eastAsia="Times New Roman" w:cs="Times New Roman"/>
                <w:lang w:eastAsia="en-NZ"/>
              </w:rPr>
            </w:pPr>
            <w:r w:rsidRPr="007B787A">
              <w:t xml:space="preserve">The system deployment must be compliant with </w:t>
            </w:r>
            <w:r>
              <w:t>{Org}</w:t>
            </w:r>
            <w:r w:rsidRPr="007B787A">
              <w:t>’s Project Implementation Process, Production Change Management Process, and systems management process and tools.</w:t>
            </w:r>
          </w:p>
        </w:tc>
        <w:tc>
          <w:tcPr>
            <w:tcW w:w="7372" w:type="dxa"/>
            <w:shd w:val="clear" w:color="auto" w:fill="FFFFFF" w:themeFill="background1"/>
          </w:tcPr>
          <w:p w14:paraId="554E078A" w14:textId="3FAAE9CD" w:rsidR="00013FD6" w:rsidRPr="00E26B10" w:rsidRDefault="00013FD6" w:rsidP="002C3F33">
            <w:pPr>
              <w:pStyle w:val="Normal-Table"/>
            </w:pPr>
            <w:r>
              <w:t xml:space="preserve">The </w:t>
            </w:r>
            <w:r>
              <w:t>{</w:t>
            </w:r>
            <w:proofErr w:type="spellStart"/>
            <w:r>
              <w:t>Soltn</w:t>
            </w:r>
            <w:proofErr w:type="spellEnd"/>
            <w:r>
              <w:t>}</w:t>
            </w:r>
            <w:r>
              <w:t xml:space="preserve"> solution intends to comply with all applicable </w:t>
            </w:r>
            <w:r>
              <w:t>{Org}</w:t>
            </w:r>
            <w:r>
              <w:t xml:space="preserve"> process and tooling standards.</w:t>
            </w:r>
          </w:p>
        </w:tc>
      </w:tr>
      <w:tr w:rsidR="00013FD6" w:rsidRPr="00B626DE" w14:paraId="34EE42A0" w14:textId="77777777" w:rsidTr="00013FD6">
        <w:trPr>
          <w:cantSplit/>
          <w:trHeight w:val="286"/>
        </w:trPr>
        <w:tc>
          <w:tcPr>
            <w:tcW w:w="1129" w:type="dxa"/>
            <w:shd w:val="clear" w:color="auto" w:fill="auto"/>
          </w:tcPr>
          <w:p w14:paraId="40039EAE" w14:textId="77777777" w:rsidR="00013FD6" w:rsidRPr="002812A6" w:rsidRDefault="00013FD6" w:rsidP="002C3F33">
            <w:pPr>
              <w:pStyle w:val="Normal-Table"/>
            </w:pPr>
            <w:r>
              <w:t>DNFR-40</w:t>
            </w:r>
          </w:p>
        </w:tc>
        <w:tc>
          <w:tcPr>
            <w:tcW w:w="5811" w:type="dxa"/>
            <w:shd w:val="clear" w:color="auto" w:fill="auto"/>
          </w:tcPr>
          <w:p w14:paraId="0ECFB78E" w14:textId="77777777" w:rsidR="00013FD6" w:rsidRPr="0022054F" w:rsidRDefault="00013FD6" w:rsidP="002C3F33">
            <w:pPr>
              <w:pStyle w:val="Normal-Table"/>
            </w:pPr>
            <w:r w:rsidRPr="007B787A">
              <w:t xml:space="preserve">The system should allow changes to be packaged in a manner that allows for scheduled automated distribution &amp; implementation to the target environment e.g. distribution into the UAT or Production environments.   </w:t>
            </w:r>
          </w:p>
        </w:tc>
        <w:tc>
          <w:tcPr>
            <w:tcW w:w="7372" w:type="dxa"/>
            <w:shd w:val="clear" w:color="auto" w:fill="auto"/>
          </w:tcPr>
          <w:p w14:paraId="51C1795C" w14:textId="3986C4C1" w:rsidR="00013FD6" w:rsidRDefault="00013FD6" w:rsidP="002C3F33">
            <w:pPr>
              <w:pStyle w:val="Normal-Table"/>
            </w:pPr>
            <w:r>
              <w:t xml:space="preserve">All solution technical platforms will utilise </w:t>
            </w:r>
            <w:r>
              <w:t>{Org}</w:t>
            </w:r>
            <w:r>
              <w:t>’s Azure DevOps tenant for source control, automated unit testing, code quality checks and automated build and packaging.</w:t>
            </w:r>
          </w:p>
          <w:p w14:paraId="06598FCC" w14:textId="77777777" w:rsidR="00013FD6" w:rsidRPr="0022054F" w:rsidRDefault="00013FD6" w:rsidP="002C3F33">
            <w:pPr>
              <w:pStyle w:val="Normal-Table"/>
            </w:pPr>
            <w:r>
              <w:t>All solution public cloud platforms (Salesforce, ArcGIS Online, Apigee service proxies and Azure Cloud Services will utilise Azure DevOps Release Pipelines for deployment and deployment verification testing.</w:t>
            </w:r>
          </w:p>
        </w:tc>
      </w:tr>
      <w:tr w:rsidR="00013FD6" w:rsidRPr="00B626DE" w14:paraId="40EF8556" w14:textId="77777777" w:rsidTr="00013FD6">
        <w:trPr>
          <w:cnfStyle w:val="000000100000" w:firstRow="0" w:lastRow="0" w:firstColumn="0" w:lastColumn="0" w:oddVBand="0" w:evenVBand="0" w:oddHBand="1" w:evenHBand="0" w:firstRowFirstColumn="0" w:firstRowLastColumn="0" w:lastRowFirstColumn="0" w:lastRowLastColumn="0"/>
          <w:cantSplit/>
          <w:trHeight w:val="286"/>
        </w:trPr>
        <w:tc>
          <w:tcPr>
            <w:tcW w:w="1129" w:type="dxa"/>
            <w:shd w:val="clear" w:color="auto" w:fill="auto"/>
          </w:tcPr>
          <w:p w14:paraId="337ED2D6" w14:textId="77777777" w:rsidR="00013FD6" w:rsidRPr="003A6A51" w:rsidRDefault="00013FD6" w:rsidP="002C3F33">
            <w:pPr>
              <w:pStyle w:val="Normal-Table"/>
              <w:rPr>
                <w:b/>
                <w:bCs/>
              </w:rPr>
            </w:pPr>
            <w:r>
              <w:t>DNFR-41</w:t>
            </w:r>
          </w:p>
        </w:tc>
        <w:tc>
          <w:tcPr>
            <w:tcW w:w="5811" w:type="dxa"/>
            <w:shd w:val="clear" w:color="auto" w:fill="auto"/>
          </w:tcPr>
          <w:p w14:paraId="609D81B3" w14:textId="77777777" w:rsidR="00013FD6" w:rsidRPr="007B787A" w:rsidRDefault="00013FD6" w:rsidP="002C3F33">
            <w:pPr>
              <w:pStyle w:val="Normal-Table"/>
            </w:pPr>
            <w:r w:rsidRPr="007B787A">
              <w:t>Changes to components must be version controlled, including web services.</w:t>
            </w:r>
          </w:p>
        </w:tc>
        <w:tc>
          <w:tcPr>
            <w:tcW w:w="7372" w:type="dxa"/>
            <w:shd w:val="clear" w:color="auto" w:fill="auto"/>
          </w:tcPr>
          <w:p w14:paraId="1585969B" w14:textId="11CF5AF0" w:rsidR="00013FD6" w:rsidRDefault="00013FD6" w:rsidP="002C3F33">
            <w:pPr>
              <w:pStyle w:val="Normal-Table"/>
            </w:pPr>
            <w:r>
              <w:t xml:space="preserve">All solution technical platforms will utilise </w:t>
            </w:r>
            <w:r>
              <w:t>{Org}</w:t>
            </w:r>
            <w:r>
              <w:t>’s Azure DevOps tenant for source control.</w:t>
            </w:r>
          </w:p>
        </w:tc>
      </w:tr>
      <w:tr w:rsidR="00013FD6" w:rsidRPr="00B626DE" w14:paraId="09FF7930" w14:textId="77777777" w:rsidTr="00013FD6">
        <w:trPr>
          <w:cantSplit/>
          <w:trHeight w:val="286"/>
        </w:trPr>
        <w:tc>
          <w:tcPr>
            <w:tcW w:w="1129" w:type="dxa"/>
            <w:shd w:val="clear" w:color="auto" w:fill="auto"/>
          </w:tcPr>
          <w:p w14:paraId="3FDB0397" w14:textId="77777777" w:rsidR="00013FD6" w:rsidRPr="002812A6" w:rsidRDefault="00013FD6" w:rsidP="002C3F33">
            <w:pPr>
              <w:pStyle w:val="Normal-Table"/>
            </w:pPr>
            <w:r>
              <w:lastRenderedPageBreak/>
              <w:t>DNFR-42</w:t>
            </w:r>
          </w:p>
        </w:tc>
        <w:tc>
          <w:tcPr>
            <w:tcW w:w="5811" w:type="dxa"/>
            <w:shd w:val="clear" w:color="auto" w:fill="auto"/>
          </w:tcPr>
          <w:p w14:paraId="4E6133AB" w14:textId="77777777" w:rsidR="00013FD6" w:rsidRPr="007B787A" w:rsidRDefault="00013FD6" w:rsidP="002C3F33">
            <w:pPr>
              <w:pStyle w:val="Normal-Table"/>
            </w:pPr>
            <w:r w:rsidRPr="007B787A">
              <w:t>Changes to the system must be able to be rolled back as required.</w:t>
            </w:r>
          </w:p>
        </w:tc>
        <w:tc>
          <w:tcPr>
            <w:tcW w:w="7372" w:type="dxa"/>
            <w:shd w:val="clear" w:color="auto" w:fill="auto"/>
          </w:tcPr>
          <w:p w14:paraId="02080DA1" w14:textId="77777777" w:rsidR="00013FD6" w:rsidRDefault="00013FD6" w:rsidP="002C3F33">
            <w:pPr>
              <w:pStyle w:val="Normal-Table"/>
            </w:pPr>
            <w:r>
              <w:t>Supported by all solution technical platforms. Appropriate system and data backups will be performed to support rollback for major releases.</w:t>
            </w:r>
          </w:p>
        </w:tc>
      </w:tr>
      <w:tr w:rsidR="00013FD6" w:rsidRPr="00B626DE" w14:paraId="59C74BD5" w14:textId="77777777" w:rsidTr="00013FD6">
        <w:trPr>
          <w:cnfStyle w:val="000000100000" w:firstRow="0" w:lastRow="0" w:firstColumn="0" w:lastColumn="0" w:oddVBand="0" w:evenVBand="0" w:oddHBand="1" w:evenHBand="0" w:firstRowFirstColumn="0" w:firstRowLastColumn="0" w:lastRowFirstColumn="0" w:lastRowLastColumn="0"/>
          <w:cantSplit/>
          <w:trHeight w:val="286"/>
        </w:trPr>
        <w:tc>
          <w:tcPr>
            <w:tcW w:w="1129" w:type="dxa"/>
            <w:shd w:val="clear" w:color="auto" w:fill="auto"/>
          </w:tcPr>
          <w:p w14:paraId="28D8D38C" w14:textId="77777777" w:rsidR="00013FD6" w:rsidRPr="002812A6" w:rsidRDefault="00013FD6" w:rsidP="002C3F33">
            <w:pPr>
              <w:pStyle w:val="Normal-Table"/>
            </w:pPr>
            <w:r>
              <w:t>DNFR-43</w:t>
            </w:r>
          </w:p>
        </w:tc>
        <w:tc>
          <w:tcPr>
            <w:tcW w:w="5811" w:type="dxa"/>
            <w:shd w:val="clear" w:color="auto" w:fill="auto"/>
          </w:tcPr>
          <w:p w14:paraId="0EA05B38" w14:textId="77777777" w:rsidR="00013FD6" w:rsidRPr="007B787A" w:rsidRDefault="00013FD6" w:rsidP="002C3F33">
            <w:pPr>
              <w:pStyle w:val="Normal-Table"/>
            </w:pPr>
            <w:r w:rsidRPr="007B787A">
              <w:t>Changes to the system must be audited to show what component was changed from and to what version, who enabled the execution of the change, when it was started and completed, and whether the change applied successfully or not.</w:t>
            </w:r>
          </w:p>
        </w:tc>
        <w:tc>
          <w:tcPr>
            <w:tcW w:w="7372" w:type="dxa"/>
            <w:shd w:val="clear" w:color="auto" w:fill="auto"/>
          </w:tcPr>
          <w:p w14:paraId="38D8371E" w14:textId="77777777" w:rsidR="00013FD6" w:rsidRDefault="00013FD6" w:rsidP="002C3F33">
            <w:pPr>
              <w:pStyle w:val="Normal-Table"/>
            </w:pPr>
            <w:r>
              <w:t xml:space="preserve">All system deployment and configuration activity is logged by the solution (refer section </w:t>
            </w:r>
            <w:r w:rsidRPr="005B7049">
              <w:rPr>
                <w:rStyle w:val="LocalRefChar"/>
              </w:rPr>
              <w:fldChar w:fldCharType="begin"/>
            </w:r>
            <w:r w:rsidRPr="005B7049">
              <w:rPr>
                <w:rStyle w:val="LocalRefChar"/>
              </w:rPr>
              <w:instrText xml:space="preserve"> REF _Ref81378039 \r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7.2.3.2</w:t>
            </w:r>
            <w:r w:rsidRPr="005B7049">
              <w:rPr>
                <w:rStyle w:val="LocalRefChar"/>
              </w:rPr>
              <w:fldChar w:fldCharType="end"/>
            </w:r>
            <w:r w:rsidRPr="005B7049">
              <w:rPr>
                <w:rStyle w:val="LocalRefChar"/>
              </w:rPr>
              <w:t xml:space="preserve"> </w:t>
            </w:r>
            <w:r w:rsidRPr="005B7049">
              <w:rPr>
                <w:rStyle w:val="LocalRefChar"/>
              </w:rPr>
              <w:fldChar w:fldCharType="begin"/>
            </w:r>
            <w:r w:rsidRPr="005B7049">
              <w:rPr>
                <w:rStyle w:val="LocalRefChar"/>
              </w:rPr>
              <w:instrText xml:space="preserve"> REF _Ref81378039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Audit Event Map</w:t>
            </w:r>
            <w:r w:rsidRPr="005B7049">
              <w:rPr>
                <w:rStyle w:val="LocalRefChar"/>
              </w:rPr>
              <w:fldChar w:fldCharType="end"/>
            </w:r>
            <w:r>
              <w:t>).</w:t>
            </w:r>
          </w:p>
        </w:tc>
      </w:tr>
      <w:tr w:rsidR="00013FD6" w:rsidRPr="00B626DE" w14:paraId="6A6448A9" w14:textId="77777777" w:rsidTr="00013FD6">
        <w:trPr>
          <w:cantSplit/>
          <w:trHeight w:val="286"/>
        </w:trPr>
        <w:tc>
          <w:tcPr>
            <w:tcW w:w="1129" w:type="dxa"/>
            <w:shd w:val="clear" w:color="auto" w:fill="auto"/>
          </w:tcPr>
          <w:p w14:paraId="4DB508F0" w14:textId="77777777" w:rsidR="00013FD6" w:rsidRPr="002812A6" w:rsidRDefault="00013FD6" w:rsidP="002C3F33">
            <w:pPr>
              <w:pStyle w:val="Normal-Table"/>
            </w:pPr>
            <w:r>
              <w:t>DNFR-44</w:t>
            </w:r>
          </w:p>
        </w:tc>
        <w:tc>
          <w:tcPr>
            <w:tcW w:w="5811" w:type="dxa"/>
            <w:shd w:val="clear" w:color="auto" w:fill="auto"/>
          </w:tcPr>
          <w:p w14:paraId="5E2E43F4" w14:textId="77777777" w:rsidR="00013FD6" w:rsidRPr="007B787A" w:rsidRDefault="00013FD6" w:rsidP="002C3F33">
            <w:pPr>
              <w:pStyle w:val="Normal-Table"/>
            </w:pPr>
            <w:r w:rsidRPr="007B787A">
              <w:t>Changes must be executed at a specified date / time.  This is particularly important for configuration changes for example product rules that will be time bound.</w:t>
            </w:r>
          </w:p>
        </w:tc>
        <w:tc>
          <w:tcPr>
            <w:tcW w:w="7372" w:type="dxa"/>
            <w:shd w:val="clear" w:color="auto" w:fill="auto"/>
          </w:tcPr>
          <w:p w14:paraId="2FF1CD78" w14:textId="77777777" w:rsidR="00013FD6" w:rsidRDefault="00013FD6" w:rsidP="002C3F33">
            <w:pPr>
              <w:pStyle w:val="Normal-Table"/>
            </w:pPr>
            <w:r>
              <w:t>Solution deployments will be planned and able to be scheduled for specific maintenance windows.</w:t>
            </w:r>
          </w:p>
        </w:tc>
      </w:tr>
      <w:tr w:rsidR="00013FD6" w:rsidRPr="00B626DE" w14:paraId="2C0C7F16" w14:textId="77777777" w:rsidTr="00013FD6">
        <w:trPr>
          <w:cnfStyle w:val="000000100000" w:firstRow="0" w:lastRow="0" w:firstColumn="0" w:lastColumn="0" w:oddVBand="0" w:evenVBand="0" w:oddHBand="1" w:evenHBand="0" w:firstRowFirstColumn="0" w:firstRowLastColumn="0" w:lastRowFirstColumn="0" w:lastRowLastColumn="0"/>
          <w:cantSplit/>
          <w:trHeight w:val="286"/>
        </w:trPr>
        <w:tc>
          <w:tcPr>
            <w:tcW w:w="1129" w:type="dxa"/>
            <w:shd w:val="clear" w:color="auto" w:fill="auto"/>
          </w:tcPr>
          <w:p w14:paraId="244473F5" w14:textId="77777777" w:rsidR="00013FD6" w:rsidRPr="002812A6" w:rsidRDefault="00013FD6" w:rsidP="002C3F33">
            <w:pPr>
              <w:pStyle w:val="Normal-Table"/>
            </w:pPr>
            <w:r>
              <w:t>DNFR-45</w:t>
            </w:r>
          </w:p>
        </w:tc>
        <w:tc>
          <w:tcPr>
            <w:tcW w:w="5811" w:type="dxa"/>
            <w:shd w:val="clear" w:color="auto" w:fill="auto"/>
          </w:tcPr>
          <w:p w14:paraId="46C638FB" w14:textId="77777777" w:rsidR="00013FD6" w:rsidRPr="007B787A" w:rsidRDefault="00013FD6" w:rsidP="002C3F33">
            <w:pPr>
              <w:pStyle w:val="Normal-Table"/>
            </w:pPr>
            <w:r w:rsidRPr="007B787A">
              <w:t>Unsuccessful deployments should generate an alert with reason code and text.</w:t>
            </w:r>
          </w:p>
        </w:tc>
        <w:tc>
          <w:tcPr>
            <w:tcW w:w="7372" w:type="dxa"/>
            <w:shd w:val="clear" w:color="auto" w:fill="auto"/>
          </w:tcPr>
          <w:p w14:paraId="3D84D5D7" w14:textId="77777777" w:rsidR="00013FD6" w:rsidRDefault="00013FD6" w:rsidP="002C3F33">
            <w:pPr>
              <w:pStyle w:val="Normal-Table"/>
            </w:pPr>
            <w:r>
              <w:t xml:space="preserve">DevOps release pipelines will generate appropriate alerts (refer section </w:t>
            </w:r>
            <w:r w:rsidRPr="005B7049">
              <w:rPr>
                <w:rStyle w:val="LocalRefChar"/>
              </w:rPr>
              <w:fldChar w:fldCharType="begin"/>
            </w:r>
            <w:r w:rsidRPr="005B7049">
              <w:rPr>
                <w:rStyle w:val="LocalRefChar"/>
              </w:rPr>
              <w:instrText xml:space="preserve"> REF _Ref76480180 \r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7.2.2</w:t>
            </w:r>
            <w:r w:rsidRPr="005B7049">
              <w:rPr>
                <w:rStyle w:val="LocalRefChar"/>
              </w:rPr>
              <w:fldChar w:fldCharType="end"/>
            </w:r>
            <w:r w:rsidRPr="005B7049">
              <w:rPr>
                <w:rStyle w:val="LocalRefChar"/>
              </w:rPr>
              <w:t xml:space="preserve"> </w:t>
            </w:r>
            <w:r w:rsidRPr="005B7049">
              <w:rPr>
                <w:rStyle w:val="LocalRefChar"/>
              </w:rPr>
              <w:fldChar w:fldCharType="begin"/>
            </w:r>
            <w:r w:rsidRPr="005B7049">
              <w:rPr>
                <w:rStyle w:val="LocalRefChar"/>
              </w:rPr>
              <w:instrText xml:space="preserve"> REF _Ref76480180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Operational Monitoring</w:t>
            </w:r>
            <w:r w:rsidRPr="005B7049">
              <w:rPr>
                <w:rStyle w:val="LocalRefChar"/>
              </w:rPr>
              <w:fldChar w:fldCharType="end"/>
            </w:r>
            <w:r>
              <w:t>).</w:t>
            </w:r>
          </w:p>
        </w:tc>
      </w:tr>
    </w:tbl>
    <w:p w14:paraId="76742AA2" w14:textId="77777777" w:rsidR="00013FD6" w:rsidRPr="0099407D" w:rsidRDefault="00013FD6" w:rsidP="00013FD6"/>
    <w:p w14:paraId="6194792B" w14:textId="77777777" w:rsidR="00013FD6" w:rsidRPr="008D7DF3" w:rsidRDefault="00013FD6" w:rsidP="00013FD6">
      <w:pPr>
        <w:pStyle w:val="Heading3"/>
        <w:numPr>
          <w:ilvl w:val="2"/>
          <w:numId w:val="75"/>
        </w:numPr>
        <w:ind w:left="720"/>
        <w:rPr>
          <w:rFonts w:eastAsiaTheme="minorHAnsi"/>
          <w:sz w:val="22"/>
          <w:szCs w:val="22"/>
        </w:rPr>
      </w:pPr>
      <w:hyperlink w:anchor="_Toc428542036" w:history="1">
        <w:bookmarkStart w:id="20" w:name="_Ref78369541"/>
        <w:bookmarkStart w:id="21" w:name="_Ref78369545"/>
        <w:bookmarkStart w:id="22" w:name="_Toc138082985"/>
        <w:r w:rsidRPr="008D7DF3">
          <w:t>Standards</w:t>
        </w:r>
        <w:bookmarkEnd w:id="20"/>
        <w:bookmarkEnd w:id="21"/>
        <w:bookmarkEnd w:id="22"/>
      </w:hyperlink>
    </w:p>
    <w:p w14:paraId="17F94B41" w14:textId="6C4A0EB0" w:rsidR="00013FD6" w:rsidRDefault="00013FD6" w:rsidP="00013FD6">
      <w:r>
        <w:t xml:space="preserve">Adherence to applicable </w:t>
      </w:r>
      <w:r>
        <w:t>{Org}</w:t>
      </w:r>
      <w:r>
        <w:t>, government and industry standards.</w:t>
      </w:r>
    </w:p>
    <w:tbl>
      <w:tblPr>
        <w:tblStyle w:val="GridTable4-Accent5"/>
        <w:tblW w:w="14312" w:type="dxa"/>
        <w:tblLook w:val="0420" w:firstRow="1" w:lastRow="0" w:firstColumn="0" w:lastColumn="0" w:noHBand="0" w:noVBand="1"/>
      </w:tblPr>
      <w:tblGrid>
        <w:gridCol w:w="1129"/>
        <w:gridCol w:w="5811"/>
        <w:gridCol w:w="7372"/>
      </w:tblGrid>
      <w:tr w:rsidR="00013FD6" w:rsidRPr="003B33E7" w14:paraId="1A2CECC7" w14:textId="77777777" w:rsidTr="00013FD6">
        <w:trPr>
          <w:cnfStyle w:val="100000000000" w:firstRow="1" w:lastRow="0" w:firstColumn="0" w:lastColumn="0" w:oddVBand="0" w:evenVBand="0" w:oddHBand="0" w:evenHBand="0" w:firstRowFirstColumn="0" w:firstRowLastColumn="0" w:lastRowFirstColumn="0" w:lastRowLastColumn="0"/>
          <w:tblHeader/>
        </w:trPr>
        <w:tc>
          <w:tcPr>
            <w:tcW w:w="1129" w:type="dxa"/>
          </w:tcPr>
          <w:p w14:paraId="51C8ADEA" w14:textId="77777777" w:rsidR="00013FD6" w:rsidRPr="00ED45DA" w:rsidRDefault="00013FD6" w:rsidP="002C3F33">
            <w:r w:rsidRPr="00ED45DA">
              <w:t>Ref</w:t>
            </w:r>
          </w:p>
        </w:tc>
        <w:tc>
          <w:tcPr>
            <w:tcW w:w="5811" w:type="dxa"/>
          </w:tcPr>
          <w:p w14:paraId="0C96CB1B" w14:textId="77777777" w:rsidR="00013FD6" w:rsidRPr="00ED45DA" w:rsidRDefault="00013FD6" w:rsidP="002C3F33">
            <w:r w:rsidRPr="00ED45DA">
              <w:t>Description</w:t>
            </w:r>
          </w:p>
        </w:tc>
        <w:tc>
          <w:tcPr>
            <w:tcW w:w="7372" w:type="dxa"/>
          </w:tcPr>
          <w:p w14:paraId="0FFA8E2C" w14:textId="77777777" w:rsidR="00013FD6" w:rsidRPr="00ED45DA" w:rsidRDefault="00013FD6" w:rsidP="002C3F33">
            <w:r w:rsidRPr="00ED45DA">
              <w:t>Solution Traceability</w:t>
            </w:r>
          </w:p>
        </w:tc>
      </w:tr>
      <w:tr w:rsidR="00013FD6" w:rsidRPr="00B626DE" w14:paraId="4073F56C" w14:textId="77777777" w:rsidTr="00013FD6">
        <w:trPr>
          <w:cnfStyle w:val="000000100000" w:firstRow="0" w:lastRow="0" w:firstColumn="0" w:lastColumn="0" w:oddVBand="0" w:evenVBand="0" w:oddHBand="1" w:evenHBand="0" w:firstRowFirstColumn="0" w:firstRowLastColumn="0" w:lastRowFirstColumn="0" w:lastRowLastColumn="0"/>
          <w:trHeight w:val="286"/>
        </w:trPr>
        <w:tc>
          <w:tcPr>
            <w:tcW w:w="1129" w:type="dxa"/>
            <w:shd w:val="clear" w:color="auto" w:fill="auto"/>
          </w:tcPr>
          <w:p w14:paraId="48844A03" w14:textId="77777777" w:rsidR="00013FD6" w:rsidRPr="002812A6" w:rsidRDefault="00013FD6" w:rsidP="002C3F33">
            <w:r>
              <w:t>DNFR-46</w:t>
            </w:r>
          </w:p>
        </w:tc>
        <w:tc>
          <w:tcPr>
            <w:tcW w:w="5811" w:type="dxa"/>
            <w:shd w:val="clear" w:color="auto" w:fill="auto"/>
          </w:tcPr>
          <w:p w14:paraId="37772186" w14:textId="27500A96" w:rsidR="00013FD6" w:rsidRPr="0022054F" w:rsidRDefault="00013FD6" w:rsidP="002C3F33">
            <w:r>
              <w:t xml:space="preserve">The data architecture must conform to the </w:t>
            </w:r>
            <w:r>
              <w:t>{Org}</w:t>
            </w:r>
            <w:r>
              <w:t xml:space="preserve"> Data and Information Architecture Standards, </w:t>
            </w:r>
            <w:proofErr w:type="gramStart"/>
            <w:r>
              <w:t>vocabularies</w:t>
            </w:r>
            <w:proofErr w:type="gramEnd"/>
            <w:r>
              <w:t xml:space="preserve"> and taxonomies, and consume these from the </w:t>
            </w:r>
            <w:r>
              <w:t>{Org}</w:t>
            </w:r>
            <w:r>
              <w:t xml:space="preserve"> Master Data Management solution as required. No independent governance of vocabularies and taxonomies will be allowed with the proposed solution.</w:t>
            </w:r>
          </w:p>
        </w:tc>
        <w:tc>
          <w:tcPr>
            <w:tcW w:w="7372" w:type="dxa"/>
            <w:shd w:val="clear" w:color="auto" w:fill="auto"/>
          </w:tcPr>
          <w:p w14:paraId="704DE2C0" w14:textId="1C87BBC2" w:rsidR="00013FD6" w:rsidRDefault="00013FD6" w:rsidP="002C3F33">
            <w:r>
              <w:t xml:space="preserve">The solution data architecture will align with and support available </w:t>
            </w:r>
            <w:r>
              <w:t>{Org}</w:t>
            </w:r>
            <w:r>
              <w:t xml:space="preserve"> data and information management standards. Currently identified standards are:</w:t>
            </w:r>
          </w:p>
          <w:p w14:paraId="7700CE1E" w14:textId="77777777" w:rsidR="00013FD6" w:rsidRDefault="00013FD6" w:rsidP="00013FD6">
            <w:pPr>
              <w:pStyle w:val="Body-Left"/>
              <w:numPr>
                <w:ilvl w:val="0"/>
                <w:numId w:val="77"/>
              </w:numPr>
              <w:rPr>
                <w:rFonts w:ascii="Calibri" w:hAnsi="Calibri"/>
                <w:lang w:val="en-NZ"/>
              </w:rPr>
            </w:pPr>
            <w:r>
              <w:t>Esri design guidelines:</w:t>
            </w:r>
            <w:r>
              <w:rPr>
                <w:color w:val="595959"/>
                <w:sz w:val="24"/>
                <w:szCs w:val="24"/>
                <w:shd w:val="clear" w:color="auto" w:fill="FFFFFF"/>
              </w:rPr>
              <w:t> </w:t>
            </w:r>
            <w:hyperlink r:id="rId8" w:history="1">
              <w:r>
                <w:rPr>
                  <w:rStyle w:val="Hyperlink"/>
                </w:rPr>
                <w:t>System Design Strategies Wiki page</w:t>
              </w:r>
            </w:hyperlink>
          </w:p>
          <w:p w14:paraId="74F0442A" w14:textId="77777777" w:rsidR="00013FD6" w:rsidRPr="0022054F" w:rsidRDefault="00013FD6" w:rsidP="00013FD6">
            <w:pPr>
              <w:pStyle w:val="Body-Left"/>
              <w:numPr>
                <w:ilvl w:val="0"/>
                <w:numId w:val="77"/>
              </w:numPr>
            </w:pPr>
            <w:r>
              <w:t xml:space="preserve">Implementations guidelines: </w:t>
            </w:r>
            <w:hyperlink r:id="rId9" w:history="1">
              <w:r>
                <w:rPr>
                  <w:rStyle w:val="Hyperlink"/>
                </w:rPr>
                <w:t>Architecting the Esri System</w:t>
              </w:r>
            </w:hyperlink>
          </w:p>
        </w:tc>
      </w:tr>
      <w:tr w:rsidR="00013FD6" w:rsidRPr="00B626DE" w14:paraId="71A7EF27" w14:textId="77777777" w:rsidTr="00013FD6">
        <w:trPr>
          <w:trHeight w:val="286"/>
        </w:trPr>
        <w:tc>
          <w:tcPr>
            <w:tcW w:w="1129" w:type="dxa"/>
            <w:shd w:val="clear" w:color="auto" w:fill="auto"/>
          </w:tcPr>
          <w:p w14:paraId="3B9AF4F2" w14:textId="77777777" w:rsidR="00013FD6" w:rsidRPr="002812A6" w:rsidRDefault="00013FD6" w:rsidP="002C3F33">
            <w:r>
              <w:t>DNFR-47</w:t>
            </w:r>
          </w:p>
        </w:tc>
        <w:tc>
          <w:tcPr>
            <w:tcW w:w="5811" w:type="dxa"/>
            <w:shd w:val="clear" w:color="auto" w:fill="auto"/>
          </w:tcPr>
          <w:p w14:paraId="029BD7A1" w14:textId="77777777" w:rsidR="00013FD6" w:rsidRDefault="00013FD6" w:rsidP="002C3F33">
            <w:r>
              <w:t>The ability to comply with a common set of messaging and integration standards.</w:t>
            </w:r>
          </w:p>
        </w:tc>
        <w:tc>
          <w:tcPr>
            <w:tcW w:w="7372" w:type="dxa"/>
            <w:shd w:val="clear" w:color="auto" w:fill="auto"/>
          </w:tcPr>
          <w:p w14:paraId="2FABECCB" w14:textId="77777777" w:rsidR="00013FD6" w:rsidRPr="0022054F" w:rsidRDefault="00013FD6" w:rsidP="002C3F33">
            <w:r>
              <w:t xml:space="preserve">Refer to </w:t>
            </w:r>
            <w:r w:rsidRPr="005B7049">
              <w:rPr>
                <w:rStyle w:val="LocalRefChar"/>
              </w:rPr>
              <w:fldChar w:fldCharType="begin"/>
            </w:r>
            <w:r w:rsidRPr="005B7049">
              <w:rPr>
                <w:rStyle w:val="LocalRefChar"/>
              </w:rPr>
              <w:instrText xml:space="preserve"> REF _Ref76370145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Appendix B: Applicable Standards</w:t>
            </w:r>
            <w:r w:rsidRPr="005B7049">
              <w:rPr>
                <w:rStyle w:val="LocalRefChar"/>
              </w:rPr>
              <w:fldChar w:fldCharType="end"/>
            </w:r>
            <w:r>
              <w:t>.</w:t>
            </w:r>
          </w:p>
        </w:tc>
      </w:tr>
      <w:tr w:rsidR="00013FD6" w:rsidRPr="00B626DE" w14:paraId="68364F9E" w14:textId="77777777" w:rsidTr="00013FD6">
        <w:trPr>
          <w:cnfStyle w:val="000000100000" w:firstRow="0" w:lastRow="0" w:firstColumn="0" w:lastColumn="0" w:oddVBand="0" w:evenVBand="0" w:oddHBand="1" w:evenHBand="0" w:firstRowFirstColumn="0" w:firstRowLastColumn="0" w:lastRowFirstColumn="0" w:lastRowLastColumn="0"/>
          <w:trHeight w:val="286"/>
        </w:trPr>
        <w:tc>
          <w:tcPr>
            <w:tcW w:w="1129" w:type="dxa"/>
            <w:shd w:val="clear" w:color="auto" w:fill="auto"/>
          </w:tcPr>
          <w:p w14:paraId="528E9FFB" w14:textId="77777777" w:rsidR="00013FD6" w:rsidRPr="002812A6" w:rsidRDefault="00013FD6" w:rsidP="002C3F33">
            <w:r>
              <w:t>DNFR-48</w:t>
            </w:r>
          </w:p>
        </w:tc>
        <w:tc>
          <w:tcPr>
            <w:tcW w:w="5811" w:type="dxa"/>
            <w:shd w:val="clear" w:color="auto" w:fill="auto"/>
          </w:tcPr>
          <w:p w14:paraId="1FCEC5DD" w14:textId="7386ECF7" w:rsidR="00013FD6" w:rsidRDefault="00013FD6" w:rsidP="002C3F33">
            <w:r>
              <w:t xml:space="preserve">The ability for the </w:t>
            </w:r>
            <w:r>
              <w:fldChar w:fldCharType="begin"/>
            </w:r>
            <w:r>
              <w:instrText>TITLE   \* MERGEFORMAT</w:instrText>
            </w:r>
            <w:r>
              <w:fldChar w:fldCharType="separate"/>
            </w:r>
            <w:r>
              <w:t>{</w:t>
            </w:r>
            <w:proofErr w:type="spellStart"/>
            <w:r>
              <w:t>Soltn</w:t>
            </w:r>
            <w:proofErr w:type="spellEnd"/>
            <w:r>
              <w:t>}</w:t>
            </w:r>
            <w:r>
              <w:t xml:space="preserve"> </w:t>
            </w:r>
            <w:r>
              <w:t>{</w:t>
            </w:r>
            <w:proofErr w:type="spellStart"/>
            <w:r>
              <w:t>Soltn</w:t>
            </w:r>
            <w:proofErr w:type="spellEnd"/>
            <w:r>
              <w:t>}</w:t>
            </w:r>
            <w:r>
              <w:fldChar w:fldCharType="end"/>
            </w:r>
            <w:r>
              <w:t xml:space="preserve"> solution to align with government ICT standards.</w:t>
            </w:r>
          </w:p>
        </w:tc>
        <w:tc>
          <w:tcPr>
            <w:tcW w:w="7372" w:type="dxa"/>
            <w:shd w:val="clear" w:color="auto" w:fill="auto"/>
          </w:tcPr>
          <w:p w14:paraId="5A898168" w14:textId="77777777" w:rsidR="00013FD6" w:rsidRDefault="00013FD6" w:rsidP="002C3F33">
            <w:r>
              <w:t xml:space="preserve">Refer to </w:t>
            </w:r>
            <w:r w:rsidRPr="005B7049">
              <w:rPr>
                <w:rStyle w:val="LocalRefChar"/>
              </w:rPr>
              <w:fldChar w:fldCharType="begin"/>
            </w:r>
            <w:r w:rsidRPr="005B7049">
              <w:rPr>
                <w:rStyle w:val="LocalRefChar"/>
              </w:rPr>
              <w:instrText xml:space="preserve"> REF _Ref76370145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Appendix B: Applicable Standards</w:t>
            </w:r>
            <w:r w:rsidRPr="005B7049">
              <w:rPr>
                <w:rStyle w:val="LocalRefChar"/>
              </w:rPr>
              <w:fldChar w:fldCharType="end"/>
            </w:r>
            <w:r>
              <w:t>.</w:t>
            </w:r>
          </w:p>
        </w:tc>
      </w:tr>
      <w:tr w:rsidR="00013FD6" w:rsidRPr="00B626DE" w14:paraId="28FC8C73" w14:textId="77777777" w:rsidTr="00013FD6">
        <w:trPr>
          <w:trHeight w:val="286"/>
        </w:trPr>
        <w:tc>
          <w:tcPr>
            <w:tcW w:w="1129" w:type="dxa"/>
            <w:shd w:val="clear" w:color="auto" w:fill="auto"/>
          </w:tcPr>
          <w:p w14:paraId="06993C44" w14:textId="77777777" w:rsidR="00013FD6" w:rsidRPr="002812A6" w:rsidRDefault="00013FD6" w:rsidP="002C3F33">
            <w:r>
              <w:t>DNFR-49</w:t>
            </w:r>
          </w:p>
        </w:tc>
        <w:tc>
          <w:tcPr>
            <w:tcW w:w="5811" w:type="dxa"/>
            <w:shd w:val="clear" w:color="auto" w:fill="auto"/>
          </w:tcPr>
          <w:p w14:paraId="7AF21C75" w14:textId="4C18FB18" w:rsidR="00013FD6" w:rsidRDefault="00013FD6" w:rsidP="002C3F33">
            <w:r>
              <w:t xml:space="preserve">The ability for the </w:t>
            </w:r>
            <w:r>
              <w:fldChar w:fldCharType="begin"/>
            </w:r>
            <w:r>
              <w:instrText>TITLE   \* MERGEFORMAT</w:instrText>
            </w:r>
            <w:r>
              <w:fldChar w:fldCharType="separate"/>
            </w:r>
            <w:r>
              <w:t>{</w:t>
            </w:r>
            <w:proofErr w:type="spellStart"/>
            <w:r>
              <w:t>Soltn</w:t>
            </w:r>
            <w:proofErr w:type="spellEnd"/>
            <w:r>
              <w:t>}</w:t>
            </w:r>
            <w:r>
              <w:t xml:space="preserve"> </w:t>
            </w:r>
            <w:r>
              <w:t>{</w:t>
            </w:r>
            <w:proofErr w:type="spellStart"/>
            <w:r>
              <w:t>Soltn</w:t>
            </w:r>
            <w:proofErr w:type="spellEnd"/>
            <w:r>
              <w:t>}</w:t>
            </w:r>
            <w:r>
              <w:fldChar w:fldCharType="end"/>
            </w:r>
            <w:r>
              <w:t xml:space="preserve"> solution to align with government web standards.</w:t>
            </w:r>
          </w:p>
        </w:tc>
        <w:tc>
          <w:tcPr>
            <w:tcW w:w="7372" w:type="dxa"/>
            <w:shd w:val="clear" w:color="auto" w:fill="auto"/>
          </w:tcPr>
          <w:p w14:paraId="353AB9F4" w14:textId="77777777" w:rsidR="00013FD6" w:rsidRDefault="00013FD6" w:rsidP="002C3F33">
            <w:r>
              <w:t xml:space="preserve">Refer to </w:t>
            </w:r>
            <w:r w:rsidRPr="005B7049">
              <w:rPr>
                <w:rStyle w:val="LocalRefChar"/>
              </w:rPr>
              <w:fldChar w:fldCharType="begin"/>
            </w:r>
            <w:r w:rsidRPr="005B7049">
              <w:rPr>
                <w:rStyle w:val="LocalRefChar"/>
              </w:rPr>
              <w:instrText xml:space="preserve"> REF _Ref76370145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Appendix B: Applicable Standards</w:t>
            </w:r>
            <w:r w:rsidRPr="005B7049">
              <w:rPr>
                <w:rStyle w:val="LocalRefChar"/>
              </w:rPr>
              <w:fldChar w:fldCharType="end"/>
            </w:r>
            <w:r>
              <w:t>.</w:t>
            </w:r>
          </w:p>
        </w:tc>
      </w:tr>
      <w:tr w:rsidR="00013FD6" w:rsidRPr="00B626DE" w14:paraId="0DC6D57B" w14:textId="77777777" w:rsidTr="00013FD6">
        <w:trPr>
          <w:cnfStyle w:val="000000100000" w:firstRow="0" w:lastRow="0" w:firstColumn="0" w:lastColumn="0" w:oddVBand="0" w:evenVBand="0" w:oddHBand="1" w:evenHBand="0" w:firstRowFirstColumn="0" w:firstRowLastColumn="0" w:lastRowFirstColumn="0" w:lastRowLastColumn="0"/>
          <w:trHeight w:val="286"/>
        </w:trPr>
        <w:tc>
          <w:tcPr>
            <w:tcW w:w="1129" w:type="dxa"/>
            <w:shd w:val="clear" w:color="auto" w:fill="auto"/>
          </w:tcPr>
          <w:p w14:paraId="7BA4E433" w14:textId="77777777" w:rsidR="00013FD6" w:rsidRDefault="00013FD6" w:rsidP="002C3F33">
            <w:r>
              <w:lastRenderedPageBreak/>
              <w:t>DNFR-50</w:t>
            </w:r>
          </w:p>
        </w:tc>
        <w:tc>
          <w:tcPr>
            <w:tcW w:w="5811" w:type="dxa"/>
            <w:shd w:val="clear" w:color="auto" w:fill="auto"/>
          </w:tcPr>
          <w:p w14:paraId="705DDD92" w14:textId="56896168" w:rsidR="00013FD6" w:rsidRDefault="00013FD6" w:rsidP="002C3F33">
            <w:r>
              <w:t xml:space="preserve">The ability for the </w:t>
            </w:r>
            <w:r>
              <w:fldChar w:fldCharType="begin"/>
            </w:r>
            <w:r>
              <w:instrText>TITLE   \* MERGEFORMAT</w:instrText>
            </w:r>
            <w:r>
              <w:fldChar w:fldCharType="separate"/>
            </w:r>
            <w:r>
              <w:t>{</w:t>
            </w:r>
            <w:proofErr w:type="spellStart"/>
            <w:r>
              <w:t>Soltn</w:t>
            </w:r>
            <w:proofErr w:type="spellEnd"/>
            <w:r>
              <w:t>}</w:t>
            </w:r>
            <w:r>
              <w:t xml:space="preserve"> </w:t>
            </w:r>
            <w:r>
              <w:t>{</w:t>
            </w:r>
            <w:proofErr w:type="spellStart"/>
            <w:r>
              <w:t>Soltn</w:t>
            </w:r>
            <w:proofErr w:type="spellEnd"/>
            <w:r>
              <w:t>}</w:t>
            </w:r>
            <w:r>
              <w:fldChar w:fldCharType="end"/>
            </w:r>
            <w:r>
              <w:t xml:space="preserve"> solution to align with applicable legislation.</w:t>
            </w:r>
          </w:p>
        </w:tc>
        <w:tc>
          <w:tcPr>
            <w:tcW w:w="7372" w:type="dxa"/>
            <w:shd w:val="clear" w:color="auto" w:fill="auto"/>
          </w:tcPr>
          <w:p w14:paraId="5C0A2F56" w14:textId="77777777" w:rsidR="00013FD6" w:rsidRDefault="00013FD6" w:rsidP="002C3F33">
            <w:r>
              <w:t xml:space="preserve">Refer to </w:t>
            </w:r>
            <w:r w:rsidRPr="005B7049">
              <w:rPr>
                <w:rStyle w:val="LocalRefChar"/>
              </w:rPr>
              <w:fldChar w:fldCharType="begin"/>
            </w:r>
            <w:r w:rsidRPr="005B7049">
              <w:rPr>
                <w:rStyle w:val="LocalRefChar"/>
              </w:rPr>
              <w:instrText xml:space="preserve"> REF _Ref76370145 \h </w:instrText>
            </w:r>
            <w:r>
              <w:rPr>
                <w:rStyle w:val="LocalRefChar"/>
              </w:rPr>
              <w:instrText xml:space="preserve"> \* MERGEFORMAT </w:instrText>
            </w:r>
            <w:r w:rsidRPr="005B7049">
              <w:rPr>
                <w:rStyle w:val="LocalRefChar"/>
              </w:rPr>
            </w:r>
            <w:r w:rsidRPr="005B7049">
              <w:rPr>
                <w:rStyle w:val="LocalRefChar"/>
              </w:rPr>
              <w:fldChar w:fldCharType="separate"/>
            </w:r>
            <w:r w:rsidRPr="005B7049">
              <w:rPr>
                <w:rStyle w:val="LocalRefChar"/>
              </w:rPr>
              <w:t>Appendix B: Applicable Standards</w:t>
            </w:r>
            <w:r w:rsidRPr="005B7049">
              <w:rPr>
                <w:rStyle w:val="LocalRefChar"/>
              </w:rPr>
              <w:fldChar w:fldCharType="end"/>
            </w:r>
            <w:r>
              <w:t>.</w:t>
            </w:r>
          </w:p>
        </w:tc>
      </w:tr>
    </w:tbl>
    <w:p w14:paraId="1FF87DFE" w14:textId="77777777" w:rsidR="00013FD6" w:rsidRDefault="00013FD6" w:rsidP="00013FD6"/>
    <w:p w14:paraId="6289EFEE" w14:textId="77777777" w:rsidR="00013FD6" w:rsidRDefault="00013FD6"/>
    <w:sectPr w:rsidR="00013FD6" w:rsidSect="00013FD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UI">
    <w:altName w:val="Segoe UI"/>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7C86DB4"/>
    <w:lvl w:ilvl="0">
      <w:start w:val="1"/>
      <w:numFmt w:val="bullet"/>
      <w:pStyle w:val="ListBullet3"/>
      <w:lvlText w:val=""/>
      <w:lvlJc w:val="left"/>
      <w:pPr>
        <w:tabs>
          <w:tab w:val="num" w:pos="643"/>
        </w:tabs>
        <w:ind w:left="643" w:hanging="360"/>
      </w:pPr>
      <w:rPr>
        <w:rFonts w:ascii="Symbol" w:hAnsi="Symbol" w:hint="default"/>
      </w:rPr>
    </w:lvl>
  </w:abstractNum>
  <w:abstractNum w:abstractNumId="1" w15:restartNumberingAfterBreak="0">
    <w:nsid w:val="02C160FD"/>
    <w:multiLevelType w:val="hybridMultilevel"/>
    <w:tmpl w:val="0D5E4B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399331A"/>
    <w:multiLevelType w:val="hybridMultilevel"/>
    <w:tmpl w:val="602CF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77C3D8A"/>
    <w:multiLevelType w:val="hybridMultilevel"/>
    <w:tmpl w:val="0012FECE"/>
    <w:lvl w:ilvl="0" w:tplc="AB8A485A">
      <w:start w:val="1"/>
      <w:numFmt w:val="bullet"/>
      <w:pStyle w:val="MPITableBullet"/>
      <w:lvlText w:val=""/>
      <w:lvlJc w:val="left"/>
      <w:pPr>
        <w:ind w:left="360" w:hanging="360"/>
      </w:pPr>
      <w:rPr>
        <w:rFonts w:ascii="Wingdings" w:hAnsi="Wingdings" w:hint="default"/>
        <w:color w:val="auto"/>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7FE538B"/>
    <w:multiLevelType w:val="hybridMultilevel"/>
    <w:tmpl w:val="69F8CF7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09815532"/>
    <w:multiLevelType w:val="hybridMultilevel"/>
    <w:tmpl w:val="5658E9D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09A419E1"/>
    <w:multiLevelType w:val="hybridMultilevel"/>
    <w:tmpl w:val="E4C4EAF4"/>
    <w:lvl w:ilvl="0" w:tplc="0409000F">
      <w:start w:val="1"/>
      <w:numFmt w:val="decimal"/>
      <w:lvlText w:val="%1."/>
      <w:lvlJc w:val="left"/>
      <w:pPr>
        <w:ind w:left="720" w:hanging="360"/>
      </w:pPr>
    </w:lvl>
    <w:lvl w:ilvl="1" w:tplc="F1EA435A">
      <w:numFmt w:val="bullet"/>
      <w:lvlText w:val="-"/>
      <w:lvlJc w:val="left"/>
      <w:pPr>
        <w:ind w:left="1440" w:hanging="360"/>
      </w:pPr>
      <w:rPr>
        <w:rFonts w:ascii="Verdana" w:eastAsia="Times New Roman" w:hAnsi="Verdana"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534BE0"/>
    <w:multiLevelType w:val="hybridMultilevel"/>
    <w:tmpl w:val="9588FA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CAB33F8"/>
    <w:multiLevelType w:val="hybridMultilevel"/>
    <w:tmpl w:val="F0C2D56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0D662409"/>
    <w:multiLevelType w:val="hybridMultilevel"/>
    <w:tmpl w:val="61F8E3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0EC144BC"/>
    <w:multiLevelType w:val="hybridMultilevel"/>
    <w:tmpl w:val="40DEFC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0F10192C"/>
    <w:multiLevelType w:val="hybridMultilevel"/>
    <w:tmpl w:val="7CB0EEB6"/>
    <w:lvl w:ilvl="0" w:tplc="F1EA435A">
      <w:numFmt w:val="bullet"/>
      <w:lvlText w:val="-"/>
      <w:lvlJc w:val="left"/>
      <w:pPr>
        <w:ind w:left="1211" w:hanging="360"/>
      </w:pPr>
      <w:rPr>
        <w:rFonts w:ascii="Verdana" w:eastAsia="Times New Roman" w:hAnsi="Verdana" w:cs="Times New Roman" w:hint="default"/>
      </w:rPr>
    </w:lvl>
    <w:lvl w:ilvl="1" w:tplc="66A08732">
      <w:numFmt w:val="bullet"/>
      <w:lvlText w:val="–"/>
      <w:lvlJc w:val="left"/>
      <w:pPr>
        <w:ind w:left="1931" w:hanging="360"/>
      </w:pPr>
      <w:rPr>
        <w:rFonts w:ascii="Verdana" w:eastAsiaTheme="minorHAnsi" w:hAnsi="Verdana" w:cstheme="minorBidi"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12" w15:restartNumberingAfterBreak="0">
    <w:nsid w:val="12322D5C"/>
    <w:multiLevelType w:val="hybridMultilevel"/>
    <w:tmpl w:val="BCF249D4"/>
    <w:lvl w:ilvl="0" w:tplc="D53AB71C">
      <w:start w:val="1"/>
      <w:numFmt w:val="decimal"/>
      <w:pStyle w:val="Figure"/>
      <w:lvlText w:val="Figure %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15692077"/>
    <w:multiLevelType w:val="hybridMultilevel"/>
    <w:tmpl w:val="61F8E3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1A450437"/>
    <w:multiLevelType w:val="hybridMultilevel"/>
    <w:tmpl w:val="DA0C8E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B5D7497"/>
    <w:multiLevelType w:val="hybridMultilevel"/>
    <w:tmpl w:val="A26220E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1D11D7DF"/>
    <w:multiLevelType w:val="hybridMultilevel"/>
    <w:tmpl w:val="C734CD70"/>
    <w:lvl w:ilvl="0" w:tplc="CA92BB0E">
      <w:start w:val="1"/>
      <w:numFmt w:val="bullet"/>
      <w:lvlText w:val=""/>
      <w:lvlJc w:val="left"/>
      <w:pPr>
        <w:ind w:left="360" w:hanging="360"/>
      </w:pPr>
      <w:rPr>
        <w:rFonts w:ascii="Symbol" w:hAnsi="Symbol" w:hint="default"/>
      </w:rPr>
    </w:lvl>
    <w:lvl w:ilvl="1" w:tplc="76785C5A">
      <w:start w:val="1"/>
      <w:numFmt w:val="bullet"/>
      <w:lvlText w:val="o"/>
      <w:lvlJc w:val="left"/>
      <w:pPr>
        <w:ind w:left="1080" w:hanging="360"/>
      </w:pPr>
      <w:rPr>
        <w:rFonts w:ascii="Courier New" w:hAnsi="Courier New" w:hint="default"/>
      </w:rPr>
    </w:lvl>
    <w:lvl w:ilvl="2" w:tplc="5D8EAF04">
      <w:start w:val="1"/>
      <w:numFmt w:val="bullet"/>
      <w:lvlText w:val=""/>
      <w:lvlJc w:val="left"/>
      <w:pPr>
        <w:ind w:left="1800" w:hanging="360"/>
      </w:pPr>
      <w:rPr>
        <w:rFonts w:ascii="Wingdings" w:hAnsi="Wingdings" w:hint="default"/>
      </w:rPr>
    </w:lvl>
    <w:lvl w:ilvl="3" w:tplc="B69873FE">
      <w:start w:val="1"/>
      <w:numFmt w:val="bullet"/>
      <w:lvlText w:val=""/>
      <w:lvlJc w:val="left"/>
      <w:pPr>
        <w:ind w:left="2520" w:hanging="360"/>
      </w:pPr>
      <w:rPr>
        <w:rFonts w:ascii="Symbol" w:hAnsi="Symbol" w:hint="default"/>
      </w:rPr>
    </w:lvl>
    <w:lvl w:ilvl="4" w:tplc="3A5E9254">
      <w:start w:val="1"/>
      <w:numFmt w:val="bullet"/>
      <w:lvlText w:val="o"/>
      <w:lvlJc w:val="left"/>
      <w:pPr>
        <w:ind w:left="3240" w:hanging="360"/>
      </w:pPr>
      <w:rPr>
        <w:rFonts w:ascii="Courier New" w:hAnsi="Courier New" w:hint="default"/>
      </w:rPr>
    </w:lvl>
    <w:lvl w:ilvl="5" w:tplc="0B1CA658">
      <w:start w:val="1"/>
      <w:numFmt w:val="bullet"/>
      <w:lvlText w:val=""/>
      <w:lvlJc w:val="left"/>
      <w:pPr>
        <w:ind w:left="3960" w:hanging="360"/>
      </w:pPr>
      <w:rPr>
        <w:rFonts w:ascii="Wingdings" w:hAnsi="Wingdings" w:hint="default"/>
      </w:rPr>
    </w:lvl>
    <w:lvl w:ilvl="6" w:tplc="128CC6A4">
      <w:start w:val="1"/>
      <w:numFmt w:val="bullet"/>
      <w:lvlText w:val=""/>
      <w:lvlJc w:val="left"/>
      <w:pPr>
        <w:ind w:left="4680" w:hanging="360"/>
      </w:pPr>
      <w:rPr>
        <w:rFonts w:ascii="Symbol" w:hAnsi="Symbol" w:hint="default"/>
      </w:rPr>
    </w:lvl>
    <w:lvl w:ilvl="7" w:tplc="3564B090">
      <w:start w:val="1"/>
      <w:numFmt w:val="bullet"/>
      <w:lvlText w:val="o"/>
      <w:lvlJc w:val="left"/>
      <w:pPr>
        <w:ind w:left="5400" w:hanging="360"/>
      </w:pPr>
      <w:rPr>
        <w:rFonts w:ascii="Courier New" w:hAnsi="Courier New" w:hint="default"/>
      </w:rPr>
    </w:lvl>
    <w:lvl w:ilvl="8" w:tplc="F3B63904">
      <w:start w:val="1"/>
      <w:numFmt w:val="bullet"/>
      <w:lvlText w:val=""/>
      <w:lvlJc w:val="left"/>
      <w:pPr>
        <w:ind w:left="6120" w:hanging="360"/>
      </w:pPr>
      <w:rPr>
        <w:rFonts w:ascii="Wingdings" w:hAnsi="Wingdings" w:hint="default"/>
      </w:rPr>
    </w:lvl>
  </w:abstractNum>
  <w:abstractNum w:abstractNumId="17" w15:restartNumberingAfterBreak="0">
    <w:nsid w:val="1F1C20D1"/>
    <w:multiLevelType w:val="hybridMultilevel"/>
    <w:tmpl w:val="6C1AA3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0CB5540"/>
    <w:multiLevelType w:val="hybridMultilevel"/>
    <w:tmpl w:val="A0626C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215746B7"/>
    <w:multiLevelType w:val="hybridMultilevel"/>
    <w:tmpl w:val="5656BA2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24F164CE"/>
    <w:multiLevelType w:val="hybridMultilevel"/>
    <w:tmpl w:val="F7DC379A"/>
    <w:lvl w:ilvl="0" w:tplc="2F52C38C">
      <w:start w:val="1"/>
      <w:numFmt w:val="decimal"/>
      <w:pStyle w:val="MPIBodyNumbering"/>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5417A32"/>
    <w:multiLevelType w:val="hybridMultilevel"/>
    <w:tmpl w:val="A47A88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25C6503A"/>
    <w:multiLevelType w:val="hybridMultilevel"/>
    <w:tmpl w:val="C90EADA2"/>
    <w:styleLink w:val="ListBullet"/>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26071291"/>
    <w:multiLevelType w:val="hybridMultilevel"/>
    <w:tmpl w:val="FD44A7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2608495C"/>
    <w:multiLevelType w:val="hybridMultilevel"/>
    <w:tmpl w:val="04A696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26DD30B7"/>
    <w:multiLevelType w:val="hybridMultilevel"/>
    <w:tmpl w:val="E5D49D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297B0663"/>
    <w:multiLevelType w:val="hybridMultilevel"/>
    <w:tmpl w:val="935A8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B9B079F"/>
    <w:multiLevelType w:val="hybridMultilevel"/>
    <w:tmpl w:val="61F8E3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2FB32C1C"/>
    <w:multiLevelType w:val="hybridMultilevel"/>
    <w:tmpl w:val="408CA476"/>
    <w:lvl w:ilvl="0" w:tplc="082E4E0A">
      <w:start w:val="1"/>
      <w:numFmt w:val="decimal"/>
      <w:pStyle w:val="table"/>
      <w:lvlText w:val="Table %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9" w15:restartNumberingAfterBreak="0">
    <w:nsid w:val="2FEA64AF"/>
    <w:multiLevelType w:val="hybridMultilevel"/>
    <w:tmpl w:val="D6C4B9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30FE4A10"/>
    <w:multiLevelType w:val="hybridMultilevel"/>
    <w:tmpl w:val="804C58B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313211C3"/>
    <w:multiLevelType w:val="hybridMultilevel"/>
    <w:tmpl w:val="0FAC9C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316D5D92"/>
    <w:multiLevelType w:val="hybridMultilevel"/>
    <w:tmpl w:val="935A8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59374C7"/>
    <w:multiLevelType w:val="hybridMultilevel"/>
    <w:tmpl w:val="05D29FF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3994315D"/>
    <w:multiLevelType w:val="hybridMultilevel"/>
    <w:tmpl w:val="DF0EDF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3A227999"/>
    <w:multiLevelType w:val="hybridMultilevel"/>
    <w:tmpl w:val="85D008B8"/>
    <w:lvl w:ilvl="0" w:tplc="F1EA435A">
      <w:numFmt w:val="bullet"/>
      <w:lvlText w:val="-"/>
      <w:lvlJc w:val="left"/>
      <w:pPr>
        <w:ind w:left="1211" w:hanging="360"/>
      </w:pPr>
      <w:rPr>
        <w:rFonts w:ascii="Verdana" w:eastAsia="Times New Roman" w:hAnsi="Verdana"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3A754D87"/>
    <w:multiLevelType w:val="hybridMultilevel"/>
    <w:tmpl w:val="804C58B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3C2A60BF"/>
    <w:multiLevelType w:val="hybridMultilevel"/>
    <w:tmpl w:val="935A8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D30194F"/>
    <w:multiLevelType w:val="hybridMultilevel"/>
    <w:tmpl w:val="935A8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FAF53E4"/>
    <w:multiLevelType w:val="hybridMultilevel"/>
    <w:tmpl w:val="DB5C0F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42627B77"/>
    <w:multiLevelType w:val="hybridMultilevel"/>
    <w:tmpl w:val="D91459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43C50CB7"/>
    <w:multiLevelType w:val="hybridMultilevel"/>
    <w:tmpl w:val="4754D27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471D5C3B"/>
    <w:multiLevelType w:val="hybridMultilevel"/>
    <w:tmpl w:val="36EC48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4CCB4C22"/>
    <w:multiLevelType w:val="hybridMultilevel"/>
    <w:tmpl w:val="A0D82B0C"/>
    <w:styleLink w:val="EAPHeadings"/>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4DD825AA"/>
    <w:multiLevelType w:val="hybridMultilevel"/>
    <w:tmpl w:val="301268D6"/>
    <w:lvl w:ilvl="0" w:tplc="1409000F">
      <w:start w:val="1"/>
      <w:numFmt w:val="decimal"/>
      <w:lvlText w:val="%1."/>
      <w:lvlJc w:val="left"/>
      <w:pPr>
        <w:ind w:left="720" w:hanging="360"/>
      </w:pPr>
      <w:rPr>
        <w:rFonts w:hint="default"/>
      </w:rPr>
    </w:lvl>
    <w:lvl w:ilvl="1" w:tplc="D6BA140A">
      <w:numFmt w:val="bullet"/>
      <w:lvlText w:val="-"/>
      <w:lvlJc w:val="left"/>
      <w:pPr>
        <w:ind w:left="1440" w:hanging="360"/>
      </w:pPr>
      <w:rPr>
        <w:rFonts w:ascii="Verdana" w:eastAsiaTheme="minorHAnsi" w:hAnsi="Verdana" w:cstheme="minorBidi"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4DE46D43"/>
    <w:multiLevelType w:val="hybridMultilevel"/>
    <w:tmpl w:val="0A104A5C"/>
    <w:lvl w:ilvl="0" w:tplc="F1EA435A">
      <w:numFmt w:val="bullet"/>
      <w:lvlText w:val="-"/>
      <w:lvlJc w:val="left"/>
      <w:pPr>
        <w:ind w:left="1211" w:hanging="360"/>
      </w:pPr>
      <w:rPr>
        <w:rFonts w:ascii="Verdana" w:eastAsia="Times New Roman" w:hAnsi="Verdana"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4F7B620C"/>
    <w:multiLevelType w:val="hybridMultilevel"/>
    <w:tmpl w:val="01823BA4"/>
    <w:lvl w:ilvl="0" w:tplc="54F6F844">
      <w:start w:val="1"/>
      <w:numFmt w:val="bullet"/>
      <w:pStyle w:val="Bullet2"/>
      <w:lvlText w:val=""/>
      <w:lvlJc w:val="left"/>
      <w:pPr>
        <w:ind w:left="1080" w:hanging="360"/>
      </w:pPr>
      <w:rPr>
        <w:rFonts w:ascii="Symbol" w:hAnsi="Symbol" w:hint="default"/>
        <w:color w:val="auto"/>
        <w:sz w:val="18"/>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7" w15:restartNumberingAfterBreak="0">
    <w:nsid w:val="508E1801"/>
    <w:multiLevelType w:val="hybridMultilevel"/>
    <w:tmpl w:val="1BD8AB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51A318F8"/>
    <w:multiLevelType w:val="hybridMultilevel"/>
    <w:tmpl w:val="935A8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1D52905"/>
    <w:multiLevelType w:val="hybridMultilevel"/>
    <w:tmpl w:val="DC927D7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51D92EDF"/>
    <w:multiLevelType w:val="hybridMultilevel"/>
    <w:tmpl w:val="913C2C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1" w15:restartNumberingAfterBreak="0">
    <w:nsid w:val="570A5828"/>
    <w:multiLevelType w:val="hybridMultilevel"/>
    <w:tmpl w:val="935A8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70A6140"/>
    <w:multiLevelType w:val="hybridMultilevel"/>
    <w:tmpl w:val="4C96AB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3" w15:restartNumberingAfterBreak="0">
    <w:nsid w:val="581D1768"/>
    <w:multiLevelType w:val="hybridMultilevel"/>
    <w:tmpl w:val="BA8C1364"/>
    <w:lvl w:ilvl="0" w:tplc="2230D818">
      <w:start w:val="1"/>
      <w:numFmt w:val="bullet"/>
      <w:pStyle w:val="BulletDave2"/>
      <w:lvlText w:val="o"/>
      <w:lvlJc w:val="left"/>
      <w:pPr>
        <w:ind w:left="1571" w:hanging="360"/>
      </w:pPr>
      <w:rPr>
        <w:rFonts w:ascii="Courier New" w:hAnsi="Courier New" w:cs="Courier New"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54" w15:restartNumberingAfterBreak="0">
    <w:nsid w:val="585C1C6D"/>
    <w:multiLevelType w:val="hybridMultilevel"/>
    <w:tmpl w:val="B30EB50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5" w15:restartNumberingAfterBreak="0">
    <w:nsid w:val="5A525745"/>
    <w:multiLevelType w:val="hybridMultilevel"/>
    <w:tmpl w:val="714284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6" w15:restartNumberingAfterBreak="0">
    <w:nsid w:val="5D887C8B"/>
    <w:multiLevelType w:val="hybridMultilevel"/>
    <w:tmpl w:val="86722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E1B00EC"/>
    <w:multiLevelType w:val="hybridMultilevel"/>
    <w:tmpl w:val="0F92D6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8" w15:restartNumberingAfterBreak="0">
    <w:nsid w:val="5F6976F4"/>
    <w:multiLevelType w:val="hybridMultilevel"/>
    <w:tmpl w:val="935A8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FA22342"/>
    <w:multiLevelType w:val="multilevel"/>
    <w:tmpl w:val="842294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70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0" w15:restartNumberingAfterBreak="0">
    <w:nsid w:val="60FD0E1B"/>
    <w:multiLevelType w:val="hybridMultilevel"/>
    <w:tmpl w:val="07F0FEEC"/>
    <w:lvl w:ilvl="0" w:tplc="67E40ABA">
      <w:start w:val="1"/>
      <w:numFmt w:val="bullet"/>
      <w:pStyle w:val="AnswerBullets"/>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1" w15:restartNumberingAfterBreak="0">
    <w:nsid w:val="633B214D"/>
    <w:multiLevelType w:val="hybridMultilevel"/>
    <w:tmpl w:val="CFF0DA2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2" w15:restartNumberingAfterBreak="0">
    <w:nsid w:val="665879F6"/>
    <w:multiLevelType w:val="hybridMultilevel"/>
    <w:tmpl w:val="830E379E"/>
    <w:lvl w:ilvl="0" w:tplc="FC1E9904">
      <w:numFmt w:val="bullet"/>
      <w:pStyle w:val="MPIBodyBullet1"/>
      <w:lvlText w:val="•"/>
      <w:lvlJc w:val="left"/>
      <w:pPr>
        <w:ind w:left="786" w:hanging="360"/>
      </w:pPr>
      <w:rPr>
        <w:rFonts w:ascii="Calibri" w:eastAsia="Times New Roman" w:hAnsi="Calibri" w:cs="Calibri" w:hint="default"/>
        <w:lang w:val="en-NZ"/>
      </w:rPr>
    </w:lvl>
    <w:lvl w:ilvl="1" w:tplc="14090003">
      <w:start w:val="1"/>
      <w:numFmt w:val="bullet"/>
      <w:lvlText w:val="o"/>
      <w:lvlJc w:val="left"/>
      <w:pPr>
        <w:ind w:left="1440" w:hanging="360"/>
      </w:pPr>
      <w:rPr>
        <w:rFonts w:ascii="Courier New" w:hAnsi="Courier New" w:cs="Courier New" w:hint="default"/>
      </w:rPr>
    </w:lvl>
    <w:lvl w:ilvl="2" w:tplc="727C7C12">
      <w:numFmt w:val="bullet"/>
      <w:lvlText w:val="·"/>
      <w:lvlJc w:val="left"/>
      <w:pPr>
        <w:ind w:left="720" w:hanging="363"/>
      </w:pPr>
      <w:rPr>
        <w:rFonts w:ascii="Calibri" w:eastAsia="Times New Roman" w:hAnsi="Calibri"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3" w15:restartNumberingAfterBreak="0">
    <w:nsid w:val="67545310"/>
    <w:multiLevelType w:val="hybridMultilevel"/>
    <w:tmpl w:val="9AE85A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4" w15:restartNumberingAfterBreak="0">
    <w:nsid w:val="6A4C2891"/>
    <w:multiLevelType w:val="hybridMultilevel"/>
    <w:tmpl w:val="BBAC5A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5" w15:restartNumberingAfterBreak="0">
    <w:nsid w:val="6B9B64AA"/>
    <w:multiLevelType w:val="hybridMultilevel"/>
    <w:tmpl w:val="21B0CECE"/>
    <w:lvl w:ilvl="0" w:tplc="14090001">
      <w:start w:val="1"/>
      <w:numFmt w:val="bullet"/>
      <w:lvlText w:val=""/>
      <w:lvlJc w:val="left"/>
      <w:pPr>
        <w:ind w:left="792" w:hanging="360"/>
      </w:pPr>
      <w:rPr>
        <w:rFonts w:ascii="Symbol" w:hAnsi="Symbol" w:hint="default"/>
      </w:rPr>
    </w:lvl>
    <w:lvl w:ilvl="1" w:tplc="14090003" w:tentative="1">
      <w:start w:val="1"/>
      <w:numFmt w:val="bullet"/>
      <w:lvlText w:val="o"/>
      <w:lvlJc w:val="left"/>
      <w:pPr>
        <w:ind w:left="1512" w:hanging="360"/>
      </w:pPr>
      <w:rPr>
        <w:rFonts w:ascii="Courier New" w:hAnsi="Courier New" w:cs="Courier New" w:hint="default"/>
      </w:rPr>
    </w:lvl>
    <w:lvl w:ilvl="2" w:tplc="14090005" w:tentative="1">
      <w:start w:val="1"/>
      <w:numFmt w:val="bullet"/>
      <w:lvlText w:val=""/>
      <w:lvlJc w:val="left"/>
      <w:pPr>
        <w:ind w:left="2232" w:hanging="360"/>
      </w:pPr>
      <w:rPr>
        <w:rFonts w:ascii="Wingdings" w:hAnsi="Wingdings" w:hint="default"/>
      </w:rPr>
    </w:lvl>
    <w:lvl w:ilvl="3" w:tplc="14090001" w:tentative="1">
      <w:start w:val="1"/>
      <w:numFmt w:val="bullet"/>
      <w:lvlText w:val=""/>
      <w:lvlJc w:val="left"/>
      <w:pPr>
        <w:ind w:left="2952" w:hanging="360"/>
      </w:pPr>
      <w:rPr>
        <w:rFonts w:ascii="Symbol" w:hAnsi="Symbol" w:hint="default"/>
      </w:rPr>
    </w:lvl>
    <w:lvl w:ilvl="4" w:tplc="14090003" w:tentative="1">
      <w:start w:val="1"/>
      <w:numFmt w:val="bullet"/>
      <w:lvlText w:val="o"/>
      <w:lvlJc w:val="left"/>
      <w:pPr>
        <w:ind w:left="3672" w:hanging="360"/>
      </w:pPr>
      <w:rPr>
        <w:rFonts w:ascii="Courier New" w:hAnsi="Courier New" w:cs="Courier New" w:hint="default"/>
      </w:rPr>
    </w:lvl>
    <w:lvl w:ilvl="5" w:tplc="14090005" w:tentative="1">
      <w:start w:val="1"/>
      <w:numFmt w:val="bullet"/>
      <w:lvlText w:val=""/>
      <w:lvlJc w:val="left"/>
      <w:pPr>
        <w:ind w:left="4392" w:hanging="360"/>
      </w:pPr>
      <w:rPr>
        <w:rFonts w:ascii="Wingdings" w:hAnsi="Wingdings" w:hint="default"/>
      </w:rPr>
    </w:lvl>
    <w:lvl w:ilvl="6" w:tplc="14090001" w:tentative="1">
      <w:start w:val="1"/>
      <w:numFmt w:val="bullet"/>
      <w:lvlText w:val=""/>
      <w:lvlJc w:val="left"/>
      <w:pPr>
        <w:ind w:left="5112" w:hanging="360"/>
      </w:pPr>
      <w:rPr>
        <w:rFonts w:ascii="Symbol" w:hAnsi="Symbol" w:hint="default"/>
      </w:rPr>
    </w:lvl>
    <w:lvl w:ilvl="7" w:tplc="14090003" w:tentative="1">
      <w:start w:val="1"/>
      <w:numFmt w:val="bullet"/>
      <w:lvlText w:val="o"/>
      <w:lvlJc w:val="left"/>
      <w:pPr>
        <w:ind w:left="5832" w:hanging="360"/>
      </w:pPr>
      <w:rPr>
        <w:rFonts w:ascii="Courier New" w:hAnsi="Courier New" w:cs="Courier New" w:hint="default"/>
      </w:rPr>
    </w:lvl>
    <w:lvl w:ilvl="8" w:tplc="14090005" w:tentative="1">
      <w:start w:val="1"/>
      <w:numFmt w:val="bullet"/>
      <w:lvlText w:val=""/>
      <w:lvlJc w:val="left"/>
      <w:pPr>
        <w:ind w:left="6552" w:hanging="360"/>
      </w:pPr>
      <w:rPr>
        <w:rFonts w:ascii="Wingdings" w:hAnsi="Wingdings" w:hint="default"/>
      </w:rPr>
    </w:lvl>
  </w:abstractNum>
  <w:abstractNum w:abstractNumId="66" w15:restartNumberingAfterBreak="0">
    <w:nsid w:val="6DC322DA"/>
    <w:multiLevelType w:val="hybridMultilevel"/>
    <w:tmpl w:val="41A4843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7" w15:restartNumberingAfterBreak="0">
    <w:nsid w:val="74BB0D35"/>
    <w:multiLevelType w:val="hybridMultilevel"/>
    <w:tmpl w:val="ADF87D7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8" w15:restartNumberingAfterBreak="0">
    <w:nsid w:val="758A755F"/>
    <w:multiLevelType w:val="hybridMultilevel"/>
    <w:tmpl w:val="86AAC8E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589" w:hanging="360"/>
      </w:pPr>
      <w:rPr>
        <w:rFonts w:ascii="Courier New" w:hAnsi="Courier New" w:cs="Courier New" w:hint="default"/>
      </w:rPr>
    </w:lvl>
    <w:lvl w:ilvl="2" w:tplc="14090005" w:tentative="1">
      <w:start w:val="1"/>
      <w:numFmt w:val="bullet"/>
      <w:lvlText w:val=""/>
      <w:lvlJc w:val="left"/>
      <w:pPr>
        <w:ind w:left="1309" w:hanging="360"/>
      </w:pPr>
      <w:rPr>
        <w:rFonts w:ascii="Wingdings" w:hAnsi="Wingdings" w:hint="default"/>
      </w:rPr>
    </w:lvl>
    <w:lvl w:ilvl="3" w:tplc="14090001" w:tentative="1">
      <w:start w:val="1"/>
      <w:numFmt w:val="bullet"/>
      <w:lvlText w:val=""/>
      <w:lvlJc w:val="left"/>
      <w:pPr>
        <w:ind w:left="2029" w:hanging="360"/>
      </w:pPr>
      <w:rPr>
        <w:rFonts w:ascii="Symbol" w:hAnsi="Symbol" w:hint="default"/>
      </w:rPr>
    </w:lvl>
    <w:lvl w:ilvl="4" w:tplc="14090003" w:tentative="1">
      <w:start w:val="1"/>
      <w:numFmt w:val="bullet"/>
      <w:lvlText w:val="o"/>
      <w:lvlJc w:val="left"/>
      <w:pPr>
        <w:ind w:left="2749" w:hanging="360"/>
      </w:pPr>
      <w:rPr>
        <w:rFonts w:ascii="Courier New" w:hAnsi="Courier New" w:cs="Courier New" w:hint="default"/>
      </w:rPr>
    </w:lvl>
    <w:lvl w:ilvl="5" w:tplc="14090005" w:tentative="1">
      <w:start w:val="1"/>
      <w:numFmt w:val="bullet"/>
      <w:lvlText w:val=""/>
      <w:lvlJc w:val="left"/>
      <w:pPr>
        <w:ind w:left="3469" w:hanging="360"/>
      </w:pPr>
      <w:rPr>
        <w:rFonts w:ascii="Wingdings" w:hAnsi="Wingdings" w:hint="default"/>
      </w:rPr>
    </w:lvl>
    <w:lvl w:ilvl="6" w:tplc="14090001" w:tentative="1">
      <w:start w:val="1"/>
      <w:numFmt w:val="bullet"/>
      <w:lvlText w:val=""/>
      <w:lvlJc w:val="left"/>
      <w:pPr>
        <w:ind w:left="4189" w:hanging="360"/>
      </w:pPr>
      <w:rPr>
        <w:rFonts w:ascii="Symbol" w:hAnsi="Symbol" w:hint="default"/>
      </w:rPr>
    </w:lvl>
    <w:lvl w:ilvl="7" w:tplc="14090003" w:tentative="1">
      <w:start w:val="1"/>
      <w:numFmt w:val="bullet"/>
      <w:lvlText w:val="o"/>
      <w:lvlJc w:val="left"/>
      <w:pPr>
        <w:ind w:left="4909" w:hanging="360"/>
      </w:pPr>
      <w:rPr>
        <w:rFonts w:ascii="Courier New" w:hAnsi="Courier New" w:cs="Courier New" w:hint="default"/>
      </w:rPr>
    </w:lvl>
    <w:lvl w:ilvl="8" w:tplc="14090005" w:tentative="1">
      <w:start w:val="1"/>
      <w:numFmt w:val="bullet"/>
      <w:lvlText w:val=""/>
      <w:lvlJc w:val="left"/>
      <w:pPr>
        <w:ind w:left="5629" w:hanging="360"/>
      </w:pPr>
      <w:rPr>
        <w:rFonts w:ascii="Wingdings" w:hAnsi="Wingdings" w:hint="default"/>
      </w:rPr>
    </w:lvl>
  </w:abstractNum>
  <w:abstractNum w:abstractNumId="69" w15:restartNumberingAfterBreak="0">
    <w:nsid w:val="792F4D7E"/>
    <w:multiLevelType w:val="hybridMultilevel"/>
    <w:tmpl w:val="13AC19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0" w15:restartNumberingAfterBreak="0">
    <w:nsid w:val="7B0C5D3C"/>
    <w:multiLevelType w:val="hybridMultilevel"/>
    <w:tmpl w:val="3E4696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B2C104E"/>
    <w:multiLevelType w:val="hybridMultilevel"/>
    <w:tmpl w:val="7FE03B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2" w15:restartNumberingAfterBreak="0">
    <w:nsid w:val="7B65205C"/>
    <w:multiLevelType w:val="hybridMultilevel"/>
    <w:tmpl w:val="485A02F4"/>
    <w:lvl w:ilvl="0" w:tplc="CEFA07C0">
      <w:start w:val="1"/>
      <w:numFmt w:val="bullet"/>
      <w:pStyle w:val="Body"/>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3" w15:restartNumberingAfterBreak="0">
    <w:nsid w:val="7BB46A44"/>
    <w:multiLevelType w:val="hybridMultilevel"/>
    <w:tmpl w:val="6078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CEB18D5"/>
    <w:multiLevelType w:val="hybridMultilevel"/>
    <w:tmpl w:val="A47A888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765492420">
    <w:abstractNumId w:val="59"/>
  </w:num>
  <w:num w:numId="2" w16cid:durableId="545726868">
    <w:abstractNumId w:val="12"/>
  </w:num>
  <w:num w:numId="3" w16cid:durableId="1874610243">
    <w:abstractNumId w:val="28"/>
  </w:num>
  <w:num w:numId="4" w16cid:durableId="1791582256">
    <w:abstractNumId w:val="69"/>
  </w:num>
  <w:num w:numId="5" w16cid:durableId="1630041570">
    <w:abstractNumId w:val="42"/>
  </w:num>
  <w:num w:numId="6" w16cid:durableId="937758690">
    <w:abstractNumId w:val="29"/>
  </w:num>
  <w:num w:numId="7" w16cid:durableId="2105764787">
    <w:abstractNumId w:val="41"/>
  </w:num>
  <w:num w:numId="8" w16cid:durableId="1944798499">
    <w:abstractNumId w:val="61"/>
  </w:num>
  <w:num w:numId="9" w16cid:durableId="13767582">
    <w:abstractNumId w:val="3"/>
  </w:num>
  <w:num w:numId="10" w16cid:durableId="1523741935">
    <w:abstractNumId w:val="0"/>
  </w:num>
  <w:num w:numId="11" w16cid:durableId="935937892">
    <w:abstractNumId w:val="49"/>
  </w:num>
  <w:num w:numId="12" w16cid:durableId="95101813">
    <w:abstractNumId w:val="46"/>
  </w:num>
  <w:num w:numId="13" w16cid:durableId="46534692">
    <w:abstractNumId w:val="11"/>
  </w:num>
  <w:num w:numId="14" w16cid:durableId="1960795823">
    <w:abstractNumId w:val="23"/>
  </w:num>
  <w:num w:numId="15" w16cid:durableId="713119330">
    <w:abstractNumId w:val="17"/>
  </w:num>
  <w:num w:numId="16" w16cid:durableId="754865602">
    <w:abstractNumId w:val="8"/>
  </w:num>
  <w:num w:numId="17" w16cid:durableId="783814492">
    <w:abstractNumId w:val="62"/>
  </w:num>
  <w:num w:numId="18" w16cid:durableId="1937210730">
    <w:abstractNumId w:val="20"/>
  </w:num>
  <w:num w:numId="19" w16cid:durableId="683283828">
    <w:abstractNumId w:val="72"/>
  </w:num>
  <w:num w:numId="20" w16cid:durableId="912735143">
    <w:abstractNumId w:val="72"/>
    <w:lvlOverride w:ilvl="0">
      <w:startOverride w:val="1"/>
    </w:lvlOverride>
  </w:num>
  <w:num w:numId="21" w16cid:durableId="702483549">
    <w:abstractNumId w:val="40"/>
  </w:num>
  <w:num w:numId="22" w16cid:durableId="96369806">
    <w:abstractNumId w:val="50"/>
  </w:num>
  <w:num w:numId="23" w16cid:durableId="742457373">
    <w:abstractNumId w:val="18"/>
  </w:num>
  <w:num w:numId="24" w16cid:durableId="231232494">
    <w:abstractNumId w:val="35"/>
  </w:num>
  <w:num w:numId="25" w16cid:durableId="566454815">
    <w:abstractNumId w:val="45"/>
  </w:num>
  <w:num w:numId="26" w16cid:durableId="1991443154">
    <w:abstractNumId w:val="22"/>
  </w:num>
  <w:num w:numId="27" w16cid:durableId="1507787864">
    <w:abstractNumId w:val="53"/>
  </w:num>
  <w:num w:numId="28" w16cid:durableId="1547991220">
    <w:abstractNumId w:val="14"/>
  </w:num>
  <w:num w:numId="29" w16cid:durableId="1735813135">
    <w:abstractNumId w:val="6"/>
  </w:num>
  <w:num w:numId="30" w16cid:durableId="1463158684">
    <w:abstractNumId w:val="39"/>
  </w:num>
  <w:num w:numId="31" w16cid:durableId="788624762">
    <w:abstractNumId w:val="33"/>
  </w:num>
  <w:num w:numId="32" w16cid:durableId="203563664">
    <w:abstractNumId w:val="44"/>
  </w:num>
  <w:num w:numId="33" w16cid:durableId="781342164">
    <w:abstractNumId w:val="74"/>
  </w:num>
  <w:num w:numId="34" w16cid:durableId="2072655255">
    <w:abstractNumId w:val="21"/>
  </w:num>
  <w:num w:numId="35" w16cid:durableId="463667418">
    <w:abstractNumId w:val="34"/>
  </w:num>
  <w:num w:numId="36" w16cid:durableId="1395196468">
    <w:abstractNumId w:val="63"/>
  </w:num>
  <w:num w:numId="37" w16cid:durableId="1176772789">
    <w:abstractNumId w:val="36"/>
  </w:num>
  <w:num w:numId="38" w16cid:durableId="150802668">
    <w:abstractNumId w:val="54"/>
  </w:num>
  <w:num w:numId="39" w16cid:durableId="1415662811">
    <w:abstractNumId w:val="64"/>
  </w:num>
  <w:num w:numId="40" w16cid:durableId="603652363">
    <w:abstractNumId w:val="27"/>
  </w:num>
  <w:num w:numId="41" w16cid:durableId="512110286">
    <w:abstractNumId w:val="2"/>
  </w:num>
  <w:num w:numId="42" w16cid:durableId="1391079741">
    <w:abstractNumId w:val="30"/>
  </w:num>
  <w:num w:numId="43" w16cid:durableId="856650663">
    <w:abstractNumId w:val="15"/>
  </w:num>
  <w:num w:numId="44" w16cid:durableId="669722223">
    <w:abstractNumId w:val="13"/>
  </w:num>
  <w:num w:numId="45" w16cid:durableId="522286685">
    <w:abstractNumId w:val="19"/>
  </w:num>
  <w:num w:numId="46" w16cid:durableId="676545479">
    <w:abstractNumId w:val="7"/>
  </w:num>
  <w:num w:numId="47" w16cid:durableId="1597404427">
    <w:abstractNumId w:val="24"/>
  </w:num>
  <w:num w:numId="48" w16cid:durableId="1745639884">
    <w:abstractNumId w:val="57"/>
  </w:num>
  <w:num w:numId="49" w16cid:durableId="1064832990">
    <w:abstractNumId w:val="55"/>
  </w:num>
  <w:num w:numId="50" w16cid:durableId="1542862771">
    <w:abstractNumId w:val="52"/>
  </w:num>
  <w:num w:numId="51" w16cid:durableId="246576493">
    <w:abstractNumId w:val="9"/>
  </w:num>
  <w:num w:numId="52" w16cid:durableId="940769730">
    <w:abstractNumId w:val="71"/>
  </w:num>
  <w:num w:numId="53" w16cid:durableId="561142872">
    <w:abstractNumId w:val="47"/>
  </w:num>
  <w:num w:numId="54" w16cid:durableId="1704401526">
    <w:abstractNumId w:val="68"/>
  </w:num>
  <w:num w:numId="55" w16cid:durableId="1486044322">
    <w:abstractNumId w:val="60"/>
  </w:num>
  <w:num w:numId="56" w16cid:durableId="1686057857">
    <w:abstractNumId w:val="66"/>
  </w:num>
  <w:num w:numId="57" w16cid:durableId="741175829">
    <w:abstractNumId w:val="31"/>
  </w:num>
  <w:num w:numId="58" w16cid:durableId="1440757277">
    <w:abstractNumId w:val="25"/>
  </w:num>
  <w:num w:numId="59" w16cid:durableId="1084254586">
    <w:abstractNumId w:val="58"/>
  </w:num>
  <w:num w:numId="60" w16cid:durableId="712462890">
    <w:abstractNumId w:val="37"/>
  </w:num>
  <w:num w:numId="61" w16cid:durableId="1496677405">
    <w:abstractNumId w:val="51"/>
  </w:num>
  <w:num w:numId="62" w16cid:durableId="868686602">
    <w:abstractNumId w:val="26"/>
  </w:num>
  <w:num w:numId="63" w16cid:durableId="91170685">
    <w:abstractNumId w:val="48"/>
  </w:num>
  <w:num w:numId="64" w16cid:durableId="434597417">
    <w:abstractNumId w:val="56"/>
  </w:num>
  <w:num w:numId="65" w16cid:durableId="1540050602">
    <w:abstractNumId w:val="32"/>
  </w:num>
  <w:num w:numId="66" w16cid:durableId="295261539">
    <w:abstractNumId w:val="73"/>
  </w:num>
  <w:num w:numId="67" w16cid:durableId="1810784551">
    <w:abstractNumId w:val="38"/>
  </w:num>
  <w:num w:numId="68" w16cid:durableId="1456751967">
    <w:abstractNumId w:val="70"/>
  </w:num>
  <w:num w:numId="69" w16cid:durableId="319039853">
    <w:abstractNumId w:val="1"/>
  </w:num>
  <w:num w:numId="70" w16cid:durableId="1835490284">
    <w:abstractNumId w:val="5"/>
  </w:num>
  <w:num w:numId="71" w16cid:durableId="642471795">
    <w:abstractNumId w:val="67"/>
  </w:num>
  <w:num w:numId="72" w16cid:durableId="649018360">
    <w:abstractNumId w:val="4"/>
  </w:num>
  <w:num w:numId="73" w16cid:durableId="1376737689">
    <w:abstractNumId w:val="10"/>
  </w:num>
  <w:num w:numId="74" w16cid:durableId="100299990">
    <w:abstractNumId w:val="65"/>
  </w:num>
  <w:num w:numId="75" w16cid:durableId="198287745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956787404">
    <w:abstractNumId w:val="43"/>
  </w:num>
  <w:num w:numId="77" w16cid:durableId="676421213">
    <w:abstractNumId w:val="72"/>
    <w:lvlOverride w:ilvl="0">
      <w:startOverride w:val="1"/>
    </w:lvlOverride>
  </w:num>
  <w:num w:numId="78" w16cid:durableId="1680305237">
    <w:abstractNumId w:val="72"/>
    <w:lvlOverride w:ilvl="0">
      <w:startOverride w:val="1"/>
    </w:lvlOverride>
  </w:num>
  <w:num w:numId="79" w16cid:durableId="1487933013">
    <w:abstractNumId w:val="72"/>
    <w:lvlOverride w:ilvl="0">
      <w:startOverride w:val="1"/>
    </w:lvlOverride>
  </w:num>
  <w:num w:numId="80" w16cid:durableId="2110272422">
    <w:abstractNumId w:val="72"/>
    <w:lvlOverride w:ilvl="0">
      <w:startOverride w:val="1"/>
    </w:lvlOverride>
  </w:num>
  <w:num w:numId="81" w16cid:durableId="796948403">
    <w:abstractNumId w:val="72"/>
    <w:lvlOverride w:ilvl="0">
      <w:startOverride w:val="1"/>
    </w:lvlOverride>
  </w:num>
  <w:num w:numId="82" w16cid:durableId="1375427351">
    <w:abstractNumId w:val="72"/>
    <w:lvlOverride w:ilvl="0">
      <w:startOverride w:val="1"/>
    </w:lvlOverride>
  </w:num>
  <w:num w:numId="83" w16cid:durableId="15216982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D6"/>
    <w:rsid w:val="00013FD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42BF"/>
  <w15:chartTrackingRefBased/>
  <w15:docId w15:val="{D0B0D331-4E4E-4F1A-92E0-E0FA3AF3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FD6"/>
    <w:pPr>
      <w:spacing w:after="120" w:line="240" w:lineRule="auto"/>
      <w:jc w:val="both"/>
    </w:pPr>
    <w:rPr>
      <w:rFonts w:ascii="Verdana" w:hAnsi="Verdana"/>
      <w:kern w:val="0"/>
      <w:sz w:val="20"/>
      <w:szCs w:val="20"/>
      <w:lang w:val="en-GB"/>
      <w14:ligatures w14:val="none"/>
    </w:rPr>
  </w:style>
  <w:style w:type="paragraph" w:styleId="Heading1">
    <w:name w:val="heading 1"/>
    <w:basedOn w:val="Normal"/>
    <w:next w:val="Normal"/>
    <w:link w:val="Heading1Char"/>
    <w:uiPriority w:val="9"/>
    <w:qFormat/>
    <w:rsid w:val="00013FD6"/>
    <w:pPr>
      <w:keepNext/>
      <w:keepLines/>
      <w:pageBreakBefore/>
      <w:numPr>
        <w:numId w:val="1"/>
      </w:numPr>
      <w:pBdr>
        <w:bottom w:val="single" w:sz="18" w:space="1" w:color="2F5496" w:themeColor="accent1" w:themeShade="BF"/>
      </w:pBdr>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013FD6"/>
    <w:pPr>
      <w:keepNext/>
      <w:keepLines/>
      <w:numPr>
        <w:ilvl w:val="1"/>
        <w:numId w:val="1"/>
      </w:numPr>
      <w:spacing w:before="120"/>
      <w:outlineLvl w:val="1"/>
    </w:pPr>
    <w:rPr>
      <w:rFonts w:asciiTheme="majorHAnsi" w:eastAsiaTheme="majorEastAsia" w:hAnsiTheme="majorHAnsi" w:cstheme="majorBidi"/>
      <w:b/>
      <w:sz w:val="36"/>
      <w:szCs w:val="36"/>
    </w:rPr>
  </w:style>
  <w:style w:type="paragraph" w:styleId="Heading3">
    <w:name w:val="heading 3"/>
    <w:basedOn w:val="Normal"/>
    <w:next w:val="Normal"/>
    <w:link w:val="Heading3Char"/>
    <w:uiPriority w:val="9"/>
    <w:unhideWhenUsed/>
    <w:qFormat/>
    <w:rsid w:val="00013FD6"/>
    <w:pPr>
      <w:keepNext/>
      <w:keepLines/>
      <w:numPr>
        <w:ilvl w:val="2"/>
        <w:numId w:val="1"/>
      </w:numPr>
      <w:ind w:left="720"/>
      <w:outlineLvl w:val="2"/>
    </w:pPr>
    <w:rPr>
      <w:rFonts w:asciiTheme="majorHAnsi" w:eastAsiaTheme="majorEastAsia" w:hAnsiTheme="majorHAnsi" w:cstheme="majorHAnsi"/>
      <w:b/>
      <w:sz w:val="32"/>
      <w:szCs w:val="24"/>
      <w:lang w:val="en-NZ"/>
    </w:rPr>
  </w:style>
  <w:style w:type="paragraph" w:styleId="Heading4">
    <w:name w:val="heading 4"/>
    <w:basedOn w:val="Normal"/>
    <w:next w:val="Normal"/>
    <w:link w:val="Heading4Char"/>
    <w:uiPriority w:val="9"/>
    <w:unhideWhenUsed/>
    <w:qFormat/>
    <w:rsid w:val="00013FD6"/>
    <w:pPr>
      <w:keepNext/>
      <w:keepLines/>
      <w:numPr>
        <w:ilvl w:val="3"/>
        <w:numId w:val="1"/>
      </w:numPr>
      <w:spacing w:before="60"/>
      <w:outlineLvl w:val="3"/>
    </w:pPr>
    <w:rPr>
      <w:rFonts w:asciiTheme="majorHAnsi" w:eastAsiaTheme="majorEastAsia" w:hAnsiTheme="majorHAnsi" w:cstheme="majorBidi"/>
      <w:b/>
      <w:iCs/>
      <w:sz w:val="32"/>
    </w:rPr>
  </w:style>
  <w:style w:type="paragraph" w:styleId="Heading5">
    <w:name w:val="heading 5"/>
    <w:basedOn w:val="Normal"/>
    <w:next w:val="Normal"/>
    <w:link w:val="Heading5Char"/>
    <w:uiPriority w:val="9"/>
    <w:unhideWhenUsed/>
    <w:qFormat/>
    <w:rsid w:val="00013FD6"/>
    <w:pPr>
      <w:keepNext/>
      <w:keepLines/>
      <w:numPr>
        <w:ilvl w:val="4"/>
        <w:numId w:val="1"/>
      </w:numPr>
      <w:spacing w:before="60"/>
      <w:outlineLvl w:val="4"/>
    </w:pPr>
    <w:rPr>
      <w:rFonts w:asciiTheme="majorHAnsi" w:eastAsiaTheme="majorEastAsia" w:hAnsiTheme="majorHAnsi" w:cstheme="majorBidi"/>
      <w:i/>
      <w:sz w:val="28"/>
    </w:rPr>
  </w:style>
  <w:style w:type="paragraph" w:styleId="Heading6">
    <w:name w:val="heading 6"/>
    <w:basedOn w:val="Normal"/>
    <w:next w:val="Normal"/>
    <w:link w:val="Heading6Char"/>
    <w:uiPriority w:val="9"/>
    <w:unhideWhenUsed/>
    <w:qFormat/>
    <w:rsid w:val="00013FD6"/>
    <w:pPr>
      <w:keepNext/>
      <w:keepLines/>
      <w:numPr>
        <w:ilvl w:val="5"/>
        <w:numId w:val="1"/>
      </w:numPr>
      <w:spacing w:before="40" w:after="0"/>
      <w:ind w:left="4392" w:hanging="36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3FD6"/>
    <w:pPr>
      <w:keepNext/>
      <w:keepLines/>
      <w:numPr>
        <w:ilvl w:val="6"/>
        <w:numId w:val="1"/>
      </w:numPr>
      <w:spacing w:before="40" w:after="0"/>
      <w:ind w:left="5112"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3FD6"/>
    <w:pPr>
      <w:keepNext/>
      <w:keepLines/>
      <w:numPr>
        <w:ilvl w:val="7"/>
        <w:numId w:val="1"/>
      </w:numPr>
      <w:spacing w:before="40" w:after="0"/>
      <w:ind w:left="5832"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3FD6"/>
    <w:pPr>
      <w:keepNext/>
      <w:keepLines/>
      <w:numPr>
        <w:ilvl w:val="8"/>
        <w:numId w:val="1"/>
      </w:numPr>
      <w:spacing w:before="40" w:after="0"/>
      <w:ind w:left="6552"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FD6"/>
    <w:rPr>
      <w:rFonts w:asciiTheme="majorHAnsi" w:eastAsiaTheme="majorEastAsia" w:hAnsiTheme="majorHAnsi" w:cstheme="majorBidi"/>
      <w:b/>
      <w:color w:val="2F5496" w:themeColor="accent1" w:themeShade="BF"/>
      <w:kern w:val="0"/>
      <w:sz w:val="44"/>
      <w:szCs w:val="32"/>
      <w:lang w:val="en-GB"/>
      <w14:ligatures w14:val="none"/>
    </w:rPr>
  </w:style>
  <w:style w:type="character" w:customStyle="1" w:styleId="Heading2Char">
    <w:name w:val="Heading 2 Char"/>
    <w:basedOn w:val="DefaultParagraphFont"/>
    <w:link w:val="Heading2"/>
    <w:uiPriority w:val="9"/>
    <w:rsid w:val="00013FD6"/>
    <w:rPr>
      <w:rFonts w:asciiTheme="majorHAnsi" w:eastAsiaTheme="majorEastAsia" w:hAnsiTheme="majorHAnsi" w:cstheme="majorBidi"/>
      <w:b/>
      <w:kern w:val="0"/>
      <w:sz w:val="36"/>
      <w:szCs w:val="36"/>
      <w:lang w:val="en-GB"/>
      <w14:ligatures w14:val="none"/>
    </w:rPr>
  </w:style>
  <w:style w:type="character" w:customStyle="1" w:styleId="Heading3Char">
    <w:name w:val="Heading 3 Char"/>
    <w:basedOn w:val="DefaultParagraphFont"/>
    <w:link w:val="Heading3"/>
    <w:uiPriority w:val="9"/>
    <w:rsid w:val="00013FD6"/>
    <w:rPr>
      <w:rFonts w:asciiTheme="majorHAnsi" w:eastAsiaTheme="majorEastAsia" w:hAnsiTheme="majorHAnsi" w:cstheme="majorHAnsi"/>
      <w:b/>
      <w:kern w:val="0"/>
      <w:sz w:val="32"/>
      <w:szCs w:val="24"/>
      <w14:ligatures w14:val="none"/>
    </w:rPr>
  </w:style>
  <w:style w:type="character" w:customStyle="1" w:styleId="Heading4Char">
    <w:name w:val="Heading 4 Char"/>
    <w:basedOn w:val="DefaultParagraphFont"/>
    <w:link w:val="Heading4"/>
    <w:uiPriority w:val="9"/>
    <w:rsid w:val="00013FD6"/>
    <w:rPr>
      <w:rFonts w:asciiTheme="majorHAnsi" w:eastAsiaTheme="majorEastAsia" w:hAnsiTheme="majorHAnsi" w:cstheme="majorBidi"/>
      <w:b/>
      <w:iCs/>
      <w:kern w:val="0"/>
      <w:sz w:val="32"/>
      <w:szCs w:val="20"/>
      <w:lang w:val="en-GB"/>
      <w14:ligatures w14:val="none"/>
    </w:rPr>
  </w:style>
  <w:style w:type="character" w:customStyle="1" w:styleId="Heading5Char">
    <w:name w:val="Heading 5 Char"/>
    <w:basedOn w:val="DefaultParagraphFont"/>
    <w:link w:val="Heading5"/>
    <w:uiPriority w:val="9"/>
    <w:rsid w:val="00013FD6"/>
    <w:rPr>
      <w:rFonts w:asciiTheme="majorHAnsi" w:eastAsiaTheme="majorEastAsia" w:hAnsiTheme="majorHAnsi" w:cstheme="majorBidi"/>
      <w:i/>
      <w:kern w:val="0"/>
      <w:sz w:val="28"/>
      <w:szCs w:val="20"/>
      <w:lang w:val="en-GB"/>
      <w14:ligatures w14:val="none"/>
    </w:rPr>
  </w:style>
  <w:style w:type="character" w:customStyle="1" w:styleId="Heading6Char">
    <w:name w:val="Heading 6 Char"/>
    <w:basedOn w:val="DefaultParagraphFont"/>
    <w:link w:val="Heading6"/>
    <w:uiPriority w:val="9"/>
    <w:rsid w:val="00013FD6"/>
    <w:rPr>
      <w:rFonts w:asciiTheme="majorHAnsi" w:eastAsiaTheme="majorEastAsia" w:hAnsiTheme="majorHAnsi" w:cstheme="majorBidi"/>
      <w:color w:val="1F3763" w:themeColor="accent1" w:themeShade="7F"/>
      <w:kern w:val="0"/>
      <w:sz w:val="20"/>
      <w:szCs w:val="20"/>
      <w:lang w:val="en-GB"/>
      <w14:ligatures w14:val="none"/>
    </w:rPr>
  </w:style>
  <w:style w:type="character" w:customStyle="1" w:styleId="Heading7Char">
    <w:name w:val="Heading 7 Char"/>
    <w:basedOn w:val="DefaultParagraphFont"/>
    <w:link w:val="Heading7"/>
    <w:uiPriority w:val="9"/>
    <w:semiHidden/>
    <w:rsid w:val="00013FD6"/>
    <w:rPr>
      <w:rFonts w:asciiTheme="majorHAnsi" w:eastAsiaTheme="majorEastAsia" w:hAnsiTheme="majorHAnsi" w:cstheme="majorBidi"/>
      <w:i/>
      <w:iCs/>
      <w:color w:val="1F3763" w:themeColor="accent1" w:themeShade="7F"/>
      <w:kern w:val="0"/>
      <w:sz w:val="20"/>
      <w:szCs w:val="20"/>
      <w:lang w:val="en-GB"/>
      <w14:ligatures w14:val="none"/>
    </w:rPr>
  </w:style>
  <w:style w:type="character" w:customStyle="1" w:styleId="Heading8Char">
    <w:name w:val="Heading 8 Char"/>
    <w:basedOn w:val="DefaultParagraphFont"/>
    <w:link w:val="Heading8"/>
    <w:uiPriority w:val="9"/>
    <w:semiHidden/>
    <w:rsid w:val="00013FD6"/>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Heading9Char">
    <w:name w:val="Heading 9 Char"/>
    <w:basedOn w:val="DefaultParagraphFont"/>
    <w:link w:val="Heading9"/>
    <w:uiPriority w:val="9"/>
    <w:semiHidden/>
    <w:rsid w:val="00013FD6"/>
    <w:rPr>
      <w:rFonts w:asciiTheme="majorHAnsi" w:eastAsiaTheme="majorEastAsia" w:hAnsiTheme="majorHAnsi" w:cstheme="majorBidi"/>
      <w:i/>
      <w:iCs/>
      <w:color w:val="272727" w:themeColor="text1" w:themeTint="D8"/>
      <w:kern w:val="0"/>
      <w:sz w:val="21"/>
      <w:szCs w:val="21"/>
      <w:lang w:val="en-GB"/>
      <w14:ligatures w14:val="none"/>
    </w:rPr>
  </w:style>
  <w:style w:type="character" w:styleId="PlaceholderText">
    <w:name w:val="Placeholder Text"/>
    <w:basedOn w:val="DefaultParagraphFont"/>
    <w:uiPriority w:val="99"/>
    <w:semiHidden/>
    <w:rsid w:val="00013FD6"/>
    <w:rPr>
      <w:color w:val="808080"/>
    </w:rPr>
  </w:style>
  <w:style w:type="paragraph" w:customStyle="1" w:styleId="DocumentTitle">
    <w:name w:val="Document Title"/>
    <w:basedOn w:val="Normal"/>
    <w:qFormat/>
    <w:rsid w:val="00013FD6"/>
    <w:pPr>
      <w:spacing w:before="2640" w:after="480"/>
      <w:jc w:val="right"/>
    </w:pPr>
    <w:rPr>
      <w:b/>
      <w:color w:val="2F5496" w:themeColor="accent1" w:themeShade="BF"/>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Heading">
    <w:name w:val="TOC Heading"/>
    <w:basedOn w:val="Heading1"/>
    <w:next w:val="Normal"/>
    <w:uiPriority w:val="39"/>
    <w:unhideWhenUsed/>
    <w:qFormat/>
    <w:rsid w:val="00013FD6"/>
    <w:pPr>
      <w:numPr>
        <w:numId w:val="0"/>
      </w:numPr>
      <w:pBdr>
        <w:bottom w:val="none" w:sz="0" w:space="0" w:color="auto"/>
      </w:pBdr>
      <w:spacing w:after="120"/>
      <w:outlineLvl w:val="9"/>
    </w:pPr>
    <w:rPr>
      <w:sz w:val="36"/>
      <w:lang w:val="en-US"/>
    </w:rPr>
  </w:style>
  <w:style w:type="paragraph" w:styleId="TOC1">
    <w:name w:val="toc 1"/>
    <w:basedOn w:val="Normal"/>
    <w:next w:val="Normal"/>
    <w:autoRedefine/>
    <w:uiPriority w:val="39"/>
    <w:unhideWhenUsed/>
    <w:rsid w:val="00013FD6"/>
    <w:pPr>
      <w:tabs>
        <w:tab w:val="left" w:pos="442"/>
        <w:tab w:val="right" w:leader="dot" w:pos="9016"/>
      </w:tabs>
      <w:spacing w:before="40" w:after="60"/>
    </w:pPr>
    <w:rPr>
      <w:b/>
      <w:sz w:val="24"/>
    </w:rPr>
  </w:style>
  <w:style w:type="paragraph" w:styleId="TOC2">
    <w:name w:val="toc 2"/>
    <w:basedOn w:val="Normal"/>
    <w:next w:val="Normal"/>
    <w:autoRedefine/>
    <w:uiPriority w:val="39"/>
    <w:unhideWhenUsed/>
    <w:rsid w:val="00013FD6"/>
    <w:pPr>
      <w:tabs>
        <w:tab w:val="left" w:pos="880"/>
        <w:tab w:val="right" w:leader="dot" w:pos="9016"/>
      </w:tabs>
      <w:spacing w:after="0"/>
      <w:ind w:left="221"/>
    </w:pPr>
  </w:style>
  <w:style w:type="paragraph" w:styleId="TOC3">
    <w:name w:val="toc 3"/>
    <w:basedOn w:val="Normal"/>
    <w:next w:val="Normal"/>
    <w:autoRedefine/>
    <w:uiPriority w:val="39"/>
    <w:unhideWhenUsed/>
    <w:rsid w:val="00013FD6"/>
    <w:pPr>
      <w:tabs>
        <w:tab w:val="left" w:pos="1320"/>
        <w:tab w:val="right" w:leader="dot" w:pos="9016"/>
      </w:tabs>
      <w:spacing w:after="0"/>
      <w:ind w:left="442"/>
    </w:pPr>
  </w:style>
  <w:style w:type="character" w:styleId="Hyperlink">
    <w:name w:val="Hyperlink"/>
    <w:basedOn w:val="DefaultParagraphFont"/>
    <w:uiPriority w:val="99"/>
    <w:unhideWhenUsed/>
    <w:rsid w:val="00013FD6"/>
    <w:rPr>
      <w:color w:val="0563C1" w:themeColor="hyperlink"/>
      <w:sz w:val="20"/>
      <w:u w:val="single"/>
    </w:rPr>
  </w:style>
  <w:style w:type="paragraph" w:customStyle="1" w:styleId="Figure">
    <w:name w:val="Figure"/>
    <w:basedOn w:val="Normal"/>
    <w:next w:val="Normal"/>
    <w:qFormat/>
    <w:rsid w:val="00013FD6"/>
    <w:pPr>
      <w:numPr>
        <w:numId w:val="2"/>
      </w:numPr>
      <w:jc w:val="center"/>
    </w:pPr>
    <w:rPr>
      <w:i/>
      <w:sz w:val="16"/>
    </w:rPr>
  </w:style>
  <w:style w:type="paragraph" w:styleId="TableofFigures">
    <w:name w:val="table of figures"/>
    <w:basedOn w:val="Normal"/>
    <w:next w:val="Normal"/>
    <w:uiPriority w:val="99"/>
    <w:unhideWhenUsed/>
    <w:rsid w:val="00013FD6"/>
    <w:pPr>
      <w:spacing w:after="0"/>
    </w:pPr>
  </w:style>
  <w:style w:type="paragraph" w:styleId="Header">
    <w:name w:val="header"/>
    <w:basedOn w:val="Normal"/>
    <w:link w:val="HeaderChar"/>
    <w:uiPriority w:val="99"/>
    <w:unhideWhenUsed/>
    <w:rsid w:val="00013FD6"/>
    <w:pPr>
      <w:tabs>
        <w:tab w:val="center" w:pos="4513"/>
        <w:tab w:val="right" w:pos="9026"/>
      </w:tabs>
      <w:spacing w:after="0"/>
    </w:pPr>
  </w:style>
  <w:style w:type="character" w:customStyle="1" w:styleId="HeaderChar">
    <w:name w:val="Header Char"/>
    <w:basedOn w:val="DefaultParagraphFont"/>
    <w:link w:val="Header"/>
    <w:uiPriority w:val="99"/>
    <w:rsid w:val="00013FD6"/>
    <w:rPr>
      <w:rFonts w:ascii="Verdana" w:hAnsi="Verdana"/>
      <w:kern w:val="0"/>
      <w:sz w:val="20"/>
      <w:szCs w:val="20"/>
      <w:lang w:val="en-GB"/>
      <w14:ligatures w14:val="none"/>
    </w:rPr>
  </w:style>
  <w:style w:type="paragraph" w:styleId="Footer">
    <w:name w:val="footer"/>
    <w:basedOn w:val="Normal"/>
    <w:link w:val="FooterChar"/>
    <w:uiPriority w:val="99"/>
    <w:unhideWhenUsed/>
    <w:rsid w:val="00013FD6"/>
    <w:pPr>
      <w:tabs>
        <w:tab w:val="center" w:pos="4513"/>
        <w:tab w:val="right" w:pos="9026"/>
      </w:tabs>
      <w:spacing w:after="0"/>
    </w:pPr>
  </w:style>
  <w:style w:type="character" w:customStyle="1" w:styleId="FooterChar">
    <w:name w:val="Footer Char"/>
    <w:basedOn w:val="DefaultParagraphFont"/>
    <w:link w:val="Footer"/>
    <w:uiPriority w:val="99"/>
    <w:rsid w:val="00013FD6"/>
    <w:rPr>
      <w:rFonts w:ascii="Verdana" w:hAnsi="Verdana"/>
      <w:kern w:val="0"/>
      <w:sz w:val="20"/>
      <w:szCs w:val="20"/>
      <w:lang w:val="en-GB"/>
      <w14:ligatures w14:val="none"/>
    </w:rPr>
  </w:style>
  <w:style w:type="table" w:styleId="TableGrid">
    <w:name w:val="Table Grid"/>
    <w:basedOn w:val="TableNormal"/>
    <w:uiPriority w:val="59"/>
    <w:rsid w:val="00013FD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13FD6"/>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
    <w:name w:val="table"/>
    <w:basedOn w:val="Figure"/>
    <w:next w:val="Normal"/>
    <w:qFormat/>
    <w:rsid w:val="00013FD6"/>
    <w:pPr>
      <w:numPr>
        <w:numId w:val="3"/>
      </w:numPr>
      <w:spacing w:after="0"/>
    </w:pPr>
    <w:rPr>
      <w:bCs/>
    </w:rPr>
  </w:style>
  <w:style w:type="table" w:styleId="GridTable5Dark-Accent5">
    <w:name w:val="Grid Table 5 Dark Accent 5"/>
    <w:basedOn w:val="TableNormal"/>
    <w:uiPriority w:val="50"/>
    <w:rsid w:val="00013FD6"/>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aliases w:val="List Paragraph1,lp1,lp11,List Paragraph11,Questions,List 1,Other List,List Paragraph numbered,Rec para,Recommendation,Dot pt,F5 List Paragraph,No Spacing1,List Paragraph Char Char Char,Indicator Text,Numbered Para 1,Bullet 1,L"/>
    <w:basedOn w:val="Normal"/>
    <w:link w:val="ListParagraphChar"/>
    <w:uiPriority w:val="2"/>
    <w:qFormat/>
    <w:rsid w:val="00013FD6"/>
    <w:pPr>
      <w:ind w:left="720"/>
      <w:contextualSpacing/>
    </w:pPr>
  </w:style>
  <w:style w:type="paragraph" w:customStyle="1" w:styleId="instruction">
    <w:name w:val="instruction"/>
    <w:basedOn w:val="Normal"/>
    <w:next w:val="Normal"/>
    <w:qFormat/>
    <w:rsid w:val="00013FD6"/>
    <w:pPr>
      <w:spacing w:after="0"/>
    </w:pPr>
    <w:rPr>
      <w:i/>
      <w:color w:val="A6A6A6" w:themeColor="background1" w:themeShade="A6"/>
    </w:rPr>
  </w:style>
  <w:style w:type="character" w:styleId="CommentReference">
    <w:name w:val="annotation reference"/>
    <w:basedOn w:val="DefaultParagraphFont"/>
    <w:uiPriority w:val="99"/>
    <w:semiHidden/>
    <w:unhideWhenUsed/>
    <w:rsid w:val="00013FD6"/>
    <w:rPr>
      <w:sz w:val="16"/>
      <w:szCs w:val="16"/>
    </w:rPr>
  </w:style>
  <w:style w:type="paragraph" w:styleId="CommentText">
    <w:name w:val="annotation text"/>
    <w:basedOn w:val="Normal"/>
    <w:link w:val="CommentTextChar"/>
    <w:uiPriority w:val="99"/>
    <w:unhideWhenUsed/>
    <w:rsid w:val="00013FD6"/>
  </w:style>
  <w:style w:type="character" w:customStyle="1" w:styleId="CommentTextChar">
    <w:name w:val="Comment Text Char"/>
    <w:basedOn w:val="DefaultParagraphFont"/>
    <w:link w:val="CommentText"/>
    <w:uiPriority w:val="99"/>
    <w:rsid w:val="00013FD6"/>
    <w:rPr>
      <w:rFonts w:ascii="Verdana" w:hAnsi="Verdana"/>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013FD6"/>
    <w:rPr>
      <w:b/>
      <w:bCs/>
    </w:rPr>
  </w:style>
  <w:style w:type="character" w:customStyle="1" w:styleId="CommentSubjectChar">
    <w:name w:val="Comment Subject Char"/>
    <w:basedOn w:val="CommentTextChar"/>
    <w:link w:val="CommentSubject"/>
    <w:uiPriority w:val="99"/>
    <w:semiHidden/>
    <w:rsid w:val="00013FD6"/>
    <w:rPr>
      <w:rFonts w:ascii="Verdana" w:hAnsi="Verdana"/>
      <w:b/>
      <w:bCs/>
      <w:kern w:val="0"/>
      <w:sz w:val="20"/>
      <w:szCs w:val="20"/>
      <w:lang w:val="en-GB"/>
      <w14:ligatures w14:val="none"/>
    </w:rPr>
  </w:style>
  <w:style w:type="paragraph" w:styleId="BalloonText">
    <w:name w:val="Balloon Text"/>
    <w:basedOn w:val="Normal"/>
    <w:link w:val="BalloonTextChar"/>
    <w:uiPriority w:val="99"/>
    <w:semiHidden/>
    <w:unhideWhenUsed/>
    <w:rsid w:val="00013FD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FD6"/>
    <w:rPr>
      <w:rFonts w:ascii="Segoe UI" w:hAnsi="Segoe UI" w:cs="Segoe UI"/>
      <w:kern w:val="0"/>
      <w:sz w:val="18"/>
      <w:szCs w:val="18"/>
      <w:lang w:val="en-GB"/>
      <w14:ligatures w14:val="none"/>
    </w:rPr>
  </w:style>
  <w:style w:type="character" w:customStyle="1" w:styleId="TableHeadingChar">
    <w:name w:val="Table Heading Char"/>
    <w:link w:val="TableHeading"/>
    <w:rsid w:val="00013FD6"/>
    <w:rPr>
      <w:rFonts w:ascii="Verdana" w:hAnsi="Verdana"/>
      <w:b/>
      <w:color w:val="000066"/>
      <w:sz w:val="20"/>
      <w:szCs w:val="20"/>
    </w:rPr>
  </w:style>
  <w:style w:type="paragraph" w:customStyle="1" w:styleId="TableHeading">
    <w:name w:val="Table Heading"/>
    <w:basedOn w:val="Normal"/>
    <w:link w:val="TableHeadingChar"/>
    <w:qFormat/>
    <w:rsid w:val="00013FD6"/>
    <w:pPr>
      <w:keepNext/>
      <w:spacing w:before="120"/>
    </w:pPr>
    <w:rPr>
      <w:b/>
      <w:color w:val="000066"/>
      <w:kern w:val="2"/>
      <w:lang w:val="en-NZ"/>
      <w14:ligatures w14:val="standardContextual"/>
    </w:rPr>
  </w:style>
  <w:style w:type="paragraph" w:styleId="BodyText">
    <w:name w:val="Body Text"/>
    <w:basedOn w:val="Normal"/>
    <w:link w:val="BodyTextChar"/>
    <w:rsid w:val="00013FD6"/>
    <w:rPr>
      <w:rFonts w:eastAsia="Times New Roman" w:cs="Times New Roman"/>
      <w:lang w:eastAsia="en-NZ"/>
    </w:rPr>
  </w:style>
  <w:style w:type="character" w:customStyle="1" w:styleId="BodyTextChar">
    <w:name w:val="Body Text Char"/>
    <w:basedOn w:val="DefaultParagraphFont"/>
    <w:link w:val="BodyText"/>
    <w:rsid w:val="00013FD6"/>
    <w:rPr>
      <w:rFonts w:ascii="Verdana" w:eastAsia="Times New Roman" w:hAnsi="Verdana" w:cs="Times New Roman"/>
      <w:kern w:val="0"/>
      <w:sz w:val="20"/>
      <w:szCs w:val="20"/>
      <w:lang w:val="en-GB" w:eastAsia="en-NZ"/>
      <w14:ligatures w14:val="none"/>
    </w:rPr>
  </w:style>
  <w:style w:type="character" w:customStyle="1" w:styleId="ListParagraphChar">
    <w:name w:val="List Paragraph Char"/>
    <w:aliases w:val="List Paragraph1 Char,lp1 Char,lp11 Char,List Paragraph11 Char,Questions Char,List 1 Char,Other List Char,List Paragraph numbered Char,Rec para Char,Recommendation Char,Dot pt Char,F5 List Paragraph Char,No Spacing1 Char,Bullet 1 Char"/>
    <w:basedOn w:val="DefaultParagraphFont"/>
    <w:link w:val="ListParagraph"/>
    <w:uiPriority w:val="2"/>
    <w:qFormat/>
    <w:locked/>
    <w:rsid w:val="00013FD6"/>
    <w:rPr>
      <w:rFonts w:ascii="Verdana" w:hAnsi="Verdana"/>
      <w:kern w:val="0"/>
      <w:sz w:val="20"/>
      <w:szCs w:val="20"/>
      <w:lang w:val="en-GB"/>
      <w14:ligatures w14:val="none"/>
    </w:rPr>
  </w:style>
  <w:style w:type="paragraph" w:styleId="TOC4">
    <w:name w:val="toc 4"/>
    <w:basedOn w:val="Normal"/>
    <w:next w:val="Normal"/>
    <w:autoRedefine/>
    <w:uiPriority w:val="39"/>
    <w:unhideWhenUsed/>
    <w:rsid w:val="00013FD6"/>
    <w:pPr>
      <w:spacing w:after="100" w:line="259" w:lineRule="auto"/>
      <w:ind w:left="660"/>
    </w:pPr>
    <w:rPr>
      <w:rFonts w:eastAsiaTheme="minorEastAsia"/>
      <w:lang w:eastAsia="en-NZ"/>
    </w:rPr>
  </w:style>
  <w:style w:type="paragraph" w:styleId="TOC5">
    <w:name w:val="toc 5"/>
    <w:basedOn w:val="Normal"/>
    <w:next w:val="Normal"/>
    <w:autoRedefine/>
    <w:uiPriority w:val="39"/>
    <w:unhideWhenUsed/>
    <w:rsid w:val="00013FD6"/>
    <w:pPr>
      <w:spacing w:after="100" w:line="259" w:lineRule="auto"/>
      <w:ind w:left="880"/>
    </w:pPr>
    <w:rPr>
      <w:rFonts w:eastAsiaTheme="minorEastAsia"/>
      <w:lang w:eastAsia="en-NZ"/>
    </w:rPr>
  </w:style>
  <w:style w:type="paragraph" w:styleId="TOC6">
    <w:name w:val="toc 6"/>
    <w:basedOn w:val="Normal"/>
    <w:next w:val="Normal"/>
    <w:autoRedefine/>
    <w:uiPriority w:val="39"/>
    <w:unhideWhenUsed/>
    <w:rsid w:val="00013FD6"/>
    <w:pPr>
      <w:spacing w:after="100" w:line="259" w:lineRule="auto"/>
      <w:ind w:left="1100"/>
    </w:pPr>
    <w:rPr>
      <w:rFonts w:eastAsiaTheme="minorEastAsia"/>
      <w:lang w:eastAsia="en-NZ"/>
    </w:rPr>
  </w:style>
  <w:style w:type="paragraph" w:styleId="TOC7">
    <w:name w:val="toc 7"/>
    <w:basedOn w:val="Normal"/>
    <w:next w:val="Normal"/>
    <w:autoRedefine/>
    <w:uiPriority w:val="39"/>
    <w:unhideWhenUsed/>
    <w:rsid w:val="00013FD6"/>
    <w:pPr>
      <w:spacing w:after="100" w:line="259" w:lineRule="auto"/>
      <w:ind w:left="1320"/>
    </w:pPr>
    <w:rPr>
      <w:rFonts w:eastAsiaTheme="minorEastAsia"/>
      <w:lang w:eastAsia="en-NZ"/>
    </w:rPr>
  </w:style>
  <w:style w:type="paragraph" w:styleId="TOC8">
    <w:name w:val="toc 8"/>
    <w:basedOn w:val="Normal"/>
    <w:next w:val="Normal"/>
    <w:autoRedefine/>
    <w:uiPriority w:val="39"/>
    <w:unhideWhenUsed/>
    <w:rsid w:val="00013FD6"/>
    <w:pPr>
      <w:spacing w:after="100" w:line="259" w:lineRule="auto"/>
      <w:ind w:left="1540"/>
    </w:pPr>
    <w:rPr>
      <w:rFonts w:eastAsiaTheme="minorEastAsia"/>
      <w:lang w:eastAsia="en-NZ"/>
    </w:rPr>
  </w:style>
  <w:style w:type="paragraph" w:styleId="TOC9">
    <w:name w:val="toc 9"/>
    <w:basedOn w:val="Normal"/>
    <w:next w:val="Normal"/>
    <w:autoRedefine/>
    <w:uiPriority w:val="39"/>
    <w:unhideWhenUsed/>
    <w:rsid w:val="00013FD6"/>
    <w:pPr>
      <w:spacing w:after="100" w:line="259" w:lineRule="auto"/>
      <w:ind w:left="1760"/>
    </w:pPr>
    <w:rPr>
      <w:rFonts w:eastAsiaTheme="minorEastAsia"/>
      <w:lang w:eastAsia="en-NZ"/>
    </w:rPr>
  </w:style>
  <w:style w:type="character" w:styleId="UnresolvedMention">
    <w:name w:val="Unresolved Mention"/>
    <w:basedOn w:val="DefaultParagraphFont"/>
    <w:uiPriority w:val="99"/>
    <w:unhideWhenUsed/>
    <w:rsid w:val="00013FD6"/>
    <w:rPr>
      <w:color w:val="605E5C"/>
      <w:shd w:val="clear" w:color="auto" w:fill="E1DFDD"/>
    </w:rPr>
  </w:style>
  <w:style w:type="paragraph" w:customStyle="1" w:styleId="Body">
    <w:name w:val="Body"/>
    <w:basedOn w:val="Normal"/>
    <w:link w:val="BodyChar"/>
    <w:qFormat/>
    <w:rsid w:val="00013FD6"/>
    <w:pPr>
      <w:numPr>
        <w:numId w:val="19"/>
      </w:numPr>
    </w:pPr>
    <w:rPr>
      <w:rFonts w:eastAsia="Times New Roman" w:cstheme="minorHAnsi"/>
      <w:bCs/>
    </w:rPr>
  </w:style>
  <w:style w:type="character" w:customStyle="1" w:styleId="BodyChar">
    <w:name w:val="Body Char"/>
    <w:link w:val="Body"/>
    <w:locked/>
    <w:rsid w:val="00013FD6"/>
    <w:rPr>
      <w:rFonts w:ascii="Verdana" w:eastAsia="Times New Roman" w:hAnsi="Verdana" w:cstheme="minorHAnsi"/>
      <w:bCs/>
      <w:kern w:val="0"/>
      <w:sz w:val="20"/>
      <w:szCs w:val="20"/>
      <w:lang w:val="en-GB"/>
      <w14:ligatures w14:val="none"/>
    </w:rPr>
  </w:style>
  <w:style w:type="paragraph" w:styleId="Caption">
    <w:name w:val="caption"/>
    <w:basedOn w:val="Normal"/>
    <w:next w:val="Normal"/>
    <w:uiPriority w:val="35"/>
    <w:unhideWhenUsed/>
    <w:qFormat/>
    <w:rsid w:val="00013FD6"/>
    <w:pPr>
      <w:spacing w:after="200"/>
    </w:pPr>
    <w:rPr>
      <w:i/>
      <w:iCs/>
      <w:color w:val="44546A" w:themeColor="text2"/>
      <w:sz w:val="18"/>
      <w:szCs w:val="18"/>
    </w:rPr>
  </w:style>
  <w:style w:type="table" w:styleId="GridTable4">
    <w:name w:val="Grid Table 4"/>
    <w:basedOn w:val="TableNormal"/>
    <w:uiPriority w:val="49"/>
    <w:rsid w:val="00013FD6"/>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mallBody">
    <w:name w:val="Small Body"/>
    <w:basedOn w:val="Normal"/>
    <w:link w:val="SmallBodyChar"/>
    <w:qFormat/>
    <w:rsid w:val="00013FD6"/>
    <w:pPr>
      <w:spacing w:before="120" w:after="60"/>
    </w:pPr>
    <w:rPr>
      <w:rFonts w:eastAsia="Times New Roman" w:cs="Times New Roman"/>
      <w:sz w:val="18"/>
      <w:szCs w:val="18"/>
      <w:lang w:eastAsia="en-NZ"/>
    </w:rPr>
  </w:style>
  <w:style w:type="character" w:customStyle="1" w:styleId="SmallBodyChar">
    <w:name w:val="Small Body Char"/>
    <w:basedOn w:val="DefaultParagraphFont"/>
    <w:link w:val="SmallBody"/>
    <w:rsid w:val="00013FD6"/>
    <w:rPr>
      <w:rFonts w:ascii="Verdana" w:eastAsia="Times New Roman" w:hAnsi="Verdana" w:cs="Times New Roman"/>
      <w:kern w:val="0"/>
      <w:sz w:val="18"/>
      <w:szCs w:val="18"/>
      <w:lang w:val="en-GB" w:eastAsia="en-NZ"/>
      <w14:ligatures w14:val="none"/>
    </w:rPr>
  </w:style>
  <w:style w:type="paragraph" w:customStyle="1" w:styleId="MPITableText">
    <w:name w:val="MPI_Table Text"/>
    <w:basedOn w:val="Normal"/>
    <w:qFormat/>
    <w:rsid w:val="00013FD6"/>
    <w:pPr>
      <w:spacing w:before="60" w:after="60"/>
    </w:pPr>
    <w:rPr>
      <w:rFonts w:ascii="Calibri" w:eastAsia="Times New Roman" w:hAnsi="Calibri" w:cs="Times New Roman"/>
      <w:lang w:eastAsia="en-NZ"/>
    </w:rPr>
  </w:style>
  <w:style w:type="paragraph" w:customStyle="1" w:styleId="MPITableBullet">
    <w:name w:val="MPI_ Table Bullet"/>
    <w:basedOn w:val="MPITableText"/>
    <w:qFormat/>
    <w:rsid w:val="00013FD6"/>
    <w:pPr>
      <w:numPr>
        <w:numId w:val="9"/>
      </w:numPr>
    </w:pPr>
  </w:style>
  <w:style w:type="character" w:styleId="FollowedHyperlink">
    <w:name w:val="FollowedHyperlink"/>
    <w:basedOn w:val="DefaultParagraphFont"/>
    <w:uiPriority w:val="99"/>
    <w:semiHidden/>
    <w:unhideWhenUsed/>
    <w:rsid w:val="00013FD6"/>
    <w:rPr>
      <w:color w:val="954F72" w:themeColor="followedHyperlink"/>
      <w:u w:val="single"/>
    </w:rPr>
  </w:style>
  <w:style w:type="character" w:styleId="Emphasis">
    <w:name w:val="Emphasis"/>
    <w:uiPriority w:val="20"/>
    <w:qFormat/>
    <w:rsid w:val="00013FD6"/>
    <w:rPr>
      <w:rFonts w:cs="Times New Roman"/>
      <w:i/>
      <w:iCs/>
    </w:rPr>
  </w:style>
  <w:style w:type="paragraph" w:styleId="ListBullet3">
    <w:name w:val="List Bullet 3"/>
    <w:basedOn w:val="Normal"/>
    <w:semiHidden/>
    <w:rsid w:val="00013FD6"/>
    <w:pPr>
      <w:numPr>
        <w:numId w:val="10"/>
      </w:numPr>
      <w:tabs>
        <w:tab w:val="num" w:pos="926"/>
      </w:tabs>
      <w:spacing w:after="0"/>
    </w:pPr>
    <w:rPr>
      <w:rFonts w:eastAsia="Times New Roman" w:cs="Times New Roman"/>
      <w:sz w:val="21"/>
    </w:rPr>
  </w:style>
  <w:style w:type="paragraph" w:customStyle="1" w:styleId="TableText1">
    <w:name w:val="Table Text 1"/>
    <w:link w:val="TableText1Char"/>
    <w:rsid w:val="00013FD6"/>
    <w:pPr>
      <w:spacing w:after="0" w:line="280" w:lineRule="atLeast"/>
    </w:pPr>
    <w:rPr>
      <w:rFonts w:ascii="Verdana" w:eastAsia="Times New Roman" w:hAnsi="Verdana" w:cs="Times New Roman"/>
      <w:kern w:val="0"/>
      <w:sz w:val="20"/>
      <w:szCs w:val="20"/>
      <w:lang w:eastAsia="en-AU"/>
      <w14:ligatures w14:val="none"/>
    </w:rPr>
  </w:style>
  <w:style w:type="character" w:customStyle="1" w:styleId="TableText1Char">
    <w:name w:val="Table Text 1 Char"/>
    <w:link w:val="TableText1"/>
    <w:locked/>
    <w:rsid w:val="00013FD6"/>
    <w:rPr>
      <w:rFonts w:ascii="Verdana" w:eastAsia="Times New Roman" w:hAnsi="Verdana" w:cs="Times New Roman"/>
      <w:kern w:val="0"/>
      <w:sz w:val="20"/>
      <w:szCs w:val="20"/>
      <w:lang w:eastAsia="en-AU"/>
      <w14:ligatures w14:val="none"/>
    </w:rPr>
  </w:style>
  <w:style w:type="paragraph" w:customStyle="1" w:styleId="Bullet2">
    <w:name w:val="Bullet 2"/>
    <w:basedOn w:val="BodyText"/>
    <w:uiPriority w:val="2"/>
    <w:qFormat/>
    <w:rsid w:val="00013FD6"/>
    <w:pPr>
      <w:numPr>
        <w:numId w:val="12"/>
      </w:numPr>
      <w:spacing w:before="60" w:after="60"/>
    </w:pPr>
    <w:rPr>
      <w:rFonts w:ascii="Montserrat" w:eastAsiaTheme="minorHAnsi" w:hAnsi="Montserrat" w:cstheme="minorBidi"/>
      <w:szCs w:val="22"/>
      <w:lang w:eastAsia="en-US"/>
    </w:rPr>
  </w:style>
  <w:style w:type="paragraph" w:customStyle="1" w:styleId="MPIBodyText">
    <w:name w:val="MPI_Body Text"/>
    <w:basedOn w:val="Normal"/>
    <w:qFormat/>
    <w:rsid w:val="00013FD6"/>
    <w:pPr>
      <w:spacing w:before="120"/>
    </w:pPr>
    <w:rPr>
      <w:rFonts w:ascii="Calibri" w:eastAsia="Times New Roman" w:hAnsi="Calibri" w:cs="Times New Roman"/>
      <w:lang w:val="en-AU" w:eastAsia="en-NZ"/>
    </w:rPr>
  </w:style>
  <w:style w:type="paragraph" w:customStyle="1" w:styleId="Body-Left">
    <w:name w:val="Body-Left"/>
    <w:basedOn w:val="Body"/>
    <w:link w:val="Body-LeftChar"/>
    <w:qFormat/>
    <w:rsid w:val="00013FD6"/>
    <w:pPr>
      <w:jc w:val="left"/>
    </w:pPr>
  </w:style>
  <w:style w:type="paragraph" w:customStyle="1" w:styleId="Normal-Table">
    <w:name w:val="Normal-Table"/>
    <w:basedOn w:val="Normal"/>
    <w:link w:val="Normal-TableChar"/>
    <w:qFormat/>
    <w:rsid w:val="00013FD6"/>
    <w:pPr>
      <w:spacing w:before="60" w:after="60"/>
      <w:jc w:val="left"/>
    </w:pPr>
  </w:style>
  <w:style w:type="character" w:customStyle="1" w:styleId="Body-LeftChar">
    <w:name w:val="Body-Left Char"/>
    <w:basedOn w:val="BodyChar"/>
    <w:link w:val="Body-Left"/>
    <w:rsid w:val="00013FD6"/>
    <w:rPr>
      <w:rFonts w:ascii="Verdana" w:eastAsia="Times New Roman" w:hAnsi="Verdana" w:cstheme="minorHAnsi"/>
      <w:bCs/>
      <w:kern w:val="0"/>
      <w:sz w:val="20"/>
      <w:szCs w:val="20"/>
      <w:lang w:val="en-GB"/>
      <w14:ligatures w14:val="none"/>
    </w:rPr>
  </w:style>
  <w:style w:type="paragraph" w:customStyle="1" w:styleId="MPIBodyBullet1">
    <w:name w:val="MPI_Body Bullet 1"/>
    <w:basedOn w:val="Normal"/>
    <w:qFormat/>
    <w:rsid w:val="00013FD6"/>
    <w:pPr>
      <w:numPr>
        <w:numId w:val="17"/>
      </w:numPr>
      <w:spacing w:before="120"/>
      <w:jc w:val="left"/>
    </w:pPr>
    <w:rPr>
      <w:rFonts w:ascii="Calibri" w:eastAsia="Times New Roman" w:hAnsi="Calibri" w:cs="Times New Roman"/>
      <w:sz w:val="22"/>
      <w:szCs w:val="22"/>
      <w:lang w:val="en-AU" w:eastAsia="en-NZ"/>
    </w:rPr>
  </w:style>
  <w:style w:type="character" w:customStyle="1" w:styleId="Normal-TableChar">
    <w:name w:val="Normal-Table Char"/>
    <w:basedOn w:val="DefaultParagraphFont"/>
    <w:link w:val="Normal-Table"/>
    <w:rsid w:val="00013FD6"/>
    <w:rPr>
      <w:rFonts w:ascii="Verdana" w:hAnsi="Verdana"/>
      <w:kern w:val="0"/>
      <w:sz w:val="20"/>
      <w:szCs w:val="20"/>
      <w:lang w:val="en-GB"/>
      <w14:ligatures w14:val="none"/>
    </w:rPr>
  </w:style>
  <w:style w:type="paragraph" w:customStyle="1" w:styleId="MPIBodyText0">
    <w:name w:val="MPI Body Text"/>
    <w:basedOn w:val="Normal"/>
    <w:qFormat/>
    <w:rsid w:val="00013FD6"/>
    <w:pPr>
      <w:spacing w:before="120"/>
      <w:jc w:val="left"/>
    </w:pPr>
    <w:rPr>
      <w:rFonts w:ascii="Calibri" w:eastAsia="Calibri" w:hAnsi="Calibri" w:cs="Times New Roman"/>
      <w:sz w:val="22"/>
      <w:szCs w:val="22"/>
      <w:lang w:val="en-NZ"/>
    </w:rPr>
  </w:style>
  <w:style w:type="paragraph" w:customStyle="1" w:styleId="MPIBodyNumbering">
    <w:name w:val="MPI_Body Numbering"/>
    <w:basedOn w:val="MPIBodyText"/>
    <w:qFormat/>
    <w:rsid w:val="00013FD6"/>
    <w:pPr>
      <w:numPr>
        <w:numId w:val="18"/>
      </w:numPr>
      <w:jc w:val="left"/>
    </w:pPr>
    <w:rPr>
      <w:b/>
      <w:sz w:val="22"/>
      <w:szCs w:val="22"/>
    </w:rPr>
  </w:style>
  <w:style w:type="paragraph" w:styleId="FootnoteText">
    <w:name w:val="footnote text"/>
    <w:basedOn w:val="Normal"/>
    <w:link w:val="FootnoteTextChar"/>
    <w:uiPriority w:val="99"/>
    <w:semiHidden/>
    <w:unhideWhenUsed/>
    <w:rsid w:val="00013FD6"/>
    <w:pPr>
      <w:spacing w:after="0"/>
    </w:pPr>
  </w:style>
  <w:style w:type="character" w:customStyle="1" w:styleId="FootnoteTextChar">
    <w:name w:val="Footnote Text Char"/>
    <w:basedOn w:val="DefaultParagraphFont"/>
    <w:link w:val="FootnoteText"/>
    <w:uiPriority w:val="99"/>
    <w:semiHidden/>
    <w:rsid w:val="00013FD6"/>
    <w:rPr>
      <w:rFonts w:ascii="Verdana" w:hAnsi="Verdana"/>
      <w:kern w:val="0"/>
      <w:sz w:val="20"/>
      <w:szCs w:val="20"/>
      <w:lang w:val="en-GB"/>
      <w14:ligatures w14:val="none"/>
    </w:rPr>
  </w:style>
  <w:style w:type="character" w:styleId="FootnoteReference">
    <w:name w:val="footnote reference"/>
    <w:basedOn w:val="DefaultParagraphFont"/>
    <w:uiPriority w:val="99"/>
    <w:semiHidden/>
    <w:unhideWhenUsed/>
    <w:rsid w:val="00013FD6"/>
    <w:rPr>
      <w:vertAlign w:val="superscript"/>
    </w:rPr>
  </w:style>
  <w:style w:type="paragraph" w:customStyle="1" w:styleId="paragraph">
    <w:name w:val="paragraph"/>
    <w:basedOn w:val="Normal"/>
    <w:rsid w:val="00013FD6"/>
    <w:pPr>
      <w:spacing w:before="100" w:beforeAutospacing="1" w:after="100" w:afterAutospacing="1"/>
      <w:jc w:val="left"/>
    </w:pPr>
    <w:rPr>
      <w:rFonts w:ascii="Calibri" w:hAnsi="Calibri" w:cs="Calibri"/>
      <w:sz w:val="22"/>
      <w:szCs w:val="22"/>
      <w:lang w:val="en-NZ" w:eastAsia="en-NZ"/>
    </w:rPr>
  </w:style>
  <w:style w:type="character" w:customStyle="1" w:styleId="normaltextrun">
    <w:name w:val="normaltextrun"/>
    <w:basedOn w:val="DefaultParagraphFont"/>
    <w:rsid w:val="00013FD6"/>
  </w:style>
  <w:style w:type="character" w:customStyle="1" w:styleId="spellingerror">
    <w:name w:val="spellingerror"/>
    <w:basedOn w:val="DefaultParagraphFont"/>
    <w:rsid w:val="00013FD6"/>
  </w:style>
  <w:style w:type="character" w:styleId="Mention">
    <w:name w:val="Mention"/>
    <w:basedOn w:val="DefaultParagraphFont"/>
    <w:uiPriority w:val="99"/>
    <w:unhideWhenUsed/>
    <w:rsid w:val="00013FD6"/>
    <w:rPr>
      <w:color w:val="2B579A"/>
      <w:shd w:val="clear" w:color="auto" w:fill="E1DFDD"/>
    </w:rPr>
  </w:style>
  <w:style w:type="paragraph" w:styleId="NormalIndent">
    <w:name w:val="Normal Indent"/>
    <w:basedOn w:val="Normal"/>
    <w:link w:val="NormalIndentChar"/>
    <w:rsid w:val="00013FD6"/>
    <w:pPr>
      <w:tabs>
        <w:tab w:val="left" w:pos="284"/>
        <w:tab w:val="left" w:pos="567"/>
      </w:tabs>
      <w:spacing w:before="240" w:after="0" w:line="240" w:lineRule="exact"/>
      <w:ind w:left="709"/>
      <w:jc w:val="left"/>
    </w:pPr>
    <w:rPr>
      <w:rFonts w:ascii="Calibri Light" w:eastAsia="Arial" w:hAnsi="Calibri Light" w:cs="Times New Roman"/>
      <w:sz w:val="22"/>
      <w:szCs w:val="22"/>
      <w:lang w:val="en-AU"/>
    </w:rPr>
  </w:style>
  <w:style w:type="character" w:customStyle="1" w:styleId="NormalIndentChar">
    <w:name w:val="Normal Indent Char"/>
    <w:basedOn w:val="DefaultParagraphFont"/>
    <w:link w:val="NormalIndent"/>
    <w:rsid w:val="00013FD6"/>
    <w:rPr>
      <w:rFonts w:ascii="Calibri Light" w:eastAsia="Arial" w:hAnsi="Calibri Light" w:cs="Times New Roman"/>
      <w:kern w:val="0"/>
      <w:lang w:val="en-AU"/>
      <w14:ligatures w14:val="none"/>
    </w:rPr>
  </w:style>
  <w:style w:type="numbering" w:customStyle="1" w:styleId="ListBullet">
    <w:name w:val="ListBullet"/>
    <w:uiPriority w:val="99"/>
    <w:rsid w:val="00013FD6"/>
    <w:pPr>
      <w:numPr>
        <w:numId w:val="26"/>
      </w:numPr>
    </w:pPr>
  </w:style>
  <w:style w:type="paragraph" w:customStyle="1" w:styleId="BulletDave2">
    <w:name w:val="Bullet Dave 2"/>
    <w:basedOn w:val="Body"/>
    <w:qFormat/>
    <w:rsid w:val="00013FD6"/>
    <w:pPr>
      <w:numPr>
        <w:numId w:val="27"/>
      </w:numPr>
      <w:spacing w:before="120" w:after="60"/>
      <w:jc w:val="left"/>
    </w:pPr>
    <w:rPr>
      <w:rFonts w:cs="Times New Roman"/>
      <w:lang w:val="en-NZ"/>
    </w:rPr>
  </w:style>
  <w:style w:type="table" w:styleId="GridTable4-Accent1">
    <w:name w:val="Grid Table 4 Accent 1"/>
    <w:basedOn w:val="TableNormal"/>
    <w:uiPriority w:val="49"/>
    <w:rsid w:val="00013FD6"/>
    <w:pPr>
      <w:spacing w:after="0" w:line="240" w:lineRule="auto"/>
    </w:pPr>
    <w:rPr>
      <w:kern w:val="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013FD6"/>
    <w:pPr>
      <w:spacing w:after="0" w:line="240" w:lineRule="auto"/>
    </w:pPr>
    <w:rPr>
      <w:rFonts w:ascii="Verdana" w:hAnsi="Verdana"/>
      <w:kern w:val="0"/>
      <w:sz w:val="20"/>
      <w:szCs w:val="20"/>
      <w:lang w:val="en-GB"/>
      <w14:ligatures w14:val="none"/>
    </w:rPr>
  </w:style>
  <w:style w:type="character" w:styleId="SmartLink">
    <w:name w:val="Smart Link"/>
    <w:basedOn w:val="DefaultParagraphFont"/>
    <w:uiPriority w:val="99"/>
    <w:semiHidden/>
    <w:unhideWhenUsed/>
    <w:rsid w:val="00013FD6"/>
    <w:rPr>
      <w:color w:val="0000FF"/>
      <w:u w:val="single"/>
      <w:shd w:val="clear" w:color="auto" w:fill="F3F2F1"/>
    </w:rPr>
  </w:style>
  <w:style w:type="paragraph" w:customStyle="1" w:styleId="Default">
    <w:name w:val="Default"/>
    <w:rsid w:val="00013FD6"/>
    <w:pPr>
      <w:autoSpaceDE w:val="0"/>
      <w:autoSpaceDN w:val="0"/>
      <w:adjustRightInd w:val="0"/>
      <w:spacing w:after="0" w:line="240" w:lineRule="auto"/>
    </w:pPr>
    <w:rPr>
      <w:rFonts w:ascii="Verdana" w:eastAsia="Times New Roman" w:hAnsi="Verdana" w:cs="Verdana"/>
      <w:color w:val="000000"/>
      <w:kern w:val="0"/>
      <w:sz w:val="24"/>
      <w:szCs w:val="24"/>
      <w:lang w:val="en-GB" w:eastAsia="en-GB"/>
      <w14:ligatures w14:val="none"/>
    </w:rPr>
  </w:style>
  <w:style w:type="paragraph" w:styleId="NormalWeb">
    <w:name w:val="Normal (Web)"/>
    <w:basedOn w:val="Normal"/>
    <w:uiPriority w:val="99"/>
    <w:semiHidden/>
    <w:unhideWhenUsed/>
    <w:rsid w:val="00013FD6"/>
    <w:pPr>
      <w:spacing w:before="100" w:beforeAutospacing="1" w:after="100" w:afterAutospacing="1"/>
      <w:jc w:val="left"/>
    </w:pPr>
    <w:rPr>
      <w:rFonts w:ascii="Times New Roman" w:eastAsia="Times New Roman" w:hAnsi="Times New Roman" w:cs="Times New Roman"/>
      <w:sz w:val="24"/>
      <w:szCs w:val="24"/>
      <w:lang w:val="en-NZ" w:eastAsia="en-NZ"/>
    </w:rPr>
  </w:style>
  <w:style w:type="character" w:customStyle="1" w:styleId="ph">
    <w:name w:val="ph"/>
    <w:basedOn w:val="DefaultParagraphFont"/>
    <w:rsid w:val="00013FD6"/>
  </w:style>
  <w:style w:type="paragraph" w:customStyle="1" w:styleId="AnswerBullets">
    <w:name w:val="AnswerBullets"/>
    <w:basedOn w:val="Normal"/>
    <w:link w:val="AnswerBulletsChar"/>
    <w:autoRedefine/>
    <w:qFormat/>
    <w:rsid w:val="00013FD6"/>
    <w:pPr>
      <w:numPr>
        <w:numId w:val="55"/>
      </w:numPr>
      <w:spacing w:before="120" w:after="0" w:line="276" w:lineRule="auto"/>
      <w:jc w:val="left"/>
    </w:pPr>
    <w:rPr>
      <w:rFonts w:ascii="Arial" w:eastAsia="Times New Roman" w:hAnsi="Arial" w:cs="Segoe UI"/>
      <w:color w:val="000000" w:themeColor="text1"/>
      <w:kern w:val="28"/>
      <w:sz w:val="22"/>
      <w:szCs w:val="22"/>
      <w:lang w:eastAsia="en-NZ"/>
    </w:rPr>
  </w:style>
  <w:style w:type="character" w:customStyle="1" w:styleId="AnswerBulletsChar">
    <w:name w:val="AnswerBullets Char"/>
    <w:link w:val="AnswerBullets"/>
    <w:rsid w:val="00013FD6"/>
    <w:rPr>
      <w:rFonts w:ascii="Arial" w:eastAsia="Times New Roman" w:hAnsi="Arial" w:cs="Segoe UI"/>
      <w:color w:val="000000" w:themeColor="text1"/>
      <w:kern w:val="28"/>
      <w:lang w:val="en-GB" w:eastAsia="en-NZ"/>
      <w14:ligatures w14:val="none"/>
    </w:rPr>
  </w:style>
  <w:style w:type="table" w:customStyle="1" w:styleId="Style2">
    <w:name w:val="Style2"/>
    <w:basedOn w:val="TableNormal"/>
    <w:uiPriority w:val="99"/>
    <w:rsid w:val="00013FD6"/>
    <w:pPr>
      <w:spacing w:after="0" w:line="240" w:lineRule="auto"/>
    </w:pPr>
    <w:rPr>
      <w:rFonts w:eastAsiaTheme="minorEastAsia"/>
      <w:kern w:val="0"/>
      <w:lang w:eastAsia="en-NZ"/>
      <w14:ligatures w14:val="none"/>
    </w:rPr>
    <w:tblPr>
      <w:tblStyleRow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pPr>
        <w:jc w:val="center"/>
      </w:pPr>
      <w:tblPr/>
      <w:tcPr>
        <w:shd w:val="clear" w:color="auto" w:fill="A6A6A6" w:themeFill="background1" w:themeFillShade="A6"/>
        <w:vAlign w:val="center"/>
      </w:tcPr>
    </w:tblStylePr>
    <w:tblStylePr w:type="band2Horz">
      <w:tblPr/>
      <w:tcPr>
        <w:shd w:val="clear" w:color="auto" w:fill="D9D9D9" w:themeFill="background1" w:themeFillShade="D9"/>
      </w:tcPr>
    </w:tblStylePr>
  </w:style>
  <w:style w:type="paragraph" w:customStyle="1" w:styleId="DocReference">
    <w:name w:val="Doc Reference"/>
    <w:basedOn w:val="Normal-Table"/>
    <w:link w:val="DocReferenceChar"/>
    <w:qFormat/>
    <w:rsid w:val="00013FD6"/>
    <w:rPr>
      <w:i/>
    </w:rPr>
  </w:style>
  <w:style w:type="paragraph" w:customStyle="1" w:styleId="LocalRef">
    <w:name w:val="Local Ref"/>
    <w:basedOn w:val="Normal"/>
    <w:link w:val="LocalRefChar"/>
    <w:qFormat/>
    <w:rsid w:val="00013FD6"/>
    <w:pPr>
      <w:keepNext/>
    </w:pPr>
    <w:rPr>
      <w:i/>
    </w:rPr>
  </w:style>
  <w:style w:type="character" w:customStyle="1" w:styleId="DocReferenceChar">
    <w:name w:val="Doc Reference Char"/>
    <w:basedOn w:val="Normal-TableChar"/>
    <w:link w:val="DocReference"/>
    <w:rsid w:val="00013FD6"/>
    <w:rPr>
      <w:rFonts w:ascii="Verdana" w:hAnsi="Verdana"/>
      <w:i/>
      <w:kern w:val="0"/>
      <w:sz w:val="20"/>
      <w:szCs w:val="20"/>
      <w:lang w:val="en-GB"/>
      <w14:ligatures w14:val="none"/>
    </w:rPr>
  </w:style>
  <w:style w:type="character" w:customStyle="1" w:styleId="LocalRefChar">
    <w:name w:val="Local Ref Char"/>
    <w:basedOn w:val="DefaultParagraphFont"/>
    <w:link w:val="LocalRef"/>
    <w:rsid w:val="00013FD6"/>
    <w:rPr>
      <w:rFonts w:ascii="Verdana" w:hAnsi="Verdana"/>
      <w:i/>
      <w:kern w:val="0"/>
      <w:sz w:val="20"/>
      <w:szCs w:val="20"/>
      <w:lang w:val="en-GB"/>
      <w14:ligatures w14:val="none"/>
    </w:rPr>
  </w:style>
  <w:style w:type="paragraph" w:styleId="EndnoteText">
    <w:name w:val="endnote text"/>
    <w:basedOn w:val="Normal"/>
    <w:link w:val="EndnoteTextChar"/>
    <w:uiPriority w:val="99"/>
    <w:semiHidden/>
    <w:unhideWhenUsed/>
    <w:rsid w:val="00013FD6"/>
    <w:pPr>
      <w:spacing w:after="0"/>
    </w:pPr>
  </w:style>
  <w:style w:type="character" w:customStyle="1" w:styleId="EndnoteTextChar">
    <w:name w:val="Endnote Text Char"/>
    <w:basedOn w:val="DefaultParagraphFont"/>
    <w:link w:val="EndnoteText"/>
    <w:uiPriority w:val="99"/>
    <w:semiHidden/>
    <w:rsid w:val="00013FD6"/>
    <w:rPr>
      <w:rFonts w:ascii="Verdana" w:hAnsi="Verdana"/>
      <w:kern w:val="0"/>
      <w:sz w:val="20"/>
      <w:szCs w:val="20"/>
      <w:lang w:val="en-GB"/>
      <w14:ligatures w14:val="none"/>
    </w:rPr>
  </w:style>
  <w:style w:type="character" w:styleId="EndnoteReference">
    <w:name w:val="endnote reference"/>
    <w:basedOn w:val="DefaultParagraphFont"/>
    <w:uiPriority w:val="99"/>
    <w:semiHidden/>
    <w:unhideWhenUsed/>
    <w:rsid w:val="00013FD6"/>
    <w:rPr>
      <w:vertAlign w:val="superscript"/>
    </w:rPr>
  </w:style>
  <w:style w:type="numbering" w:customStyle="1" w:styleId="EAPHeadings">
    <w:name w:val="EAPHeadings"/>
    <w:uiPriority w:val="99"/>
    <w:rsid w:val="00013FD6"/>
    <w:pPr>
      <w:numPr>
        <w:numId w:val="7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s01.safelinks.protection.outlook.com/?url=http%3A%2F%2Fwww.wiki.gis.com%2Fwiki%2Findex.php%2FSystem_Design_Strategies&amp;data=04%7C01%7Ccarlw%40datacom.co.nz%7C4a55663c87904d4a815d08d9603cc381%7C866c7a4c8a594bd3ad9f8512a581efc0%7C0%7C0%7C637646636992395713%7CUnknown%7CTWFpbGZsb3d8eyJWIjoiMC4wLjAwMDAiLCJQIjoiV2luMzIiLCJBTiI6Ik1haWwiLCJXVCI6Mn0%3D%7C1000&amp;sdata=nGFDnZbmq%2FXNQ7GjR%2FXcrnmuNFvZ0vnLRaITMvHJdL4%3D&amp;reserved=0" TargetMode="External"/><Relationship Id="rId3" Type="http://schemas.openxmlformats.org/officeDocument/2006/relationships/settings" Target="settings.xml"/><Relationship Id="rId7" Type="http://schemas.openxmlformats.org/officeDocument/2006/relationships/hyperlink" Target="https://developer.salesforce.com/blogs/developer-relations/2017/04/mastering-salesforce-lightning-design-system-grids-lightning-layou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alesforce.com/s/articleView?id=sf.getstart_browsers_sfx.htm&amp;type=5" TargetMode="External"/><Relationship Id="rId11" Type="http://schemas.openxmlformats.org/officeDocument/2006/relationships/theme" Target="theme/theme1.xml"/><Relationship Id="rId5" Type="http://schemas.openxmlformats.org/officeDocument/2006/relationships/hyperlink" Target="https://developer.salesforce.com/docs/component-library/bundle/lightning-spinner/examp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s01.safelinks.protection.outlook.com/?url=https%3A%2F%2Fwww.esri.com%2Fcontent%2Fdam%2Fesrisites%2Fen-us%2Fmedia%2Ftechnical-papers%2Farchitecting-the-arcgis-system.pdf&amp;data=04%7C01%7Ccarlw%40datacom.co.nz%7C4a55663c87904d4a815d08d9603cc381%7C866c7a4c8a594bd3ad9f8512a581efc0%7C0%7C0%7C637646636992405666%7CUnknown%7CTWFpbGZsb3d8eyJWIjoiMC4wLjAwMDAiLCJQIjoiV2luMzIiLCJBTiI6Ik1haWwiLCJXVCI6Mn0%3D%7C1000&amp;sdata=UtoXT74QTdNTEPTiNF8HwR1efpldyNH5Kpc370Cfheg%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4667</Words>
  <Characters>26607</Characters>
  <Application>Microsoft Office Word</Application>
  <DocSecurity>0</DocSecurity>
  <Lines>221</Lines>
  <Paragraphs>62</Paragraphs>
  <ScaleCrop>false</ScaleCrop>
  <Company/>
  <LinksUpToDate>false</LinksUpToDate>
  <CharactersWithSpaces>31212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Whitehead</dc:creator>
  <cp:keywords/>
  <dc:description/>
  <cp:lastModifiedBy>Carl Whitehead</cp:lastModifiedBy>
  <cp:revision>1</cp:revision>
  <dcterms:created xsi:type="dcterms:W3CDTF">2024-01-25T03:18:00Z</dcterms:created>
  <dcterms:modified xsi:type="dcterms:W3CDTF">2024-01-25T03:28:00Z</dcterms:modified>
</cp:coreProperties>
</file>