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6A7A6298" w14:textId="0DE99FB7" w:rsidR="00F03ED1" w:rsidRDefault="00F03ED1" w:rsidP="00F03ED1">
      <w:pPr>
        <w:pStyle w:val="Subtitle"/>
      </w:pPr>
      <w:r>
        <w:t xml:space="preserve">Glossary of ICT Specific Terms: </w:t>
      </w:r>
      <w:r>
        <w:br/>
      </w:r>
      <w:r w:rsidR="00375755">
        <w:t xml:space="preserve">Solution </w:t>
      </w:r>
      <w:r>
        <w:t>Design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975BE3" w14:textId="7FB30C94" w:rsidR="00375755" w:rsidRPr="00F929E7" w:rsidRDefault="00375755" w:rsidP="00375755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ACE2E3" w14:textId="15C6FF85" w:rsidR="00375755" w:rsidRPr="00921365" w:rsidRDefault="00375755" w:rsidP="00375755">
      <w:pPr>
        <w:pStyle w:val="BodyText"/>
      </w:pPr>
      <w:r>
        <w:t xml:space="preserve"> </w:t>
      </w:r>
      <w:r>
        <w:t>0.3</w:t>
      </w:r>
    </w:p>
    <w:p w14:paraId="124DC4AB" w14:textId="77777777" w:rsidR="00375755" w:rsidRDefault="00921365" w:rsidP="00375755">
      <w:pPr>
        <w:pStyle w:val="Heading2"/>
      </w:pPr>
      <w:r>
        <w:br/>
      </w:r>
      <w:bookmarkStart w:id="0" w:name="_Toc146637998"/>
      <w:bookmarkStart w:id="1" w:name="_Toc150844142"/>
      <w:r w:rsidR="00375755">
        <w:t>Description</w:t>
      </w:r>
      <w:bookmarkEnd w:id="0"/>
      <w:bookmarkEnd w:id="1"/>
    </w:p>
    <w:p w14:paraId="4C7E7D2E" w14:textId="12216E8B" w:rsidR="00375755" w:rsidRDefault="00375755" w:rsidP="00375755">
      <w:pPr>
        <w:pStyle w:val="BodyText"/>
      </w:pPr>
      <w:r>
        <w:t xml:space="preserve">A Glossary of common ICT Terms related to </w:t>
      </w:r>
      <w:r>
        <w:t>system design</w:t>
      </w:r>
      <w:r>
        <w:t>, to establish a common understanding, while reducing duplication of effort in downstream documents.</w:t>
      </w:r>
    </w:p>
    <w:p w14:paraId="2B953C3B" w14:textId="77777777" w:rsidR="00375755" w:rsidRDefault="00375755" w:rsidP="00375755">
      <w:pPr>
        <w:pStyle w:val="Heading2"/>
      </w:pPr>
      <w:bookmarkStart w:id="2" w:name="_Toc150844143"/>
      <w:r>
        <w:t>Synopsis</w:t>
      </w:r>
      <w:bookmarkEnd w:id="2"/>
    </w:p>
    <w:p w14:paraId="370D2396" w14:textId="15084742" w:rsidR="00AE2E49" w:rsidRPr="00375755" w:rsidRDefault="00375755" w:rsidP="00375755">
      <w:r>
        <w:t xml:space="preserve">Included are the meanings of acronyms and industry terms used to describe aspects of </w:t>
      </w:r>
      <w:r>
        <w:t>solution</w:t>
      </w:r>
      <w:r>
        <w:t xml:space="preserve"> </w:t>
      </w:r>
      <w:r>
        <w:t>design</w:t>
      </w:r>
      <w:r>
        <w:t>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4144"/>
      <w:r>
        <w:lastRenderedPageBreak/>
        <w:t>Contents</w:t>
      </w:r>
      <w:bookmarkEnd w:id="3"/>
      <w:bookmarkEnd w:id="4"/>
    </w:p>
    <w:p w14:paraId="7A47A712" w14:textId="74A2C018" w:rsidR="00EF460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142" w:history="1">
        <w:r w:rsidR="00EF460B" w:rsidRPr="007F114B">
          <w:rPr>
            <w:rStyle w:val="Hyperlink"/>
            <w:noProof/>
          </w:rPr>
          <w:t>Description</w:t>
        </w:r>
        <w:r w:rsidR="00EF460B">
          <w:rPr>
            <w:noProof/>
            <w:webHidden/>
          </w:rPr>
          <w:tab/>
        </w:r>
        <w:r w:rsidR="00EF460B">
          <w:rPr>
            <w:noProof/>
            <w:webHidden/>
          </w:rPr>
          <w:fldChar w:fldCharType="begin"/>
        </w:r>
        <w:r w:rsidR="00EF460B">
          <w:rPr>
            <w:noProof/>
            <w:webHidden/>
          </w:rPr>
          <w:instrText xml:space="preserve"> PAGEREF _Toc150844142 \h </w:instrText>
        </w:r>
        <w:r w:rsidR="00EF460B">
          <w:rPr>
            <w:noProof/>
            <w:webHidden/>
          </w:rPr>
        </w:r>
        <w:r w:rsidR="00EF460B">
          <w:rPr>
            <w:noProof/>
            <w:webHidden/>
          </w:rPr>
          <w:fldChar w:fldCharType="separate"/>
        </w:r>
        <w:r w:rsidR="00EF460B">
          <w:rPr>
            <w:noProof/>
            <w:webHidden/>
          </w:rPr>
          <w:t>1</w:t>
        </w:r>
        <w:r w:rsidR="00EF460B">
          <w:rPr>
            <w:noProof/>
            <w:webHidden/>
          </w:rPr>
          <w:fldChar w:fldCharType="end"/>
        </w:r>
      </w:hyperlink>
    </w:p>
    <w:p w14:paraId="29E163F6" w14:textId="5B96E37F" w:rsidR="00EF460B" w:rsidRDefault="00EF4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3" w:history="1">
        <w:r w:rsidRPr="007F114B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C4A91C" w14:textId="659014C1" w:rsidR="00EF460B" w:rsidRDefault="00EF4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4" w:history="1">
        <w:r w:rsidRPr="007F114B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9881B9" w14:textId="27B5AC65" w:rsidR="00EF460B" w:rsidRDefault="00EF4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5" w:history="1">
        <w:r w:rsidRPr="007F114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B554EC" w14:textId="221D695B" w:rsidR="00EF460B" w:rsidRDefault="00EF4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6" w:history="1">
        <w:r w:rsidRPr="007F114B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87BCDA" w14:textId="1773BADF" w:rsidR="00EF460B" w:rsidRDefault="00EF460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7" w:history="1">
        <w:r w:rsidRPr="007F114B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64B158" w14:textId="4D18B717" w:rsidR="00EF460B" w:rsidRDefault="00EF4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8" w:history="1">
        <w:r w:rsidRPr="007F114B">
          <w:rPr>
            <w:rStyle w:val="Hyperlink"/>
            <w:noProof/>
          </w:rPr>
          <w:t>System Design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F42EA5" w14:textId="382F254A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49" w:history="1">
        <w:r w:rsidRPr="007F114B">
          <w:rPr>
            <w:rStyle w:val="Hyperlink"/>
            <w:noProof/>
          </w:rPr>
          <w:t>4+1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E5A30" w14:textId="4F4F27D9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0" w:history="1">
        <w:r w:rsidRPr="007F114B">
          <w:rPr>
            <w:rStyle w:val="Hyperlink"/>
            <w:noProof/>
          </w:rPr>
          <w:t>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6D327" w14:textId="135896DA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1" w:history="1">
        <w:r w:rsidRPr="007F114B">
          <w:rPr>
            <w:rStyle w:val="Hyperlink"/>
            <w:noProof/>
          </w:rPr>
          <w:t>DDD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9F78B3" w14:textId="2433E7CE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2" w:history="1">
        <w:r w:rsidRPr="007F114B">
          <w:rPr>
            <w:rStyle w:val="Hyperlink"/>
            <w:noProof/>
          </w:rPr>
          <w:t>Domain Driven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E65CD9" w14:textId="31D1A71A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3" w:history="1">
        <w:r w:rsidRPr="007F114B">
          <w:rPr>
            <w:rStyle w:val="Hyperlink"/>
            <w:noProof/>
          </w:rPr>
          <w:t>Rozanski &amp; Woods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4A0F0" w14:textId="0EA3279A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4" w:history="1">
        <w:r w:rsidRPr="007F114B">
          <w:rPr>
            <w:rStyle w:val="Hyperlink"/>
            <w:noProof/>
          </w:rPr>
          <w:t>SAD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EE230" w14:textId="1018EEBF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5" w:history="1">
        <w:r w:rsidRPr="007F114B">
          <w:rPr>
            <w:rStyle w:val="Hyperlink"/>
            <w:noProof/>
          </w:rPr>
          <w:t>Solution Architecture Description (SAD)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D844D2" w14:textId="770949A8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6" w:history="1">
        <w:r w:rsidRPr="007F114B">
          <w:rPr>
            <w:rStyle w:val="Hyperlink"/>
            <w:noProof/>
          </w:rPr>
          <w:t>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D51004" w14:textId="3CEBE41F" w:rsidR="00EF460B" w:rsidRDefault="00EF460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7" w:history="1">
        <w:r w:rsidRPr="007F114B">
          <w:rPr>
            <w:rStyle w:val="Hyperlink"/>
            <w:noProof/>
          </w:rPr>
          <w:t>Unified Modelling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D46096" w14:textId="26BD64AB" w:rsidR="00EF460B" w:rsidRDefault="00EF460B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8" w:history="1">
        <w:r w:rsidRPr="007F114B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8A535A" w14:textId="3701FBD8" w:rsidR="00EF460B" w:rsidRDefault="00EF460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59" w:history="1">
        <w:r w:rsidRPr="007F114B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AC7D03" w14:textId="07D0F5FD" w:rsidR="00EF460B" w:rsidRDefault="00EF46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0" w:history="1">
        <w:r w:rsidRPr="007F114B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44A358" w14:textId="3825181B" w:rsidR="00EF460B" w:rsidRDefault="00EF46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1" w:history="1">
        <w:r w:rsidRPr="007F114B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B5D36" w14:textId="1639EF18" w:rsidR="00EF460B" w:rsidRDefault="00EF46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2" w:history="1">
        <w:r w:rsidRPr="007F114B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738603" w14:textId="2F9D6CF7" w:rsidR="00EF460B" w:rsidRDefault="00EF46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3" w:history="1">
        <w:r w:rsidRPr="007F1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E8C6B4" w14:textId="1561DC98" w:rsidR="00EF460B" w:rsidRDefault="00EF46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4" w:history="1">
        <w:r w:rsidRPr="007F114B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1BC846" w14:textId="5DE80E11" w:rsidR="00EF460B" w:rsidRDefault="00EF46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5" w:history="1">
        <w:r w:rsidRPr="007F114B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DEF9F3" w14:textId="73CCB615" w:rsidR="00EF460B" w:rsidRDefault="00EF460B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66" w:history="1">
        <w:r w:rsidRPr="007F114B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6B27B4EB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4145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4146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50844147"/>
      <w:r w:rsidRPr="00CC5E39">
        <w:lastRenderedPageBreak/>
        <w:t>Terms &amp; Acronyms</w:t>
      </w:r>
      <w:bookmarkEnd w:id="8"/>
    </w:p>
    <w:p w14:paraId="5C47F8B9" w14:textId="77777777" w:rsidR="00CC5E39" w:rsidRPr="00CC5E39" w:rsidRDefault="00CC5E39" w:rsidP="00CC5E39">
      <w:pPr>
        <w:pStyle w:val="Heading2"/>
      </w:pPr>
      <w:bookmarkStart w:id="9" w:name="_Toc150844148"/>
      <w:r w:rsidRPr="00CC5E39">
        <w:t>System Design Terms &amp; Acronyms</w:t>
      </w:r>
      <w:bookmarkEnd w:id="9"/>
    </w:p>
    <w:p w14:paraId="501DB263" w14:textId="77777777" w:rsidR="00CC5E39" w:rsidRPr="00CC5E39" w:rsidRDefault="00CC5E39" w:rsidP="003B3AE1">
      <w:pPr>
        <w:pStyle w:val="Heading4"/>
        <w:rPr>
          <w:vanish/>
        </w:rPr>
      </w:pPr>
      <w:bookmarkStart w:id="10" w:name="_Toc150844149"/>
      <w:r w:rsidRPr="00CC5E39">
        <w:t>4+1</w:t>
      </w:r>
      <w:bookmarkEnd w:id="10"/>
    </w:p>
    <w:p w14:paraId="1E51705C" w14:textId="77777777" w:rsidR="00CC5E39" w:rsidRPr="00CC5E39" w:rsidRDefault="00CC5E39" w:rsidP="00CC5E39">
      <w:pPr>
        <w:pStyle w:val="BodyText"/>
      </w:pPr>
      <w:r w:rsidRPr="00CC5E39">
        <w:t xml:space="preserve"> : a term to describe the deprecated 90’s structure for </w:t>
      </w:r>
      <w:r w:rsidRPr="00CC5E39">
        <w:rPr>
          <w:i/>
          <w:iCs/>
        </w:rPr>
        <w:t>SAD</w:t>
      </w:r>
      <w:r w:rsidRPr="00CC5E39">
        <w:t xml:space="preserve"> documents. A 4+1 </w:t>
      </w:r>
      <w:r w:rsidRPr="00CC5E39">
        <w:rPr>
          <w:i/>
          <w:iCs/>
        </w:rPr>
        <w:t>SAD</w:t>
      </w:r>
      <w:r w:rsidRPr="00CC5E39">
        <w:t xml:space="preserve"> was comprised of:</w:t>
      </w:r>
    </w:p>
    <w:p w14:paraId="35503E95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Logical View</w:t>
      </w:r>
      <w:r w:rsidRPr="00CC5E39">
        <w:t xml:space="preserve">, describing the logical functionality made available by a </w:t>
      </w:r>
      <w:proofErr w:type="gramStart"/>
      <w:r w:rsidRPr="00CC5E39">
        <w:t>system</w:t>
      </w:r>
      <w:proofErr w:type="gramEnd"/>
      <w:r w:rsidRPr="00CC5E39">
        <w:t xml:space="preserve"> </w:t>
      </w:r>
    </w:p>
    <w:p w14:paraId="627DA6B4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Process View</w:t>
      </w:r>
      <w:r w:rsidRPr="00CC5E39">
        <w:t xml:space="preserve">, describing dynamic sequence flows between system </w:t>
      </w:r>
      <w:proofErr w:type="gramStart"/>
      <w:r w:rsidRPr="00CC5E39">
        <w:t>aspects</w:t>
      </w:r>
      <w:proofErr w:type="gramEnd"/>
    </w:p>
    <w:p w14:paraId="097139A9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Development View</w:t>
      </w:r>
      <w:r w:rsidRPr="00CC5E39">
        <w:t xml:space="preserve">, describing how the system logic is packaged into discrete </w:t>
      </w:r>
      <w:proofErr w:type="gramStart"/>
      <w:r w:rsidRPr="00CC5E39">
        <w:t>elements</w:t>
      </w:r>
      <w:proofErr w:type="gramEnd"/>
    </w:p>
    <w:p w14:paraId="57BDBBF2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Physical View</w:t>
      </w:r>
      <w:r w:rsidRPr="00CC5E39">
        <w:t xml:space="preserve">, describing how the system packages are deployed to target </w:t>
      </w:r>
      <w:proofErr w:type="gramStart"/>
      <w:r w:rsidRPr="00CC5E39">
        <w:t>devices</w:t>
      </w:r>
      <w:proofErr w:type="gramEnd"/>
    </w:p>
    <w:p w14:paraId="24E00B8E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User Scenarios</w:t>
      </w:r>
      <w:r w:rsidRPr="00CC5E39">
        <w:t>, describing a series of indicative examples of how the service is used.</w:t>
      </w:r>
    </w:p>
    <w:p w14:paraId="42281BDB" w14:textId="77777777" w:rsidR="00CC5E39" w:rsidRP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 xml:space="preserve">Note: superseded by the structure advocated within </w:t>
      </w:r>
      <w:proofErr w:type="gramStart"/>
      <w:r w:rsidRPr="00CC5E39">
        <w:rPr>
          <w:i/>
          <w:iCs/>
        </w:rPr>
        <w:t>ISO:42010:2011</w:t>
      </w:r>
      <w:proofErr w:type="gramEnd"/>
      <w:r w:rsidRPr="00CC5E39">
        <w:rPr>
          <w:i/>
          <w:iCs/>
        </w:rPr>
        <w:t>, popularised by Rozanski &amp; Woods seminal industry book.</w:t>
      </w:r>
    </w:p>
    <w:p w14:paraId="17C16F29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150"/>
      <w:r w:rsidRPr="00CC5E39">
        <w:t>Layer</w:t>
      </w:r>
      <w:bookmarkEnd w:id="11"/>
      <w:r w:rsidRPr="00CC5E39">
        <w:t xml:space="preserve"> </w:t>
      </w:r>
    </w:p>
    <w:p w14:paraId="72D2401F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: to improve maintainability correctly designed services are developed into isolated layers. The most common stack of layers is Presentation, Interface/Validation, Logic, Technical Integration (a subset of which is Data Storage). See </w:t>
      </w:r>
      <w:r w:rsidRPr="00CC5E39">
        <w:rPr>
          <w:i/>
          <w:iCs/>
        </w:rPr>
        <w:t>Tier</w:t>
      </w:r>
      <w:r w:rsidRPr="00CC5E39">
        <w:t xml:space="preserve">. See </w:t>
      </w:r>
      <w:r w:rsidRPr="00CC5E39">
        <w:rPr>
          <w:i/>
          <w:iCs/>
        </w:rPr>
        <w:t>DDD</w:t>
      </w:r>
      <w:r w:rsidRPr="00CC5E39">
        <w:t>.</w:t>
      </w:r>
    </w:p>
    <w:p w14:paraId="06F2E95D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151"/>
      <w:r w:rsidRPr="00CC5E39">
        <w:t>DDD</w:t>
      </w:r>
      <w:bookmarkEnd w:id="12"/>
      <w:r w:rsidRPr="00CC5E39">
        <w:t xml:space="preserve"> </w:t>
      </w:r>
    </w:p>
    <w:p w14:paraId="2FEF5141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: acronym for </w:t>
      </w:r>
      <w:r w:rsidRPr="00CC5E39">
        <w:rPr>
          <w:i/>
          <w:iCs/>
        </w:rPr>
        <w:t>Domain Driven Design</w:t>
      </w:r>
      <w:r w:rsidRPr="00CC5E39">
        <w:t>.</w:t>
      </w:r>
    </w:p>
    <w:p w14:paraId="0B0CF47F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4152"/>
      <w:r w:rsidRPr="00CC5E39">
        <w:t>Domain Driven Design</w:t>
      </w:r>
      <w:bookmarkEnd w:id="13"/>
    </w:p>
    <w:p w14:paraId="0B0C635D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design approach to develop moderate to complex systems (most enterprise services fall in this category) using mature design decisions to deliver a service that remains modular, modifiable, </w:t>
      </w:r>
      <w:proofErr w:type="spellStart"/>
      <w:proofErr w:type="gramStart"/>
      <w:r w:rsidRPr="00CC5E39">
        <w:t>enhancable</w:t>
      </w:r>
      <w:proofErr w:type="spellEnd"/>
      <w:proofErr w:type="gramEnd"/>
      <w:r w:rsidRPr="00CC5E39">
        <w:t xml:space="preserve"> and maintainable.</w:t>
      </w:r>
    </w:p>
    <w:p w14:paraId="754C953D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153"/>
      <w:r w:rsidRPr="00CC5E39">
        <w:t>Rozanski &amp; Woods</w:t>
      </w:r>
      <w:bookmarkEnd w:id="14"/>
    </w:p>
    <w:p w14:paraId="160636A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authors of a seminal industry book on how to structure </w:t>
      </w:r>
      <w:r w:rsidRPr="00CC5E39">
        <w:rPr>
          <w:i/>
          <w:iCs/>
        </w:rPr>
        <w:t>SAD</w:t>
      </w:r>
      <w:r w:rsidRPr="00CC5E39">
        <w:t xml:space="preserve">s in accordance with </w:t>
      </w:r>
      <w:r w:rsidRPr="00CC5E39">
        <w:rPr>
          <w:i/>
          <w:iCs/>
        </w:rPr>
        <w:t>ISO-42010</w:t>
      </w:r>
      <w:r w:rsidRPr="00CC5E39">
        <w:t>. They popularised SADs comprised of the following views:</w:t>
      </w:r>
    </w:p>
    <w:p w14:paraId="076C6BE2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 xml:space="preserve"> [Service] Context View, describing the business context of the service,</w:t>
      </w:r>
    </w:p>
    <w:p w14:paraId="65737931" w14:textId="09A3B430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Functional View, describing the functions provided by the system</w:t>
      </w:r>
      <w:r w:rsidR="005D554E">
        <w:t>,</w:t>
      </w:r>
    </w:p>
    <w:p w14:paraId="19FD4091" w14:textId="68444BAF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Information View, describing the HL entities the system is managing</w:t>
      </w:r>
      <w:r w:rsidR="005D554E">
        <w:t>,</w:t>
      </w:r>
    </w:p>
    <w:p w14:paraId="23A2C681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Integration View, describing systems the system integrates with, and messages transmitted to and from,</w:t>
      </w:r>
    </w:p>
    <w:p w14:paraId="36A615CF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Infrastructure View, describing the target devices and zones the system components are deployed to,</w:t>
      </w:r>
    </w:p>
    <w:p w14:paraId="1C9F82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>The following Perspectives could be appended as sub sections within the above Views -- or developed as additional Views:</w:t>
      </w:r>
    </w:p>
    <w:p w14:paraId="2E6FEC43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Security</w:t>
      </w:r>
    </w:p>
    <w:p w14:paraId="16C79877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lastRenderedPageBreak/>
        <w:t>Privacy</w:t>
      </w:r>
    </w:p>
    <w:p w14:paraId="0230C3B5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154"/>
      <w:r w:rsidRPr="00CC5E39">
        <w:t>SAD</w:t>
      </w:r>
      <w:bookmarkEnd w:id="15"/>
    </w:p>
    <w:p w14:paraId="23D0AC41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Solution Architecture Description</w:t>
      </w:r>
      <w:r w:rsidRPr="00CC5E39">
        <w:t>.</w:t>
      </w:r>
    </w:p>
    <w:p w14:paraId="176D079E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4155"/>
      <w:r w:rsidRPr="00CC5E39">
        <w:t>Solution Architecture Description (SAD)</w:t>
      </w:r>
      <w:bookmarkEnd w:id="16"/>
    </w:p>
    <w:p w14:paraId="4CCA0640" w14:textId="77777777" w:rsidR="00CC5E39" w:rsidRPr="00CC5E39" w:rsidRDefault="00CC5E39" w:rsidP="00CC5E39">
      <w:pPr>
        <w:pStyle w:val="BodyText"/>
      </w:pPr>
      <w:r w:rsidRPr="00CC5E39">
        <w:t xml:space="preserve"> : a coherent set of Views describing aspects of a complex model, as described within </w:t>
      </w:r>
      <w:r w:rsidRPr="00CC5E39">
        <w:rPr>
          <w:i/>
          <w:iCs/>
        </w:rPr>
        <w:t>ISO-42010</w:t>
      </w:r>
      <w:r w:rsidRPr="00CC5E39">
        <w:t>. Depending on the scale of the project expected Views will include several or all the following:</w:t>
      </w:r>
    </w:p>
    <w:p w14:paraId="7D5E948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[System] Context View, covering Background, Objectives, Constraints (Regulations), Obligations (Agreements, Principles, Requirements and Governance)</w:t>
      </w:r>
    </w:p>
    <w:p w14:paraId="3074B943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Delivery View, covering Deliverables, Expectations, Methods of Working, etc.</w:t>
      </w:r>
    </w:p>
    <w:p w14:paraId="08F41E6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Functional View, covering how the service meets its functional requirements, illustrated by Use Cases by various Stakeholder Roles</w:t>
      </w:r>
    </w:p>
    <w:p w14:paraId="1840025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Integration View, covering Components and their </w:t>
      </w:r>
      <w:proofErr w:type="gramStart"/>
      <w:r w:rsidRPr="00CC5E39">
        <w:t>integration</w:t>
      </w:r>
      <w:proofErr w:type="gramEnd"/>
    </w:p>
    <w:p w14:paraId="6AA63C5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Interoperability View, covering how Components are accessible to other </w:t>
      </w:r>
      <w:proofErr w:type="gramStart"/>
      <w:r w:rsidRPr="00CC5E39">
        <w:t>services</w:t>
      </w:r>
      <w:proofErr w:type="gramEnd"/>
    </w:p>
    <w:p w14:paraId="066597B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Qualities View, covering how the system meets its Quality Requirements</w:t>
      </w:r>
    </w:p>
    <w:p w14:paraId="0279431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Development View, covering expected development practices,</w:t>
      </w:r>
    </w:p>
    <w:p w14:paraId="010F580C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Quality Assessment View, covering how quality is assured,</w:t>
      </w:r>
    </w:p>
    <w:p w14:paraId="44B1688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Privacy View, covering how the service adheres to its (legal) privacy </w:t>
      </w:r>
      <w:proofErr w:type="gramStart"/>
      <w:r w:rsidRPr="00CC5E39">
        <w:t>obligations</w:t>
      </w:r>
      <w:proofErr w:type="gramEnd"/>
    </w:p>
    <w:p w14:paraId="6504CFC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Security View, covering how the service adheres to its security </w:t>
      </w:r>
      <w:proofErr w:type="gramStart"/>
      <w:r w:rsidRPr="00CC5E39">
        <w:t>obligations</w:t>
      </w:r>
      <w:proofErr w:type="gramEnd"/>
    </w:p>
    <w:p w14:paraId="04A47F08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Deployment View, covering automation of quality assurance and </w:t>
      </w:r>
      <w:proofErr w:type="gramStart"/>
      <w:r w:rsidRPr="00CC5E39">
        <w:t>delivery</w:t>
      </w:r>
      <w:proofErr w:type="gramEnd"/>
    </w:p>
    <w:p w14:paraId="35AA190B" w14:textId="77777777" w:rsidR="00CC5E39" w:rsidRPr="00CC5E39" w:rsidRDefault="00CC5E39" w:rsidP="00CC5E39">
      <w:pPr>
        <w:pStyle w:val="BodyText"/>
      </w:pPr>
      <w:r w:rsidRPr="00CC5E39">
        <w:t xml:space="preserve">Note that a </w:t>
      </w:r>
      <w:r w:rsidRPr="00CC5E39">
        <w:rPr>
          <w:i/>
          <w:iCs/>
        </w:rPr>
        <w:t>Description</w:t>
      </w:r>
      <w:r w:rsidRPr="00CC5E39">
        <w:t xml:space="preserve"> does not have to be a </w:t>
      </w:r>
      <w:r w:rsidRPr="00CC5E39">
        <w:rPr>
          <w:i/>
          <w:iCs/>
        </w:rPr>
        <w:t>Document</w:t>
      </w:r>
      <w:r w:rsidRPr="00CC5E39">
        <w:t xml:space="preserve">. A SAD can be developed in Word or Confluence, or any medium that provides both sufficient access to contributors and consultants, and versioning sufficient to support the accountability required of an </w:t>
      </w:r>
      <w:proofErr w:type="gramStart"/>
      <w:r w:rsidRPr="00CC5E39">
        <w:rPr>
          <w:i/>
          <w:iCs/>
        </w:rPr>
        <w:t>Accreditation</w:t>
      </w:r>
      <w:proofErr w:type="gramEnd"/>
      <w:r w:rsidRPr="00CC5E39">
        <w:t xml:space="preserve"> process.</w:t>
      </w:r>
    </w:p>
    <w:p w14:paraId="598F8B3E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4156"/>
      <w:r w:rsidRPr="00CC5E39">
        <w:t>UML</w:t>
      </w:r>
      <w:bookmarkEnd w:id="17"/>
    </w:p>
    <w:p w14:paraId="72DDB7F7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Unified Modelling Language</w:t>
      </w:r>
      <w:r w:rsidRPr="00CC5E39">
        <w:t>.</w:t>
      </w:r>
    </w:p>
    <w:p w14:paraId="3EE774E5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4157"/>
      <w:r w:rsidRPr="00CC5E39">
        <w:t>Unified Modelling Language</w:t>
      </w:r>
      <w:bookmarkEnd w:id="18"/>
    </w:p>
    <w:p w14:paraId="507C39E6" w14:textId="77777777" w:rsidR="00CC5E39" w:rsidRPr="00CC5E39" w:rsidRDefault="00CC5E39" w:rsidP="00CC5E39">
      <w:pPr>
        <w:pStyle w:val="BodyText"/>
      </w:pPr>
      <w:r w:rsidRPr="00CC5E39">
        <w:t xml:space="preserve"> : an </w:t>
      </w:r>
      <w:r w:rsidRPr="00CC5E39">
        <w:rPr>
          <w:i/>
          <w:iCs/>
        </w:rPr>
        <w:t>ISO</w:t>
      </w:r>
      <w:r w:rsidRPr="00CC5E39">
        <w:t xml:space="preserve"> defined diagramming standard for modelling structural, behavioural, architectural aspects of systems. See </w:t>
      </w:r>
      <w:r w:rsidRPr="00CC5E39">
        <w:rPr>
          <w:i/>
          <w:iCs/>
        </w:rPr>
        <w:t>ISO-19505</w:t>
      </w:r>
      <w:r w:rsidRPr="00CC5E39">
        <w:t>-2.</w:t>
      </w:r>
    </w:p>
    <w:p w14:paraId="0CEDF4A5" w14:textId="77777777" w:rsidR="005255FC" w:rsidRDefault="005255FC" w:rsidP="005255FC">
      <w:pPr>
        <w:pStyle w:val="Appendices"/>
      </w:pPr>
      <w:bookmarkStart w:id="19" w:name="_Toc145049430"/>
      <w:bookmarkStart w:id="20" w:name="_Toc150844158"/>
      <w:r>
        <w:lastRenderedPageBreak/>
        <w:t>Appendices</w:t>
      </w:r>
      <w:bookmarkEnd w:id="19"/>
      <w:bookmarkEnd w:id="20"/>
    </w:p>
    <w:p w14:paraId="2F89881E" w14:textId="74A8DB32" w:rsidR="000D0A25" w:rsidRPr="005C7C13" w:rsidRDefault="005255FC" w:rsidP="005C7C13">
      <w:pPr>
        <w:pStyle w:val="Appendix"/>
      </w:pPr>
      <w:bookmarkStart w:id="21" w:name="_Toc145049431"/>
      <w:bookmarkStart w:id="22" w:name="_Toc15084415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1"/>
      <w:bookmarkEnd w:id="22"/>
    </w:p>
    <w:p w14:paraId="7BFD1A0C" w14:textId="7020BB75" w:rsidR="00375755" w:rsidRDefault="00375755" w:rsidP="005255FC">
      <w:pPr>
        <w:pStyle w:val="Heading3"/>
      </w:pPr>
      <w:bookmarkStart w:id="23" w:name="_Toc150844160"/>
      <w:r>
        <w:t>Versions</w:t>
      </w:r>
      <w:bookmarkEnd w:id="23"/>
    </w:p>
    <w:p w14:paraId="32C468A6" w14:textId="623E073F" w:rsidR="00375755" w:rsidRDefault="00375755" w:rsidP="00375755">
      <w:pPr>
        <w:pStyle w:val="BodyText"/>
        <w:numPr>
          <w:ilvl w:val="1"/>
          <w:numId w:val="48"/>
        </w:numPr>
      </w:pPr>
      <w:r>
        <w:t>Initial Draft</w:t>
      </w:r>
    </w:p>
    <w:p w14:paraId="1B5D381A" w14:textId="4F8E915B" w:rsidR="00375755" w:rsidRDefault="00375755" w:rsidP="00375755">
      <w:pPr>
        <w:pStyle w:val="BodyText"/>
        <w:numPr>
          <w:ilvl w:val="1"/>
          <w:numId w:val="48"/>
        </w:numPr>
      </w:pPr>
      <w:r>
        <w:t>Minor corrections</w:t>
      </w:r>
    </w:p>
    <w:p w14:paraId="19368B9B" w14:textId="7A908161" w:rsidR="00375755" w:rsidRPr="00375755" w:rsidRDefault="00375755" w:rsidP="00375755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4C799A49" w:rsidR="008C39DC" w:rsidRDefault="008C39DC" w:rsidP="005255FC">
      <w:pPr>
        <w:pStyle w:val="Heading3"/>
      </w:pPr>
      <w:bookmarkStart w:id="24" w:name="_Toc150844161"/>
      <w:r>
        <w:t>Images</w:t>
      </w:r>
      <w:bookmarkEnd w:id="24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5" w:name="_Toc150844162"/>
      <w:r w:rsidRPr="001E2299">
        <w:t>Tables</w:t>
      </w:r>
      <w:bookmarkEnd w:id="25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6" w:name="_Toc150844163"/>
      <w:r>
        <w:t>References</w:t>
      </w:r>
      <w:bookmarkEnd w:id="2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7" w:name="_Toc150844164"/>
      <w:r>
        <w:t>Review Distribution</w:t>
      </w:r>
      <w:bookmarkEnd w:id="2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30A602B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375755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9" w:name="_Toc150844165"/>
      <w:bookmarkEnd w:id="28"/>
      <w:r>
        <w:t>Audience</w:t>
      </w:r>
      <w:bookmarkEnd w:id="2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0" w:name="_Toc150844166"/>
      <w:r>
        <w:t>Diagrams</w:t>
      </w:r>
      <w:bookmarkEnd w:id="30"/>
    </w:p>
    <w:p w14:paraId="65008B06" w14:textId="08BAE19A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375755">
        <w:t>ArchiMate</w:t>
      </w:r>
      <w:r>
        <w:t>, UML, C4), is appropriate, diagrams are developed as simple “box &amp; line” monochrome diagrams.</w:t>
      </w:r>
    </w:p>
    <w:bookmarkEnd w:id="3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EAED" w14:textId="77777777" w:rsidR="003E6F98" w:rsidRDefault="003E6F98" w:rsidP="0021141C">
      <w:pPr>
        <w:spacing w:before="0" w:after="0" w:line="240" w:lineRule="auto"/>
      </w:pPr>
      <w:r>
        <w:separator/>
      </w:r>
    </w:p>
    <w:p w14:paraId="53FD3514" w14:textId="77777777" w:rsidR="003E6F98" w:rsidRDefault="003E6F98"/>
  </w:endnote>
  <w:endnote w:type="continuationSeparator" w:id="0">
    <w:p w14:paraId="365476DA" w14:textId="77777777" w:rsidR="003E6F98" w:rsidRDefault="003E6F98" w:rsidP="0021141C">
      <w:pPr>
        <w:spacing w:before="0" w:after="0" w:line="240" w:lineRule="auto"/>
      </w:pPr>
      <w:r>
        <w:continuationSeparator/>
      </w:r>
    </w:p>
    <w:p w14:paraId="6160674E" w14:textId="77777777" w:rsidR="003E6F98" w:rsidRDefault="003E6F98"/>
  </w:endnote>
  <w:endnote w:type="continuationNotice" w:id="1">
    <w:p w14:paraId="120487B6" w14:textId="77777777" w:rsidR="003E6F98" w:rsidRDefault="003E6F98">
      <w:pPr>
        <w:spacing w:before="0" w:after="0" w:line="240" w:lineRule="auto"/>
      </w:pPr>
    </w:p>
    <w:p w14:paraId="52D70E55" w14:textId="77777777" w:rsidR="003E6F98" w:rsidRDefault="003E6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1A01" w14:textId="77777777" w:rsidR="003E6F98" w:rsidRDefault="003E6F98" w:rsidP="0021141C">
      <w:pPr>
        <w:spacing w:before="0" w:after="0" w:line="240" w:lineRule="auto"/>
      </w:pPr>
      <w:r>
        <w:separator/>
      </w:r>
    </w:p>
    <w:p w14:paraId="6168992A" w14:textId="77777777" w:rsidR="003E6F98" w:rsidRDefault="003E6F98"/>
  </w:footnote>
  <w:footnote w:type="continuationSeparator" w:id="0">
    <w:p w14:paraId="24FC92B8" w14:textId="77777777" w:rsidR="003E6F98" w:rsidRDefault="003E6F98" w:rsidP="0021141C">
      <w:pPr>
        <w:spacing w:before="0" w:after="0" w:line="240" w:lineRule="auto"/>
      </w:pPr>
      <w:r>
        <w:continuationSeparator/>
      </w:r>
    </w:p>
    <w:p w14:paraId="089569F3" w14:textId="77777777" w:rsidR="003E6F98" w:rsidRDefault="003E6F98"/>
  </w:footnote>
  <w:footnote w:type="continuationNotice" w:id="1">
    <w:p w14:paraId="289C9DDD" w14:textId="77777777" w:rsidR="003E6F98" w:rsidRDefault="003E6F98">
      <w:pPr>
        <w:spacing w:before="0" w:after="0" w:line="240" w:lineRule="auto"/>
      </w:pPr>
    </w:p>
    <w:p w14:paraId="1B61028D" w14:textId="77777777" w:rsidR="003E6F98" w:rsidRDefault="003E6F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61C7D"/>
    <w:multiLevelType w:val="multilevel"/>
    <w:tmpl w:val="496E84A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  <w:num w:numId="48" w16cid:durableId="4267354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E47BC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75755"/>
    <w:rsid w:val="003900D6"/>
    <w:rsid w:val="003A4FD7"/>
    <w:rsid w:val="003B3AE1"/>
    <w:rsid w:val="003B5D52"/>
    <w:rsid w:val="003C3370"/>
    <w:rsid w:val="003E6F98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D554E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EF460B"/>
    <w:rsid w:val="00F01242"/>
    <w:rsid w:val="00F01D3F"/>
    <w:rsid w:val="00F024B5"/>
    <w:rsid w:val="00F02521"/>
    <w:rsid w:val="00F0292A"/>
    <w:rsid w:val="00F03ED1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