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1B2A3FAD" w:rsidR="008C39DC" w:rsidRDefault="00813161" w:rsidP="008C39DC">
      <w:pPr>
        <w:pStyle w:val="Title"/>
      </w:pPr>
      <w:r>
        <w:t xml:space="preserve">DRAFT - </w:t>
      </w:r>
      <w:r w:rsidR="008C39DC">
        <w:t>ICT Project Guidance</w:t>
      </w:r>
    </w:p>
    <w:p w14:paraId="39614DFE" w14:textId="4A479434" w:rsidR="008C39DC" w:rsidRDefault="00000751" w:rsidP="008C39DC">
      <w:pPr>
        <w:pStyle w:val="Subtitle"/>
      </w:pPr>
      <w:r>
        <w:t>Definition – Transitional Requirements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01BA5B99" w14:textId="71D812F2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0746ABC4" w:rsidR="00921365" w:rsidRPr="00921365" w:rsidRDefault="00F929E7" w:rsidP="00921365">
      <w:pPr>
        <w:pStyle w:val="BodyText"/>
      </w:pPr>
      <w:r>
        <w:t xml:space="preserve"> </w:t>
      </w:r>
      <w:r w:rsidR="00000751">
        <w:t>Sky Sigal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370D2396" w14:textId="75471255" w:rsidR="00AE2E49" w:rsidRDefault="00000751" w:rsidP="00921365">
      <w:pPr>
        <w:pStyle w:val="BodyText"/>
      </w:pPr>
      <w:r>
        <w:t xml:space="preserve">This document lists transitional requirements applicable to generic services. 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6C1A21EC" w:rsidR="00AE2E49" w:rsidRDefault="00000751" w:rsidP="00AE2E49">
      <w:pPr>
        <w:pStyle w:val="BodyText"/>
      </w:pPr>
      <w:r>
        <w:t xml:space="preserve">A solution is the Transition from an existing state to a future state that includes a system defined by Quality and Functional requirements. The Transition involves setting up delivery processes and systems, incorporating pre-agreed processes to meet policies and governance, resourcing, </w:t>
      </w:r>
      <w:proofErr w:type="gramStart"/>
      <w:r>
        <w:t>licensing</w:t>
      </w:r>
      <w:proofErr w:type="gramEnd"/>
      <w:r>
        <w:t xml:space="preserve"> and </w:t>
      </w:r>
      <w:r>
        <w:t>subscribing</w:t>
      </w:r>
      <w:r>
        <w:t xml:space="preserve">, setting up delivery pipelines, infrastructure provisioning, system provisioning (reference data and code sets, groups, group roles, </w:t>
      </w:r>
      <w:r>
        <w:t>users</w:t>
      </w:r>
      <w:r>
        <w:t>, workflows, media), migrating data via API (“application programming interface”) based ETL (“extraction, transformation and loading”), progress reporting, etc.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CB58D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CB58D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CB58D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CB58D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CB58D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CB58DE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CB58DE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CB58DE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CB58D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CB58D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CB58D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CB58D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CB58D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CB58D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CB58D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CB58D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5232977"/>
      <w:r w:rsidRPr="00F929E7">
        <w:lastRenderedPageBreak/>
        <w:t>Introduction</w:t>
      </w:r>
      <w:bookmarkEnd w:id="5"/>
      <w:bookmarkEnd w:id="6"/>
    </w:p>
    <w:p w14:paraId="4440528B" w14:textId="1683FD03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proofErr w:type="gramStart"/>
      <w:r w:rsidR="00660C49">
        <w:t>Scope</w:t>
      </w:r>
      <w:r>
        <w:t>[</w:t>
      </w:r>
      <w:proofErr w:type="gramEnd"/>
      <w:r>
        <w:t>In/Out]</w:t>
      </w:r>
      <w:r w:rsidR="00660C49">
        <w:t xml:space="preserve">, Stakeholders [Users], Constraints, </w:t>
      </w:r>
      <w:r w:rsidR="00B02745">
        <w:t xml:space="preserve">Assumptions, Risks, </w:t>
      </w:r>
      <w:r>
        <w:t xml:space="preserve">Dependencies, Decisions, </w:t>
      </w:r>
      <w:r w:rsidR="00B02745">
        <w:t xml:space="preserve">Deliverables. </w:t>
      </w:r>
    </w:p>
    <w:p w14:paraId="666956D0" w14:textId="76A17061" w:rsidR="00ED6520" w:rsidRDefault="00ED6520" w:rsidP="00DA59D0">
      <w:pPr>
        <w:pStyle w:val="BodyText"/>
      </w:pPr>
      <w:r>
        <w:br/>
      </w:r>
    </w:p>
    <w:p w14:paraId="03C54519" w14:textId="77777777" w:rsidR="00F929E7" w:rsidRDefault="00423249" w:rsidP="00F929E7">
      <w:pPr>
        <w:pStyle w:val="Caption"/>
      </w:pPr>
      <w:bookmarkStart w:id="7" w:name="_Toc144995112"/>
      <w:r>
        <w:rPr>
          <w:noProof/>
        </w:rPr>
        <w:drawing>
          <wp:anchor distT="0" distB="0" distL="114300" distR="114300" simplePos="0" relativeHeight="251658240" behindDoc="0" locked="0" layoutInCell="1" allowOverlap="1" wp14:anchorId="465D5D13" wp14:editId="1EC837F7">
            <wp:simplePos x="752475" y="2600325"/>
            <wp:positionH relativeFrom="column">
              <wp:align>left</wp:align>
            </wp:positionH>
            <wp:positionV relativeFrom="paragraph">
              <wp:align>top</wp:align>
            </wp:positionV>
            <wp:extent cx="800100" cy="800100"/>
            <wp:effectExtent l="0" t="0" r="0" b="0"/>
            <wp:wrapSquare wrapText="bothSides"/>
            <wp:docPr id="86" name="Picture 86" descr="3d cube vector icon 22761381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d cube vector icon 22761381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0C49">
        <w:br w:type="textWrapping" w:clear="all"/>
      </w:r>
      <w:r w:rsidR="00F929E7">
        <w:t xml:space="preserve">Figure </w:t>
      </w:r>
      <w:r w:rsidR="00CB58DE">
        <w:fldChar w:fldCharType="begin"/>
      </w:r>
      <w:r w:rsidR="00CB58DE">
        <w:instrText xml:space="preserve"> SEQ Figure \* ARABIC </w:instrText>
      </w:r>
      <w:r w:rsidR="00CB58DE">
        <w:fldChar w:fldCharType="separate"/>
      </w:r>
      <w:r w:rsidR="00F929E7">
        <w:rPr>
          <w:noProof/>
        </w:rPr>
        <w:t>1</w:t>
      </w:r>
      <w:r w:rsidR="00CB58DE">
        <w:rPr>
          <w:noProof/>
        </w:rPr>
        <w:fldChar w:fldCharType="end"/>
      </w:r>
      <w:r w:rsidR="00F929E7">
        <w:t>: TODO Image</w:t>
      </w:r>
    </w:p>
    <w:p w14:paraId="72FEE6D6" w14:textId="41F87985" w:rsidR="00356787" w:rsidRDefault="00356787" w:rsidP="00A940C5">
      <w:pPr>
        <w:pStyle w:val="BodyText"/>
      </w:pPr>
    </w:p>
    <w:p w14:paraId="5F09908D" w14:textId="4068A5DD" w:rsidR="006646CD" w:rsidRDefault="00F929E7" w:rsidP="006646CD">
      <w:pPr>
        <w:pStyle w:val="Heading3"/>
      </w:pPr>
      <w:bookmarkStart w:id="8" w:name="_Toc145232978"/>
      <w:r>
        <w:t xml:space="preserve">Heading Level </w:t>
      </w:r>
      <w:r w:rsidR="006646CD">
        <w:t>3</w:t>
      </w:r>
      <w:bookmarkEnd w:id="8"/>
    </w:p>
    <w:p w14:paraId="343608DF" w14:textId="610D511F" w:rsidR="006646CD" w:rsidRDefault="00F929E7" w:rsidP="006646CD">
      <w:pPr>
        <w:pStyle w:val="BodyText"/>
      </w:pPr>
      <w:r>
        <w:t>Foo</w:t>
      </w:r>
    </w:p>
    <w:p w14:paraId="315A7089" w14:textId="68410987" w:rsidR="006646CD" w:rsidRDefault="00F929E7" w:rsidP="006646CD">
      <w:pPr>
        <w:pStyle w:val="Heading4"/>
      </w:pPr>
      <w:bookmarkStart w:id="9" w:name="_Toc145232979"/>
      <w:r>
        <w:t>Heading Level</w:t>
      </w:r>
      <w:r w:rsidR="006646CD">
        <w:t xml:space="preserve"> 4</w:t>
      </w:r>
      <w:bookmarkEnd w:id="9"/>
    </w:p>
    <w:p w14:paraId="5E754D2A" w14:textId="11584074" w:rsidR="00F929E7" w:rsidRPr="00F929E7" w:rsidRDefault="00F929E7" w:rsidP="00F929E7">
      <w:pPr>
        <w:pStyle w:val="BodyText"/>
      </w:pPr>
      <w:r>
        <w:t>Bar</w:t>
      </w:r>
    </w:p>
    <w:bookmarkEnd w:id="7"/>
    <w:p w14:paraId="76C14D72" w14:textId="70C50A7E" w:rsidR="00DA59D0" w:rsidRDefault="00DA59D0" w:rsidP="00DA59D0">
      <w:pPr>
        <w:pStyle w:val="BodyText"/>
      </w:pPr>
    </w:p>
    <w:p w14:paraId="36A34E9E" w14:textId="33F93DB9" w:rsidR="00DA59D0" w:rsidRDefault="00DA59D0" w:rsidP="00DA59D0">
      <w:pPr>
        <w:pStyle w:val="Caption"/>
        <w:keepNext/>
      </w:pPr>
      <w:bookmarkStart w:id="10" w:name="_Toc145048484"/>
      <w:r>
        <w:t xml:space="preserve">Table </w:t>
      </w:r>
      <w:r w:rsidR="00CB58DE">
        <w:fldChar w:fldCharType="begin"/>
      </w:r>
      <w:r w:rsidR="00CB58DE">
        <w:instrText xml:space="preserve"> SEQ Table \* ARABIC </w:instrText>
      </w:r>
      <w:r w:rsidR="00CB58DE">
        <w:fldChar w:fldCharType="separate"/>
      </w:r>
      <w:r w:rsidR="00C559C1">
        <w:rPr>
          <w:noProof/>
        </w:rPr>
        <w:t>1</w:t>
      </w:r>
      <w:r w:rsidR="00CB58DE">
        <w:rPr>
          <w:noProof/>
        </w:rPr>
        <w:fldChar w:fldCharType="end"/>
      </w:r>
      <w:r>
        <w:t>: TODO Table</w:t>
      </w:r>
      <w:bookmarkEnd w:id="10"/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A053C8" w14:paraId="23D92B77" w14:textId="77777777" w:rsidTr="00DC2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36C6816F" w14:textId="4CD13BA0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605CE8" w14:textId="403E6BB7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DA59D0" w14:paraId="2087107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5D653F62" w14:textId="01613D49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103D7390" w14:textId="4D1151F5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B02745" w14:paraId="6D6B3A14" w14:textId="77777777" w:rsidTr="00DC2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788E6A35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0A8D6513" w14:textId="77777777" w:rsidR="00DA59D0" w:rsidRDefault="00DA59D0" w:rsidP="00DA59D0">
            <w:pPr>
              <w:pStyle w:val="BodyText"/>
            </w:pPr>
          </w:p>
        </w:tc>
      </w:tr>
      <w:tr w:rsidR="00DA59D0" w14:paraId="53142D5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45A0099A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279D27FF" w14:textId="77777777" w:rsidR="00DA59D0" w:rsidRDefault="00DA59D0" w:rsidP="00DA59D0">
            <w:pPr>
              <w:pStyle w:val="BodyText"/>
            </w:pPr>
          </w:p>
        </w:tc>
      </w:tr>
    </w:tbl>
    <w:p w14:paraId="52307C2F" w14:textId="7471A00B" w:rsidR="00DA59D0" w:rsidRDefault="00DA59D0" w:rsidP="00DA59D0">
      <w:pPr>
        <w:pStyle w:val="BodyText"/>
      </w:pPr>
    </w:p>
    <w:p w14:paraId="01FE4C7C" w14:textId="6E08D115" w:rsidR="00C559C1" w:rsidRDefault="00C559C1" w:rsidP="00C559C1">
      <w:pPr>
        <w:pStyle w:val="Caption"/>
        <w:keepNext/>
      </w:pPr>
      <w:bookmarkStart w:id="11" w:name="_Toc145048485"/>
      <w:r>
        <w:t xml:space="preserve">Table </w:t>
      </w:r>
      <w:r w:rsidR="00CB58DE">
        <w:fldChar w:fldCharType="begin"/>
      </w:r>
      <w:r w:rsidR="00CB58DE">
        <w:instrText xml:space="preserve"> SEQ Table \* ARABIC </w:instrText>
      </w:r>
      <w:r w:rsidR="00CB58DE">
        <w:fldChar w:fldCharType="separate"/>
      </w:r>
      <w:r>
        <w:rPr>
          <w:noProof/>
        </w:rPr>
        <w:t>2</w:t>
      </w:r>
      <w:r w:rsidR="00CB58DE">
        <w:rPr>
          <w:noProof/>
        </w:rPr>
        <w:fldChar w:fldCharType="end"/>
      </w:r>
      <w:r>
        <w:t>: TODO Table 2</w:t>
      </w:r>
      <w:bookmarkEnd w:id="11"/>
    </w:p>
    <w:tbl>
      <w:tblPr>
        <w:tblStyle w:val="Table-Default-Mauv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E8314C" w14:paraId="1699D7A0" w14:textId="77777777" w:rsidTr="00563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4C1C6761" w14:textId="485864DE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B6C469" w14:textId="0ACF63E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7E367C5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26F1C2C2" w14:textId="2A289E37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23C957B5" w14:textId="75CD004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5E0D209D" w14:textId="77777777" w:rsidTr="00563A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0B4C06CC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7EAD6BCA" w14:textId="77777777" w:rsidR="00E8314C" w:rsidRDefault="00E8314C" w:rsidP="009E49C0">
            <w:pPr>
              <w:pStyle w:val="BodyText"/>
            </w:pPr>
          </w:p>
        </w:tc>
      </w:tr>
      <w:tr w:rsidR="00E8314C" w14:paraId="4E665B9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38A9072B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4784D82F" w14:textId="77777777" w:rsidR="00E8314C" w:rsidRDefault="00E8314C" w:rsidP="009E49C0">
            <w:pPr>
              <w:pStyle w:val="BodyText"/>
            </w:pPr>
          </w:p>
        </w:tc>
      </w:tr>
    </w:tbl>
    <w:p w14:paraId="4615C466" w14:textId="77777777" w:rsidR="00E8314C" w:rsidRPr="00DA59D0" w:rsidRDefault="00E8314C" w:rsidP="00DA59D0">
      <w:pPr>
        <w:pStyle w:val="BodyText"/>
      </w:pPr>
    </w:p>
    <w:p w14:paraId="47CA73CB" w14:textId="4F946A0C" w:rsidR="00000751" w:rsidRDefault="00CB58DE" w:rsidP="00B33E36">
      <w:pPr>
        <w:pStyle w:val="Heading1"/>
      </w:pPr>
      <w:bookmarkStart w:id="12" w:name="_Toc145049430"/>
      <w:bookmarkStart w:id="13" w:name="_Toc145232980"/>
      <w:r>
        <w:lastRenderedPageBreak/>
        <w:t xml:space="preserve">Transitional </w:t>
      </w:r>
      <w:r w:rsidR="00000751">
        <w:t>Requirements</w:t>
      </w:r>
    </w:p>
    <w:p w14:paraId="1D12BD98" w14:textId="73002617" w:rsidR="007D4790" w:rsidRPr="007D4790" w:rsidRDefault="007D4790" w:rsidP="007D4790">
      <w:pPr>
        <w:pStyle w:val="Heading3"/>
      </w:pPr>
      <w:r>
        <w:t>Resourcing</w:t>
      </w:r>
    </w:p>
    <w:p w14:paraId="54A530D6" w14:textId="5E56C44E" w:rsidR="00000751" w:rsidRDefault="00000751" w:rsidP="007D4790">
      <w:pPr>
        <w:pStyle w:val="Heading4"/>
      </w:pPr>
      <w:r>
        <w:t>Subscribing</w:t>
      </w:r>
    </w:p>
    <w:p w14:paraId="41B5D09C" w14:textId="5FD236BA" w:rsidR="007D4790" w:rsidRDefault="007D4790" w:rsidP="007D4790">
      <w:pPr>
        <w:pStyle w:val="Heading4"/>
      </w:pPr>
      <w:r>
        <w:t>Licensing</w:t>
      </w:r>
    </w:p>
    <w:p w14:paraId="1E8A60B4" w14:textId="7064BDA1" w:rsidR="007D4790" w:rsidRDefault="007D4790" w:rsidP="007D4790">
      <w:pPr>
        <w:pStyle w:val="Heading4"/>
      </w:pPr>
      <w:r>
        <w:t>Capabilities</w:t>
      </w:r>
    </w:p>
    <w:p w14:paraId="63CBC737" w14:textId="1930BB8D" w:rsidR="00CB58DE" w:rsidRDefault="00CB58DE" w:rsidP="00CB58DE">
      <w:pPr>
        <w:pStyle w:val="Heading3"/>
      </w:pPr>
      <w:r>
        <w:t>Registries</w:t>
      </w:r>
    </w:p>
    <w:p w14:paraId="0CFE0B4D" w14:textId="77777777" w:rsidR="00CB58DE" w:rsidRDefault="00CB58DE" w:rsidP="00CB58DE">
      <w:pPr>
        <w:pStyle w:val="Heading4"/>
      </w:pPr>
      <w:r>
        <w:t xml:space="preserve">People, </w:t>
      </w:r>
    </w:p>
    <w:p w14:paraId="0489C2B1" w14:textId="77777777" w:rsidR="00CB58DE" w:rsidRDefault="00CB58DE" w:rsidP="00CB58DE">
      <w:pPr>
        <w:pStyle w:val="Heading4"/>
      </w:pPr>
      <w:r>
        <w:t xml:space="preserve">Roles, </w:t>
      </w:r>
    </w:p>
    <w:p w14:paraId="4DBC6588" w14:textId="77777777" w:rsidR="00CB58DE" w:rsidRDefault="00CB58DE" w:rsidP="00CB58DE">
      <w:pPr>
        <w:pStyle w:val="Heading4"/>
      </w:pPr>
      <w:r>
        <w:t xml:space="preserve">RAID (Risks, </w:t>
      </w:r>
      <w:r>
        <w:t xml:space="preserve">Assumptions, </w:t>
      </w:r>
      <w:r>
        <w:t xml:space="preserve">Issues, Dependencies), </w:t>
      </w:r>
    </w:p>
    <w:p w14:paraId="7D97D767" w14:textId="4F8FFE87" w:rsidR="00CB58DE" w:rsidRDefault="00CB58DE" w:rsidP="00CB58DE">
      <w:pPr>
        <w:pStyle w:val="Heading4"/>
      </w:pPr>
      <w:r>
        <w:t>Decisions</w:t>
      </w:r>
    </w:p>
    <w:p w14:paraId="62245F00" w14:textId="7AEB97BB" w:rsidR="00CB58DE" w:rsidRPr="00CB58DE" w:rsidRDefault="00CB58DE" w:rsidP="00CB58DE">
      <w:pPr>
        <w:pStyle w:val="Heading4"/>
      </w:pPr>
      <w:r>
        <w:t>Interactions</w:t>
      </w:r>
    </w:p>
    <w:p w14:paraId="65F870CA" w14:textId="03A1C73A" w:rsidR="007D4790" w:rsidRDefault="007D4790" w:rsidP="007D4790">
      <w:pPr>
        <w:pStyle w:val="Heading3"/>
      </w:pPr>
      <w:r>
        <w:t>Configura</w:t>
      </w:r>
      <w:r w:rsidR="00CB58DE">
        <w:t>tion</w:t>
      </w:r>
    </w:p>
    <w:p w14:paraId="4EF00975" w14:textId="4843A407" w:rsidR="00B33E36" w:rsidRDefault="00B33E36" w:rsidP="007D4790">
      <w:pPr>
        <w:pStyle w:val="Heading4"/>
      </w:pPr>
      <w:r>
        <w:t xml:space="preserve">Work Item Management Capability </w:t>
      </w:r>
    </w:p>
    <w:p w14:paraId="107952CF" w14:textId="0742D0E4" w:rsidR="00000751" w:rsidRDefault="00000751" w:rsidP="007D4790">
      <w:pPr>
        <w:pStyle w:val="Heading4"/>
      </w:pPr>
      <w:r>
        <w:t xml:space="preserve">Electronic Document Management </w:t>
      </w:r>
      <w:r w:rsidR="00B33E36">
        <w:t>Capability</w:t>
      </w:r>
      <w:r>
        <w:t xml:space="preserve"> </w:t>
      </w:r>
    </w:p>
    <w:p w14:paraId="7548FC98" w14:textId="77777777" w:rsidR="007D4790" w:rsidRDefault="007D4790" w:rsidP="007D4790">
      <w:pPr>
        <w:pStyle w:val="Heading3"/>
      </w:pPr>
      <w:r>
        <w:t>Automation</w:t>
      </w:r>
    </w:p>
    <w:p w14:paraId="2A86F950" w14:textId="779DA17C" w:rsidR="007D4790" w:rsidRPr="007D4790" w:rsidRDefault="007D4790" w:rsidP="007D4790">
      <w:pPr>
        <w:pStyle w:val="Heading4"/>
      </w:pPr>
      <w:r>
        <w:t xml:space="preserve">Workflow Automation </w:t>
      </w:r>
    </w:p>
    <w:p w14:paraId="61270145" w14:textId="56DDAB86" w:rsidR="007D4790" w:rsidRDefault="007D4790" w:rsidP="007D4790">
      <w:pPr>
        <w:pStyle w:val="Heading4"/>
      </w:pPr>
      <w:r>
        <w:t xml:space="preserve">Delivery Automation </w:t>
      </w:r>
    </w:p>
    <w:p w14:paraId="6B0294AB" w14:textId="58DEA158" w:rsidR="007D4790" w:rsidRDefault="007D4790" w:rsidP="007D4790">
      <w:pPr>
        <w:pStyle w:val="Heading3"/>
      </w:pPr>
      <w:r>
        <w:t>Environments</w:t>
      </w:r>
    </w:p>
    <w:p w14:paraId="6FE0975D" w14:textId="63C9D6CD" w:rsidR="00CB58DE" w:rsidRPr="00CB58DE" w:rsidRDefault="00CB58DE" w:rsidP="00CB58DE">
      <w:pPr>
        <w:pStyle w:val="Heading4"/>
      </w:pPr>
      <w:r>
        <w:t>Branch Based BT, DT, ST, UT, IT, TR, PP, PR</w:t>
      </w:r>
    </w:p>
    <w:p w14:paraId="3FDCD925" w14:textId="379C2318" w:rsidR="007D4790" w:rsidRDefault="007D4790" w:rsidP="007D4790">
      <w:pPr>
        <w:pStyle w:val="Heading3"/>
      </w:pPr>
      <w:r>
        <w:t>Media</w:t>
      </w:r>
    </w:p>
    <w:p w14:paraId="3B97153C" w14:textId="1C8A06F4" w:rsidR="007D4790" w:rsidRPr="007D4790" w:rsidRDefault="007D4790" w:rsidP="007D4790">
      <w:pPr>
        <w:pStyle w:val="Heading4"/>
      </w:pPr>
      <w:r>
        <w:t>Tracking</w:t>
      </w:r>
    </w:p>
    <w:p w14:paraId="1C5DDFBC" w14:textId="1F7D9591" w:rsidR="007D4790" w:rsidRDefault="007D4790" w:rsidP="007D4790">
      <w:pPr>
        <w:pStyle w:val="Heading4"/>
      </w:pPr>
      <w:r>
        <w:t>Data Collection Purpose, Attributes Collected, Use</w:t>
      </w:r>
    </w:p>
    <w:p w14:paraId="76F07136" w14:textId="77777777" w:rsidR="00CB58DE" w:rsidRDefault="00CB58DE" w:rsidP="00CB58DE">
      <w:pPr>
        <w:pStyle w:val="Heading3"/>
      </w:pPr>
      <w:r>
        <w:t>Reference Data</w:t>
      </w:r>
    </w:p>
    <w:p w14:paraId="01341D08" w14:textId="77777777" w:rsidR="00CB58DE" w:rsidRPr="007D4790" w:rsidRDefault="00CB58DE" w:rsidP="00CB58DE">
      <w:pPr>
        <w:pStyle w:val="Heading4"/>
      </w:pPr>
      <w:r>
        <w:t>Code Sets &amp; Reference Data</w:t>
      </w:r>
    </w:p>
    <w:p w14:paraId="12C0F6FC" w14:textId="77777777" w:rsidR="007D4790" w:rsidRDefault="007D4790" w:rsidP="007D4790">
      <w:pPr>
        <w:pStyle w:val="Heading3"/>
      </w:pPr>
      <w:r>
        <w:t>Provisioning</w:t>
      </w:r>
    </w:p>
    <w:p w14:paraId="5D097C59" w14:textId="0F2B846F" w:rsidR="00B33E36" w:rsidRDefault="00B33E36" w:rsidP="007D4790">
      <w:pPr>
        <w:pStyle w:val="Heading4"/>
      </w:pPr>
      <w:r>
        <w:t>Provisioning Groups</w:t>
      </w:r>
      <w:r w:rsidR="007D4790">
        <w:t>,</w:t>
      </w:r>
    </w:p>
    <w:p w14:paraId="6B2A9949" w14:textId="2FDFA242" w:rsidR="00B33E36" w:rsidRDefault="00B33E36" w:rsidP="007D4790">
      <w:pPr>
        <w:pStyle w:val="Heading4"/>
      </w:pPr>
      <w:r>
        <w:t>Provisioning Group Role</w:t>
      </w:r>
      <w:r w:rsidR="007D4790">
        <w:t xml:space="preserve"> Types</w:t>
      </w:r>
    </w:p>
    <w:p w14:paraId="181AFB03" w14:textId="28963B30" w:rsidR="00B33E36" w:rsidRDefault="00B33E36" w:rsidP="007D4790">
      <w:pPr>
        <w:pStyle w:val="Heading4"/>
      </w:pPr>
      <w:r>
        <w:t>Provisioning Users</w:t>
      </w:r>
    </w:p>
    <w:p w14:paraId="5BDACE05" w14:textId="4BDF0A03" w:rsidR="007D4790" w:rsidRDefault="007D4790" w:rsidP="007D4790">
      <w:pPr>
        <w:pStyle w:val="Heading4"/>
      </w:pPr>
      <w:r>
        <w:t>Provisioning User</w:t>
      </w:r>
      <w:r>
        <w:t xml:space="preserve"> Group Role Associations</w:t>
      </w:r>
    </w:p>
    <w:p w14:paraId="718BB0DD" w14:textId="31609BDD" w:rsidR="00000751" w:rsidRDefault="00B33E36" w:rsidP="007D4790">
      <w:pPr>
        <w:pStyle w:val="Heading3"/>
      </w:pPr>
      <w:r>
        <w:t xml:space="preserve">Data </w:t>
      </w:r>
      <w:r w:rsidR="00000751">
        <w:t>Migrations</w:t>
      </w:r>
    </w:p>
    <w:p w14:paraId="7A9590B7" w14:textId="77777777" w:rsidR="007D4790" w:rsidRDefault="007D4790" w:rsidP="007D4790">
      <w:pPr>
        <w:pStyle w:val="Heading4"/>
      </w:pPr>
      <w:r>
        <w:t>API versus Datastore</w:t>
      </w:r>
    </w:p>
    <w:p w14:paraId="6248379D" w14:textId="26CF5250" w:rsidR="007D4790" w:rsidRPr="007D4790" w:rsidRDefault="007D4790" w:rsidP="007D4790">
      <w:pPr>
        <w:pStyle w:val="Heading4"/>
      </w:pPr>
      <w:r>
        <w:t>Pre-existing System Data</w:t>
      </w:r>
    </w:p>
    <w:p w14:paraId="4CECA460" w14:textId="42075608" w:rsidR="00B33E36" w:rsidRDefault="00B33E36" w:rsidP="00B33E36">
      <w:pPr>
        <w:pStyle w:val="Heading2"/>
      </w:pPr>
      <w:r>
        <w:lastRenderedPageBreak/>
        <w:t>Documentation</w:t>
      </w:r>
    </w:p>
    <w:p w14:paraId="1DC21A78" w14:textId="5834B74C" w:rsidR="007D4790" w:rsidRDefault="007D4790" w:rsidP="007D4790">
      <w:pPr>
        <w:pStyle w:val="Heading4"/>
      </w:pPr>
      <w:r>
        <w:t>Support Documentation</w:t>
      </w:r>
    </w:p>
    <w:p w14:paraId="217B1CDB" w14:textId="3B7AA2FA" w:rsidR="007D4790" w:rsidRDefault="007D4790" w:rsidP="007D4790">
      <w:pPr>
        <w:pStyle w:val="Heading4"/>
      </w:pPr>
      <w:r>
        <w:t>Operations Documentation</w:t>
      </w:r>
    </w:p>
    <w:p w14:paraId="5A24AFBF" w14:textId="00B56E0C" w:rsidR="007D4790" w:rsidRDefault="007D4790" w:rsidP="007D4790">
      <w:pPr>
        <w:pStyle w:val="Heading4"/>
      </w:pPr>
      <w:r>
        <w:t>Maintenance Documentation</w:t>
      </w:r>
    </w:p>
    <w:p w14:paraId="4B4B6BF2" w14:textId="33A58DE8" w:rsidR="007D4790" w:rsidRDefault="007D4790" w:rsidP="007D4790">
      <w:pPr>
        <w:pStyle w:val="Heading4"/>
      </w:pPr>
      <w:r>
        <w:t xml:space="preserve">Deployment, Data Restoration, DR Documentation </w:t>
      </w:r>
    </w:p>
    <w:p w14:paraId="355B9EC3" w14:textId="198062FA" w:rsidR="007D4790" w:rsidRPr="007D4790" w:rsidRDefault="007D4790" w:rsidP="007D4790">
      <w:pPr>
        <w:pStyle w:val="Heading4"/>
      </w:pPr>
      <w:r>
        <w:t>Business Continuity Documentation</w:t>
      </w:r>
    </w:p>
    <w:p w14:paraId="5A1F5267" w14:textId="0F11F706" w:rsidR="00B33E36" w:rsidRDefault="00B33E36" w:rsidP="00B33E36">
      <w:pPr>
        <w:pStyle w:val="Heading2"/>
      </w:pPr>
      <w:r>
        <w:t>Training</w:t>
      </w:r>
    </w:p>
    <w:p w14:paraId="0E20B325" w14:textId="31436252" w:rsidR="00CB58DE" w:rsidRDefault="00CB58DE" w:rsidP="00CB58DE">
      <w:pPr>
        <w:pStyle w:val="Heading4"/>
      </w:pPr>
      <w:r>
        <w:t xml:space="preserve">Training for </w:t>
      </w:r>
      <w:r>
        <w:t>Stakeholders</w:t>
      </w:r>
      <w:r>
        <w:t xml:space="preserve"> </w:t>
      </w:r>
      <w:r>
        <w:t>–</w:t>
      </w:r>
      <w:r>
        <w:t xml:space="preserve"> </w:t>
      </w:r>
      <w:r>
        <w:t>Objectives, Principles, Governance</w:t>
      </w:r>
    </w:p>
    <w:p w14:paraId="199852F5" w14:textId="0F13C973" w:rsidR="00B33E36" w:rsidRDefault="00B33E36" w:rsidP="007D4790">
      <w:pPr>
        <w:pStyle w:val="Heading4"/>
      </w:pPr>
      <w:r>
        <w:t>Training for Developers</w:t>
      </w:r>
      <w:r w:rsidR="007D4790">
        <w:t xml:space="preserve"> - Security</w:t>
      </w:r>
    </w:p>
    <w:p w14:paraId="4325724C" w14:textId="204CEC06" w:rsidR="007D4790" w:rsidRDefault="007D4790" w:rsidP="007D4790">
      <w:pPr>
        <w:pStyle w:val="Heading4"/>
      </w:pPr>
      <w:r>
        <w:t>Training for Developers – Integration and Component Design and Code Patterns</w:t>
      </w:r>
    </w:p>
    <w:p w14:paraId="75B47A62" w14:textId="77777777" w:rsidR="007D4790" w:rsidRDefault="007D4790" w:rsidP="007D4790">
      <w:pPr>
        <w:pStyle w:val="Heading4"/>
      </w:pPr>
      <w:r>
        <w:t xml:space="preserve">Training for Business Analysts </w:t>
      </w:r>
    </w:p>
    <w:p w14:paraId="553EA394" w14:textId="5ED92312" w:rsidR="007D4790" w:rsidRPr="007D4790" w:rsidRDefault="007D4790" w:rsidP="007D4790">
      <w:pPr>
        <w:pStyle w:val="Heading4"/>
        <w:rPr>
          <w:rFonts w:eastAsiaTheme="minorHAnsi" w:cs="Times New Roman"/>
          <w:color w:val="auto"/>
        </w:rPr>
      </w:pPr>
      <w:r>
        <w:t>Training for Test Analysts</w:t>
      </w:r>
    </w:p>
    <w:p w14:paraId="0CEDF4A5" w14:textId="41944E46" w:rsidR="005255FC" w:rsidRDefault="005255FC" w:rsidP="005255FC">
      <w:pPr>
        <w:pStyle w:val="Appendices"/>
      </w:pPr>
      <w:r>
        <w:lastRenderedPageBreak/>
        <w:t>Appendices</w:t>
      </w:r>
      <w:bookmarkEnd w:id="12"/>
      <w:bookmarkEnd w:id="13"/>
    </w:p>
    <w:p w14:paraId="2F89881E" w14:textId="74A8DB32" w:rsidR="000D0A25" w:rsidRPr="005C7C13" w:rsidRDefault="005255FC" w:rsidP="005C7C13">
      <w:pPr>
        <w:pStyle w:val="Appendix"/>
      </w:pPr>
      <w:bookmarkStart w:id="14" w:name="_Toc145049431"/>
      <w:bookmarkStart w:id="15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4"/>
      <w:bookmarkEnd w:id="15"/>
    </w:p>
    <w:p w14:paraId="43AB590F" w14:textId="681DED0E" w:rsidR="008C39DC" w:rsidRDefault="008C39DC" w:rsidP="005255FC">
      <w:pPr>
        <w:pStyle w:val="Heading3"/>
      </w:pPr>
      <w:bookmarkStart w:id="16" w:name="_Toc145232982"/>
      <w:r>
        <w:t>Images</w:t>
      </w:r>
      <w:bookmarkEnd w:id="16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7" w:name="_Toc145232983"/>
      <w:r w:rsidRPr="001E2299">
        <w:t>Tables</w:t>
      </w:r>
      <w:bookmarkEnd w:id="17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CB58DE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8" w:name="_Toc145232984"/>
      <w:r>
        <w:t>References</w:t>
      </w:r>
      <w:bookmarkEnd w:id="18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9" w:name="_Toc145232985"/>
      <w:r>
        <w:t>Review Distribution</w:t>
      </w:r>
      <w:bookmarkEnd w:id="19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0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1" w:name="_Toc145232986"/>
      <w:bookmarkEnd w:id="20"/>
      <w:r>
        <w:t>Audience</w:t>
      </w:r>
      <w:bookmarkEnd w:id="21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2" w:name="_Toc145232987"/>
      <w:r>
        <w:t>Structure</w:t>
      </w:r>
      <w:bookmarkEnd w:id="22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3" w:name="_Toc145232988"/>
      <w:r>
        <w:t>Diagrams</w:t>
      </w:r>
      <w:bookmarkEnd w:id="23"/>
    </w:p>
    <w:p w14:paraId="65008B06" w14:textId="1507D50E" w:rsidR="00660C49" w:rsidRDefault="00660C49" w:rsidP="008C39DC">
      <w:pPr>
        <w:pStyle w:val="BodyText"/>
      </w:pPr>
      <w:bookmarkStart w:id="24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5" w:name="_Toc145232989"/>
      <w:bookmarkEnd w:id="24"/>
      <w:r>
        <w:t>Terms</w:t>
      </w:r>
      <w:bookmarkEnd w:id="25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lastRenderedPageBreak/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0FC53" w14:textId="77777777" w:rsidR="005A54A0" w:rsidRDefault="005A54A0" w:rsidP="0021141C">
      <w:pPr>
        <w:spacing w:before="0" w:after="0" w:line="240" w:lineRule="auto"/>
      </w:pPr>
      <w:r>
        <w:separator/>
      </w:r>
    </w:p>
    <w:p w14:paraId="7DCCB146" w14:textId="77777777" w:rsidR="005A54A0" w:rsidRDefault="005A54A0"/>
  </w:endnote>
  <w:endnote w:type="continuationSeparator" w:id="0">
    <w:p w14:paraId="61607FF4" w14:textId="77777777" w:rsidR="005A54A0" w:rsidRDefault="005A54A0" w:rsidP="0021141C">
      <w:pPr>
        <w:spacing w:before="0" w:after="0" w:line="240" w:lineRule="auto"/>
      </w:pPr>
      <w:r>
        <w:continuationSeparator/>
      </w:r>
    </w:p>
    <w:p w14:paraId="4E19AE5F" w14:textId="77777777" w:rsidR="005A54A0" w:rsidRDefault="005A54A0"/>
  </w:endnote>
  <w:endnote w:type="continuationNotice" w:id="1">
    <w:p w14:paraId="15DD0774" w14:textId="77777777" w:rsidR="005A54A0" w:rsidRDefault="005A54A0">
      <w:pPr>
        <w:spacing w:before="0" w:after="0" w:line="240" w:lineRule="auto"/>
      </w:pPr>
    </w:p>
    <w:p w14:paraId="5B73A004" w14:textId="77777777" w:rsidR="005A54A0" w:rsidRDefault="005A54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CB58DE">
      <w:fldChar w:fldCharType="begin"/>
    </w:r>
    <w:r w:rsidR="00CB58DE">
      <w:instrText xml:space="preserve"> NUMPAGES  \* Arabic  \* MERGEFORMAT </w:instrText>
    </w:r>
    <w:r w:rsidR="00CB58DE">
      <w:fldChar w:fldCharType="separate"/>
    </w:r>
    <w:r w:rsidR="0021141C">
      <w:rPr>
        <w:noProof/>
      </w:rPr>
      <w:t>1</w:t>
    </w:r>
    <w:r w:rsidR="00CB58DE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CB58DE">
      <w:fldChar w:fldCharType="begin"/>
    </w:r>
    <w:r w:rsidR="00CB58DE">
      <w:instrText xml:space="preserve"> NUMPAGES  \* Arabic  \* MERGEFORMAT </w:instrText>
    </w:r>
    <w:r w:rsidR="00CB58DE">
      <w:fldChar w:fldCharType="separate"/>
    </w:r>
    <w:r w:rsidR="00400A3B">
      <w:t>2</w:t>
    </w:r>
    <w:r w:rsidR="00CB58DE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B7318" w14:textId="77777777" w:rsidR="005A54A0" w:rsidRDefault="005A54A0" w:rsidP="0021141C">
      <w:pPr>
        <w:spacing w:before="0" w:after="0" w:line="240" w:lineRule="auto"/>
      </w:pPr>
      <w:r>
        <w:separator/>
      </w:r>
    </w:p>
    <w:p w14:paraId="13FB427A" w14:textId="77777777" w:rsidR="005A54A0" w:rsidRDefault="005A54A0"/>
  </w:footnote>
  <w:footnote w:type="continuationSeparator" w:id="0">
    <w:p w14:paraId="7EFF8A23" w14:textId="77777777" w:rsidR="005A54A0" w:rsidRDefault="005A54A0" w:rsidP="0021141C">
      <w:pPr>
        <w:spacing w:before="0" w:after="0" w:line="240" w:lineRule="auto"/>
      </w:pPr>
      <w:r>
        <w:continuationSeparator/>
      </w:r>
    </w:p>
    <w:p w14:paraId="2C635B86" w14:textId="77777777" w:rsidR="005A54A0" w:rsidRDefault="005A54A0"/>
  </w:footnote>
  <w:footnote w:type="continuationNotice" w:id="1">
    <w:p w14:paraId="70F33C20" w14:textId="77777777" w:rsidR="005A54A0" w:rsidRDefault="005A54A0">
      <w:pPr>
        <w:spacing w:before="0" w:after="0" w:line="240" w:lineRule="auto"/>
      </w:pPr>
    </w:p>
    <w:p w14:paraId="3E5693A2" w14:textId="77777777" w:rsidR="005A54A0" w:rsidRDefault="005A54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CB58DE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6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00751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4790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3E36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B58DE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5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7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30</cp:revision>
  <cp:lastPrinted>2022-08-02T15:33:00Z</cp:lastPrinted>
  <dcterms:created xsi:type="dcterms:W3CDTF">2023-09-07T03:51:00Z</dcterms:created>
  <dcterms:modified xsi:type="dcterms:W3CDTF">2023-10-26T19:01:00Z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